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937d6k.htm"/>
      <w:bookmarkStart w:id="1" w:name="ksd12793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36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360" w:after="0"/>
        <w:jc w:val="center"/>
        <w:rPr>
          <w:rFonts w:ascii="Times New Roman" w:hAnsi="Times New Roman"/>
          <w:b/>
          <w:sz w:val="20"/>
        </w:rPr>
      </w:pPr>
      <w:r>
        <w:rPr>
          <w:rFonts w:ascii="Times New Roman" w:hAnsi="Times New Roman"/>
          <w:b/>
          <w:sz w:val="20"/>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48"/>
        </w:rPr>
      </w:pPr>
      <w:r>
        <w:rPr>
          <w:rFonts w:ascii="Times New Roman" w:hAnsi="Times New Roman"/>
          <w:b/>
          <w:sz w:val="48"/>
        </w:rPr>
        <w:t xml:space="preserve">THOMSON REUTERS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19 Duncan Street </w:t>
      </w:r>
    </w:p>
    <w:p>
      <w:pPr>
        <w:pStyle w:val="TextBody"/>
        <w:bidi w:val="0"/>
        <w:spacing w:before="0" w:after="0"/>
        <w:jc w:val="center"/>
        <w:rPr>
          <w:rFonts w:ascii="Times New Roman" w:hAnsi="Times New Roman"/>
          <w:b/>
          <w:sz w:val="20"/>
        </w:rPr>
      </w:pPr>
      <w:r>
        <w:rPr>
          <w:rFonts w:ascii="Times New Roman" w:hAnsi="Times New Roman"/>
          <w:b/>
          <w:sz w:val="20"/>
        </w:rPr>
        <w:t xml:space="preserve">Toronto, 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360" w:after="0"/>
        <w:jc w:val="left"/>
        <w:rPr>
          <w:rFonts w:ascii="Times New Roman" w:hAnsi="Times New Roman"/>
          <w:sz w:val="20"/>
        </w:rPr>
      </w:pPr>
      <w:r>
        <w:rPr>
          <w:rFonts w:ascii="Times New Roman" w:hAnsi="Times New Roman"/>
          <w:sz w:val="20"/>
        </w:rPr>
        <w:t xml:space="preserve">Exhibit 99.1 of this Form 6-K shall be incorporated by reference as an exhibit to the joint Registration Statement of Thomson Reuters Corporation, TR Finance LLC, Thomson Reuters Applications Inc., Thomson Reuters (Tax &amp; Accounting) Inc. and West Publishing Corporation on Form F-10 and Form F-3 (File Nos. 333-285907, 333-285927, 333-285927-01, 333-285927-02 and 333-285927-03).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THOMSON REUTERS CORPORATION</w:t>
            </w:r>
          </w:p>
        </w:tc>
      </w:tr>
      <w:tr>
        <w:trPr/>
        <w:tc>
          <w:tcPr>
            <w:tcW w:w="4082" w:type="dxa"/>
            <w:gridSpan w:val="3"/>
            <w:tcBorders/>
          </w:tcPr>
          <w:p>
            <w:pPr>
              <w:pStyle w:val="TableContents"/>
              <w:bidi w:val="0"/>
              <w:spacing w:before="0" w:after="283"/>
              <w:jc w:val="left"/>
              <w:rPr/>
            </w:pPr>
            <w:r>
              <w:rPr/>
              <w:t xml:space="preserve">(Registrant) </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 Jennifer Ruddick</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6"/>
        <w:gridCol w:w="821"/>
        <w:gridCol w:w="8208"/>
      </w:tblGrid>
      <w:tr>
        <w:trPr/>
        <w:tc>
          <w:tcPr>
            <w:tcW w:w="1176" w:type="dxa"/>
            <w:tcBorders/>
            <w:vAlign w:val="center"/>
          </w:tcPr>
          <w:p>
            <w:pPr>
              <w:pStyle w:val="TableContents"/>
              <w:bidi w:val="0"/>
              <w:spacing w:before="0" w:after="283"/>
              <w:jc w:val="left"/>
              <w:rPr>
                <w:sz w:val="4"/>
                <w:szCs w:val="4"/>
              </w:rPr>
            </w:pPr>
            <w:r>
              <w:rPr>
                <w:sz w:val="4"/>
                <w:szCs w:val="4"/>
              </w:rPr>
            </w:r>
          </w:p>
        </w:tc>
        <w:tc>
          <w:tcPr>
            <w:tcW w:w="821" w:type="dxa"/>
            <w:tcBorders/>
            <w:vAlign w:val="bottom"/>
          </w:tcPr>
          <w:p>
            <w:pPr>
              <w:pStyle w:val="TableContents"/>
              <w:bidi w:val="0"/>
              <w:spacing w:before="0" w:after="283"/>
              <w:jc w:val="left"/>
              <w:rPr>
                <w:sz w:val="4"/>
                <w:szCs w:val="4"/>
              </w:rPr>
            </w:pPr>
            <w:r>
              <w:rPr>
                <w:sz w:val="4"/>
                <w:szCs w:val="4"/>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17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821" w:type="dxa"/>
            <w:tcBorders/>
            <w:vAlign w:val="bottom"/>
          </w:tcPr>
          <w:p>
            <w:pPr>
              <w:pStyle w:val="TableContents"/>
              <w:bidi w:val="0"/>
              <w:spacing w:before="0" w:after="283"/>
              <w:jc w:val="left"/>
              <w:rPr/>
            </w:pPr>
            <w:r>
              <w:rPr/>
              <w:t>  </w:t>
            </w:r>
          </w:p>
        </w:tc>
        <w:tc>
          <w:tcPr>
            <w:tcW w:w="820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1176" w:type="dxa"/>
            <w:tcBorders/>
            <w:vAlign w:val="center"/>
          </w:tcPr>
          <w:p>
            <w:pPr>
              <w:pStyle w:val="TableContents"/>
              <w:bidi w:val="0"/>
              <w:spacing w:before="0" w:after="283"/>
              <w:jc w:val="left"/>
              <w:rPr>
                <w:sz w:val="4"/>
                <w:szCs w:val="4"/>
              </w:rPr>
            </w:pPr>
            <w:r>
              <w:rPr>
                <w:sz w:val="4"/>
                <w:szCs w:val="4"/>
              </w:rPr>
            </w:r>
          </w:p>
        </w:tc>
        <w:tc>
          <w:tcPr>
            <w:tcW w:w="9029" w:type="dxa"/>
            <w:gridSpan w:val="2"/>
            <w:tcBorders/>
            <w:vAlign w:val="center"/>
          </w:tcPr>
          <w:p>
            <w:pPr>
              <w:pStyle w:val="TableContents"/>
              <w:bidi w:val="0"/>
              <w:spacing w:before="0" w:after="283"/>
              <w:jc w:val="left"/>
              <w:rPr>
                <w:sz w:val="4"/>
                <w:szCs w:val="4"/>
              </w:rPr>
            </w:pPr>
            <w:r>
              <w:rPr>
                <w:sz w:val="4"/>
                <w:szCs w:val="4"/>
              </w:rPr>
            </w:r>
          </w:p>
        </w:tc>
      </w:tr>
      <w:tr>
        <w:trPr/>
        <w:tc>
          <w:tcPr>
            <w:tcW w:w="1176" w:type="dxa"/>
            <w:tcBorders/>
          </w:tcPr>
          <w:p>
            <w:pPr>
              <w:pStyle w:val="TableContents"/>
              <w:bidi w:val="0"/>
              <w:spacing w:before="0" w:after="283"/>
              <w:jc w:val="left"/>
              <w:rPr/>
            </w:pPr>
            <w:r>
              <w:rPr/>
              <w:t>99.1</w:t>
            </w:r>
          </w:p>
        </w:tc>
        <w:tc>
          <w:tcPr>
            <w:tcW w:w="821" w:type="dxa"/>
            <w:tcBorders/>
            <w:vAlign w:val="bottom"/>
          </w:tcPr>
          <w:p>
            <w:pPr>
              <w:pStyle w:val="TableContents"/>
              <w:bidi w:val="0"/>
              <w:spacing w:before="0" w:after="283"/>
              <w:jc w:val="left"/>
              <w:rPr/>
            </w:pPr>
            <w:r>
              <w:rPr/>
              <w:t>  </w:t>
            </w:r>
          </w:p>
        </w:tc>
        <w:tc>
          <w:tcPr>
            <w:tcW w:w="8208" w:type="dxa"/>
            <w:tcBorders/>
          </w:tcPr>
          <w:p>
            <w:pPr>
              <w:pStyle w:val="TableContents"/>
              <w:bidi w:val="0"/>
              <w:spacing w:before="0" w:after="283"/>
              <w:jc w:val="left"/>
              <w:rPr/>
            </w:pPr>
            <w:r>
              <w:rPr/>
              <w:t>Underwriting Agreement dated September 10, 2026</w:t>
            </w:r>
          </w:p>
        </w:tc>
      </w:tr>
    </w:tbl>
    <w:p>
      <w:pPr>
        <w:pStyle w:val="TextBody"/>
        <w:bidi w:val="0"/>
        <w:spacing w:before="0" w:after="0"/>
        <w:jc w:val="right"/>
        <w:rPr>
          <w:rFonts w:ascii="Times New Roman" w:hAnsi="Times New Roman"/>
          <w:b/>
          <w:sz w:val="24"/>
        </w:rPr>
      </w:pPr>
      <w:bookmarkStart w:id="2" w:name="d127937dex991.htm"/>
      <w:bookmarkStart w:id="3" w:name="ksd127937dex991"/>
      <w:bookmarkEnd w:id="2"/>
      <w:bookmarkEnd w:id="3"/>
      <w:r>
        <w:rPr>
          <w:rFonts w:ascii="Times New Roman" w:hAnsi="Times New Roman"/>
          <w:b/>
          <w:sz w:val="24"/>
        </w:rPr>
        <w:t xml:space="preserve">Exhibit 99.1 </w:t>
      </w:r>
      <w:r>
        <w:br w:type="page"/>
      </w:r>
    </w:p>
    <w:p>
      <w:pPr>
        <w:pStyle w:val="TextBody"/>
        <w:bidi w:val="0"/>
        <w:spacing w:before="240" w:after="0"/>
        <w:jc w:val="right"/>
        <w:rPr>
          <w:rFonts w:ascii="Times New Roman" w:hAnsi="Times New Roman"/>
          <w:b/>
          <w:i/>
          <w:sz w:val="24"/>
        </w:rPr>
      </w:pPr>
      <w:r>
        <w:rPr>
          <w:rFonts w:ascii="Times New Roman" w:hAnsi="Times New Roman"/>
          <w:b/>
          <w:i/>
          <w:sz w:val="24"/>
        </w:rPr>
        <w:t xml:space="preserve">Execution Version </w:t>
      </w:r>
    </w:p>
    <w:p>
      <w:pPr>
        <w:pStyle w:val="TextBody"/>
        <w:bidi w:val="0"/>
        <w:spacing w:before="480" w:after="0"/>
        <w:jc w:val="center"/>
        <w:rPr>
          <w:rFonts w:ascii="Times New Roman" w:hAnsi="Times New Roman"/>
          <w:sz w:val="24"/>
        </w:rPr>
      </w:pPr>
      <w:r>
        <w:rPr>
          <w:rFonts w:ascii="Times New Roman" w:hAnsi="Times New Roman"/>
          <w:sz w:val="24"/>
        </w:rPr>
        <w:t xml:space="preserve">TR FINANCE LLC </w:t>
      </w:r>
    </w:p>
    <w:p>
      <w:pPr>
        <w:pStyle w:val="TextBody"/>
        <w:bidi w:val="0"/>
        <w:spacing w:before="240" w:after="0"/>
        <w:jc w:val="center"/>
        <w:rPr>
          <w:rFonts w:ascii="Times New Roman" w:hAnsi="Times New Roman"/>
          <w:sz w:val="24"/>
        </w:rPr>
      </w:pPr>
      <w:r>
        <w:rPr>
          <w:rFonts w:ascii="Times New Roman" w:hAnsi="Times New Roman"/>
          <w:sz w:val="24"/>
        </w:rPr>
        <w:t xml:space="preserve">$800,000,000 5.100% Senior Notes due 2028 </w:t>
      </w:r>
    </w:p>
    <w:p>
      <w:pPr>
        <w:pStyle w:val="TextBody"/>
        <w:bidi w:val="0"/>
        <w:spacing w:before="0" w:after="0"/>
        <w:jc w:val="center"/>
        <w:rPr>
          <w:rFonts w:ascii="Times New Roman" w:hAnsi="Times New Roman"/>
          <w:sz w:val="24"/>
        </w:rPr>
      </w:pPr>
      <w:r>
        <w:rPr>
          <w:rFonts w:ascii="Times New Roman" w:hAnsi="Times New Roman"/>
          <w:sz w:val="24"/>
        </w:rPr>
        <w:t xml:space="preserve">$500,000,000 5.750% Senior Notes due 2033 </w:t>
      </w:r>
    </w:p>
    <w:p>
      <w:pPr>
        <w:pStyle w:val="TextBody"/>
        <w:bidi w:val="0"/>
        <w:spacing w:before="240" w:after="0"/>
        <w:jc w:val="center"/>
        <w:rPr>
          <w:rFonts w:ascii="Times New Roman" w:hAnsi="Times New Roman"/>
          <w:sz w:val="24"/>
        </w:rPr>
      </w:pPr>
      <w:r>
        <w:rPr>
          <w:rFonts w:ascii="Times New Roman" w:hAnsi="Times New Roman"/>
          <w:sz w:val="24"/>
          <w:u w:val="single"/>
        </w:rPr>
        <w:t>Underwriting Agreement</w:t>
      </w:r>
      <w:r>
        <w:rPr>
          <w:rFonts w:ascii="Times New Roman" w:hAnsi="Times New Roman"/>
          <w:sz w:val="24"/>
        </w:rPr>
        <w:t xml:space="preserve"> </w:t>
      </w:r>
    </w:p>
    <w:p>
      <w:pPr>
        <w:pStyle w:val="TextBody"/>
        <w:bidi w:val="0"/>
        <w:spacing w:before="240" w:after="0"/>
        <w:jc w:val="right"/>
        <w:rPr>
          <w:rFonts w:ascii="Times New Roman" w:hAnsi="Times New Roman"/>
          <w:sz w:val="24"/>
        </w:rPr>
      </w:pPr>
      <w:r>
        <w:rPr>
          <w:rFonts w:ascii="Times New Roman" w:hAnsi="Times New Roman"/>
          <w:sz w:val="24"/>
        </w:rPr>
        <w:t xml:space="preserve">September 10, 2026 </w:t>
      </w:r>
    </w:p>
    <w:p>
      <w:pPr>
        <w:pStyle w:val="TextBody"/>
        <w:bidi w:val="0"/>
        <w:spacing w:before="240" w:after="0"/>
        <w:jc w:val="left"/>
        <w:rPr>
          <w:rFonts w:ascii="Times New Roman" w:hAnsi="Times New Roman"/>
          <w:sz w:val="24"/>
        </w:rPr>
      </w:pPr>
      <w:r>
        <w:rPr>
          <w:rFonts w:ascii="Times New Roman" w:hAnsi="Times New Roman"/>
          <w:sz w:val="24"/>
        </w:rPr>
        <w:t xml:space="preserve">RBC Capital Markets, LLC </w:t>
      </w:r>
    </w:p>
    <w:p>
      <w:pPr>
        <w:pStyle w:val="TextBody"/>
        <w:bidi w:val="0"/>
        <w:spacing w:before="0" w:after="0"/>
        <w:jc w:val="left"/>
        <w:rPr>
          <w:rFonts w:ascii="Times New Roman" w:hAnsi="Times New Roman"/>
          <w:sz w:val="24"/>
        </w:rPr>
      </w:pPr>
      <w:r>
        <w:rPr>
          <w:rFonts w:ascii="Times New Roman" w:hAnsi="Times New Roman"/>
          <w:sz w:val="24"/>
        </w:rPr>
        <w:t xml:space="preserve">BofA Securities, Inc. </w:t>
      </w:r>
    </w:p>
    <w:p>
      <w:pPr>
        <w:pStyle w:val="TextBody"/>
        <w:bidi w:val="0"/>
        <w:spacing w:before="0" w:after="0"/>
        <w:jc w:val="left"/>
        <w:rPr>
          <w:rFonts w:ascii="Times New Roman" w:hAnsi="Times New Roman"/>
          <w:sz w:val="24"/>
        </w:rPr>
      </w:pPr>
      <w:r>
        <w:rPr>
          <w:rFonts w:ascii="Times New Roman" w:hAnsi="Times New Roman"/>
          <w:sz w:val="24"/>
        </w:rPr>
        <w:t xml:space="preserve">Barclays Capital Inc. </w:t>
      </w:r>
    </w:p>
    <w:p>
      <w:pPr>
        <w:pStyle w:val="TextBody"/>
        <w:bidi w:val="0"/>
        <w:spacing w:before="0" w:after="0"/>
        <w:jc w:val="left"/>
        <w:rPr>
          <w:rFonts w:ascii="Times New Roman" w:hAnsi="Times New Roman"/>
          <w:sz w:val="24"/>
        </w:rPr>
      </w:pPr>
      <w:r>
        <w:rPr>
          <w:rFonts w:ascii="Times New Roman" w:hAnsi="Times New Roman"/>
          <w:sz w:val="24"/>
        </w:rPr>
        <w:t xml:space="preserve">Mizuho Securities USA LLC </w:t>
      </w:r>
    </w:p>
    <w:p>
      <w:pPr>
        <w:pStyle w:val="TextBody"/>
        <w:bidi w:val="0"/>
        <w:spacing w:before="240" w:after="0"/>
        <w:jc w:val="left"/>
        <w:rPr>
          <w:rFonts w:ascii="Times New Roman" w:hAnsi="Times New Roman"/>
          <w:sz w:val="24"/>
        </w:rPr>
      </w:pPr>
      <w:r>
        <w:rPr>
          <w:rFonts w:ascii="Times New Roman" w:hAnsi="Times New Roman"/>
          <w:sz w:val="24"/>
        </w:rPr>
        <w:t xml:space="preserve">As Representatives of the </w:t>
      </w:r>
    </w:p>
    <w:p>
      <w:pPr>
        <w:pStyle w:val="TextBody"/>
        <w:bidi w:val="0"/>
        <w:spacing w:before="240" w:after="0"/>
        <w:jc w:val="left"/>
        <w:rPr>
          <w:rFonts w:ascii="Times New Roman" w:hAnsi="Times New Roman"/>
          <w:sz w:val="24"/>
        </w:rPr>
      </w:pPr>
      <w:r>
        <w:rPr>
          <w:rFonts w:ascii="Times New Roman" w:hAnsi="Times New Roman"/>
          <w:sz w:val="24"/>
        </w:rPr>
        <w:t xml:space="preserve">several Underwriters listed </w:t>
      </w:r>
    </w:p>
    <w:p>
      <w:pPr>
        <w:pStyle w:val="TextBody"/>
        <w:bidi w:val="0"/>
        <w:spacing w:before="0" w:after="0"/>
        <w:jc w:val="left"/>
        <w:rPr>
          <w:rFonts w:ascii="Times New Roman" w:hAnsi="Times New Roman"/>
          <w:sz w:val="24"/>
        </w:rPr>
      </w:pPr>
      <w:r>
        <w:rPr>
          <w:rFonts w:ascii="Times New Roman" w:hAnsi="Times New Roman"/>
          <w:sz w:val="24"/>
        </w:rPr>
        <w:t xml:space="preserve">in Schedule I hereto </w:t>
      </w:r>
    </w:p>
    <w:p>
      <w:pPr>
        <w:pStyle w:val="TextBody"/>
        <w:bidi w:val="0"/>
        <w:spacing w:before="240" w:after="0"/>
        <w:jc w:val="left"/>
        <w:rPr>
          <w:rFonts w:ascii="Times New Roman" w:hAnsi="Times New Roman"/>
          <w:sz w:val="24"/>
        </w:rPr>
      </w:pPr>
      <w:r>
        <w:rPr>
          <w:rFonts w:ascii="Times New Roman" w:hAnsi="Times New Roman"/>
          <w:sz w:val="24"/>
        </w:rPr>
        <w:t xml:space="preserve">c/o RBC Capital Markets, LLC </w:t>
      </w:r>
    </w:p>
    <w:p>
      <w:pPr>
        <w:pStyle w:val="TextBody"/>
        <w:bidi w:val="0"/>
        <w:spacing w:before="0" w:after="0"/>
        <w:jc w:val="left"/>
        <w:rPr>
          <w:rFonts w:ascii="Times New Roman" w:hAnsi="Times New Roman"/>
          <w:sz w:val="24"/>
        </w:rPr>
      </w:pPr>
      <w:r>
        <w:rPr>
          <w:rFonts w:ascii="Times New Roman" w:hAnsi="Times New Roman"/>
          <w:sz w:val="24"/>
        </w:rPr>
        <w:t xml:space="preserve">Brookfield Place </w:t>
      </w:r>
    </w:p>
    <w:p>
      <w:pPr>
        <w:pStyle w:val="TextBody"/>
        <w:bidi w:val="0"/>
        <w:spacing w:before="0" w:after="0"/>
        <w:jc w:val="left"/>
        <w:rPr>
          <w:rFonts w:ascii="Times New Roman" w:hAnsi="Times New Roman"/>
          <w:sz w:val="24"/>
        </w:rPr>
      </w:pPr>
      <w:r>
        <w:rPr>
          <w:rFonts w:ascii="Times New Roman" w:hAnsi="Times New Roman"/>
          <w:sz w:val="24"/>
        </w:rPr>
        <w:t xml:space="preserve">200 Vesey Street, 8th Floor </w:t>
      </w:r>
    </w:p>
    <w:p>
      <w:pPr>
        <w:pStyle w:val="TextBody"/>
        <w:bidi w:val="0"/>
        <w:spacing w:before="0" w:after="0"/>
        <w:jc w:val="left"/>
        <w:rPr>
          <w:rFonts w:ascii="Times New Roman" w:hAnsi="Times New Roman"/>
          <w:sz w:val="24"/>
        </w:rPr>
      </w:pPr>
      <w:r>
        <w:rPr>
          <w:rFonts w:ascii="Times New Roman" w:hAnsi="Times New Roman"/>
          <w:sz w:val="24"/>
        </w:rPr>
        <w:t xml:space="preserve">New York, NY 10281 </w:t>
      </w:r>
    </w:p>
    <w:p>
      <w:pPr>
        <w:pStyle w:val="TextBody"/>
        <w:bidi w:val="0"/>
        <w:spacing w:before="240" w:after="0"/>
        <w:jc w:val="left"/>
        <w:rPr>
          <w:rFonts w:ascii="Times New Roman" w:hAnsi="Times New Roman"/>
          <w:sz w:val="24"/>
        </w:rPr>
      </w:pPr>
      <w:r>
        <w:rPr>
          <w:rFonts w:ascii="Times New Roman" w:hAnsi="Times New Roman"/>
          <w:sz w:val="24"/>
        </w:rPr>
        <w:t xml:space="preserve">c/o BofA Securities, Inc. </w:t>
      </w:r>
    </w:p>
    <w:p>
      <w:pPr>
        <w:pStyle w:val="TextBody"/>
        <w:bidi w:val="0"/>
        <w:spacing w:before="0" w:after="0"/>
        <w:jc w:val="left"/>
        <w:rPr>
          <w:rFonts w:ascii="Times New Roman" w:hAnsi="Times New Roman"/>
          <w:sz w:val="24"/>
        </w:rPr>
      </w:pPr>
      <w:r>
        <w:rPr>
          <w:rFonts w:ascii="Times New Roman" w:hAnsi="Times New Roman"/>
          <w:sz w:val="24"/>
        </w:rPr>
        <w:t xml:space="preserve">Bank of America Tower </w:t>
      </w:r>
    </w:p>
    <w:p>
      <w:pPr>
        <w:pStyle w:val="TextBody"/>
        <w:bidi w:val="0"/>
        <w:spacing w:before="0" w:after="0"/>
        <w:jc w:val="left"/>
        <w:rPr>
          <w:rFonts w:ascii="Times New Roman" w:hAnsi="Times New Roman"/>
          <w:sz w:val="24"/>
        </w:rPr>
      </w:pPr>
      <w:r>
        <w:rPr>
          <w:rFonts w:ascii="Times New Roman" w:hAnsi="Times New Roman"/>
          <w:sz w:val="24"/>
        </w:rPr>
        <w:t xml:space="preserve">One Bryant Park </w:t>
      </w:r>
    </w:p>
    <w:p>
      <w:pPr>
        <w:pStyle w:val="TextBody"/>
        <w:bidi w:val="0"/>
        <w:spacing w:before="0" w:after="0"/>
        <w:jc w:val="left"/>
        <w:rPr>
          <w:rFonts w:ascii="Times New Roman" w:hAnsi="Times New Roman"/>
          <w:sz w:val="24"/>
        </w:rPr>
      </w:pPr>
      <w:r>
        <w:rPr>
          <w:rFonts w:ascii="Times New Roman" w:hAnsi="Times New Roman"/>
          <w:sz w:val="24"/>
        </w:rPr>
        <w:t xml:space="preserve">New York, NY 10036 </w:t>
      </w:r>
    </w:p>
    <w:p>
      <w:pPr>
        <w:pStyle w:val="TextBody"/>
        <w:bidi w:val="0"/>
        <w:spacing w:before="240" w:after="0"/>
        <w:jc w:val="left"/>
        <w:rPr>
          <w:rFonts w:ascii="Times New Roman" w:hAnsi="Times New Roman"/>
          <w:sz w:val="24"/>
        </w:rPr>
      </w:pPr>
      <w:r>
        <w:rPr>
          <w:rFonts w:ascii="Times New Roman" w:hAnsi="Times New Roman"/>
          <w:sz w:val="24"/>
        </w:rPr>
        <w:t xml:space="preserve">c/o Barclays Capital Inc. </w:t>
      </w:r>
    </w:p>
    <w:p>
      <w:pPr>
        <w:pStyle w:val="TextBody"/>
        <w:bidi w:val="0"/>
        <w:spacing w:before="0" w:after="0"/>
        <w:jc w:val="left"/>
        <w:rPr>
          <w:rFonts w:ascii="Times New Roman" w:hAnsi="Times New Roman"/>
          <w:sz w:val="24"/>
        </w:rPr>
      </w:pPr>
      <w:r>
        <w:rPr>
          <w:rFonts w:ascii="Times New Roman" w:hAnsi="Times New Roman"/>
          <w:sz w:val="24"/>
        </w:rPr>
        <w:t xml:space="preserve">745 Seventh Avenue </w:t>
      </w:r>
    </w:p>
    <w:p>
      <w:pPr>
        <w:pStyle w:val="TextBody"/>
        <w:bidi w:val="0"/>
        <w:spacing w:before="0" w:after="0"/>
        <w:jc w:val="left"/>
        <w:rPr>
          <w:rFonts w:ascii="Times New Roman" w:hAnsi="Times New Roman"/>
          <w:sz w:val="24"/>
        </w:rPr>
      </w:pPr>
      <w:r>
        <w:rPr>
          <w:rFonts w:ascii="Times New Roman" w:hAnsi="Times New Roman"/>
          <w:sz w:val="24"/>
        </w:rPr>
        <w:t xml:space="preserve">New York, NY 10019 </w:t>
      </w:r>
    </w:p>
    <w:p>
      <w:pPr>
        <w:pStyle w:val="TextBody"/>
        <w:bidi w:val="0"/>
        <w:spacing w:before="240" w:after="0"/>
        <w:jc w:val="left"/>
        <w:rPr>
          <w:rFonts w:ascii="Times New Roman" w:hAnsi="Times New Roman"/>
          <w:sz w:val="24"/>
        </w:rPr>
      </w:pPr>
      <w:r>
        <w:rPr>
          <w:rFonts w:ascii="Times New Roman" w:hAnsi="Times New Roman"/>
          <w:sz w:val="24"/>
        </w:rPr>
        <w:t xml:space="preserve">c/o Mizuho Securities USA LLC </w:t>
      </w:r>
    </w:p>
    <w:p>
      <w:pPr>
        <w:pStyle w:val="TextBody"/>
        <w:bidi w:val="0"/>
        <w:spacing w:before="0" w:after="0"/>
        <w:jc w:val="left"/>
        <w:rPr>
          <w:rFonts w:ascii="Times New Roman" w:hAnsi="Times New Roman"/>
          <w:sz w:val="24"/>
        </w:rPr>
      </w:pPr>
      <w:r>
        <w:rPr>
          <w:rFonts w:ascii="Times New Roman" w:hAnsi="Times New Roman"/>
          <w:sz w:val="24"/>
        </w:rPr>
        <w:t xml:space="preserve">1271 Avenue of the Americas </w:t>
      </w:r>
    </w:p>
    <w:p>
      <w:pPr>
        <w:pStyle w:val="TextBody"/>
        <w:bidi w:val="0"/>
        <w:spacing w:before="0" w:after="0"/>
        <w:jc w:val="left"/>
        <w:rPr>
          <w:rFonts w:ascii="Times New Roman" w:hAnsi="Times New Roman"/>
          <w:sz w:val="24"/>
        </w:rPr>
      </w:pPr>
      <w:r>
        <w:rPr>
          <w:rFonts w:ascii="Times New Roman" w:hAnsi="Times New Roman"/>
          <w:sz w:val="24"/>
        </w:rPr>
        <w:t xml:space="preserve">New York, NY 10020 </w:t>
      </w:r>
    </w:p>
    <w:p>
      <w:pPr>
        <w:pStyle w:val="TextBody"/>
        <w:bidi w:val="0"/>
        <w:spacing w:before="240" w:after="0"/>
        <w:jc w:val="left"/>
        <w:rPr>
          <w:rFonts w:ascii="Times New Roman" w:hAnsi="Times New Roman"/>
          <w:sz w:val="24"/>
        </w:rPr>
      </w:pPr>
      <w:r>
        <w:rPr>
          <w:rFonts w:ascii="Times New Roman" w:hAnsi="Times New Roman"/>
          <w:sz w:val="24"/>
        </w:rPr>
        <w:t xml:space="preserve">Ladies and Gentlemen: </w:t>
      </w:r>
    </w:p>
    <w:p>
      <w:pPr>
        <w:pStyle w:val="TextBody"/>
        <w:bidi w:val="0"/>
        <w:spacing w:before="240" w:after="0"/>
        <w:jc w:val="left"/>
        <w:rPr>
          <w:rFonts w:ascii="Times New Roman" w:hAnsi="Times New Roman"/>
          <w:sz w:val="24"/>
        </w:rPr>
      </w:pPr>
      <w:r>
        <w:rPr>
          <w:rFonts w:ascii="Times New Roman" w:hAnsi="Times New Roman"/>
          <w:sz w:val="24"/>
        </w:rPr>
        <w:t>TR Finance LLC, a Delaware limited liability company (“</w:t>
      </w:r>
      <w:r>
        <w:rPr>
          <w:rFonts w:ascii="Times New Roman" w:hAnsi="Times New Roman"/>
          <w:sz w:val="24"/>
          <w:u w:val="single"/>
        </w:rPr>
        <w:t>TR Finance</w:t>
      </w:r>
      <w:r>
        <w:rPr>
          <w:rFonts w:ascii="Times New Roman" w:hAnsi="Times New Roman"/>
          <w:sz w:val="24"/>
        </w:rPr>
        <w:t xml:space="preserve">”), proposes to issue and sell to the several underwriters listed in </w:t>
      </w:r>
      <w:r>
        <w:rPr>
          <w:rFonts w:ascii="Times New Roman" w:hAnsi="Times New Roman"/>
          <w:sz w:val="24"/>
          <w:u w:val="single"/>
        </w:rPr>
        <w:t>Schedule I</w:t>
      </w:r>
      <w:r>
        <w:rPr>
          <w:rFonts w:ascii="Times New Roman" w:hAnsi="Times New Roman"/>
          <w:sz w:val="24"/>
        </w:rPr>
        <w:t xml:space="preserve"> hereto (the “</w:t>
      </w:r>
      <w:r>
        <w:rPr>
          <w:rFonts w:ascii="Times New Roman" w:hAnsi="Times New Roman"/>
          <w:sz w:val="24"/>
          <w:u w:val="single"/>
        </w:rPr>
        <w:t>Underwriters</w:t>
      </w:r>
      <w:r>
        <w:rPr>
          <w:rFonts w:ascii="Times New Roman" w:hAnsi="Times New Roman"/>
          <w:sz w:val="24"/>
        </w:rPr>
        <w:t>”), for whom you are acting as representatives (the “</w:t>
      </w:r>
      <w:r>
        <w:rPr>
          <w:rFonts w:ascii="Times New Roman" w:hAnsi="Times New Roman"/>
          <w:sz w:val="24"/>
          <w:u w:val="single"/>
        </w:rPr>
        <w:t>Representatives</w:t>
      </w:r>
      <w:r>
        <w:rPr>
          <w:rFonts w:ascii="Times New Roman" w:hAnsi="Times New Roman"/>
          <w:sz w:val="24"/>
        </w:rPr>
        <w:t>” and each, a “</w:t>
      </w:r>
      <w:r>
        <w:rPr>
          <w:rFonts w:ascii="Times New Roman" w:hAnsi="Times New Roman"/>
          <w:sz w:val="24"/>
          <w:u w:val="single"/>
        </w:rPr>
        <w:t>Representative</w:t>
      </w:r>
      <w:r>
        <w:rPr>
          <w:rFonts w:ascii="Times New Roman" w:hAnsi="Times New Roman"/>
          <w:sz w:val="24"/>
        </w:rPr>
        <w:t>”), $800,000,000 aggregate principal amount of its 5.100% Senior Notes due 2028 (the “</w:t>
      </w:r>
      <w:r>
        <w:rPr>
          <w:rFonts w:ascii="Times New Roman" w:hAnsi="Times New Roman"/>
          <w:sz w:val="24"/>
          <w:u w:val="single"/>
        </w:rPr>
        <w:t>2028 Notes</w:t>
      </w:r>
      <w:r>
        <w:rPr>
          <w:rFonts w:ascii="Times New Roman" w:hAnsi="Times New Roman"/>
          <w:sz w:val="24"/>
        </w:rPr>
        <w:t>”) and $500,000,000 aggregate principal amount of its 5.750% Senior Notes due 2033 (the “</w:t>
      </w:r>
      <w:r>
        <w:rPr>
          <w:rFonts w:ascii="Times New Roman" w:hAnsi="Times New Roman"/>
          <w:sz w:val="24"/>
          <w:u w:val="single"/>
        </w:rPr>
        <w:t>2033 Notes</w:t>
      </w:r>
      <w:r>
        <w:rPr>
          <w:rFonts w:ascii="Times New Roman" w:hAnsi="Times New Roman"/>
          <w:sz w:val="24"/>
        </w:rPr>
        <w:t>” and together with the 2028 Notes, the “</w:t>
      </w:r>
      <w:r>
        <w:rPr>
          <w:rFonts w:ascii="Times New Roman" w:hAnsi="Times New Roman"/>
          <w:sz w:val="24"/>
          <w:u w:val="single"/>
        </w:rPr>
        <w:t>Notes</w:t>
      </w:r>
      <w:r>
        <w:rPr>
          <w:rFonts w:ascii="Times New Roman" w:hAnsi="Times New Roman"/>
          <w:sz w:val="24"/>
        </w:rPr>
        <w:t>” and, together with the Guarantees (as defined below), the “</w:t>
      </w:r>
      <w:r>
        <w:rPr>
          <w:rFonts w:ascii="Times New Roman" w:hAnsi="Times New Roman"/>
          <w:sz w:val="24"/>
          <w:u w:val="single"/>
        </w:rPr>
        <w:t>Securities</w:t>
      </w:r>
      <w:r>
        <w:rPr>
          <w:rFonts w:ascii="Times New Roman" w:hAnsi="Times New Roman"/>
          <w:sz w:val="24"/>
        </w:rPr>
        <w:t xml:space="preserve">”). The Securities will be issued under that certain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dated as of March 20, 2025 (the “</w:t>
      </w:r>
      <w:r>
        <w:rPr>
          <w:rFonts w:ascii="Times New Roman" w:hAnsi="Times New Roman"/>
          <w:sz w:val="24"/>
          <w:u w:val="single"/>
        </w:rPr>
        <w:t>Base Indenture</w:t>
      </w:r>
      <w:r>
        <w:rPr>
          <w:rFonts w:ascii="Times New Roman" w:hAnsi="Times New Roman"/>
          <w:sz w:val="24"/>
        </w:rPr>
        <w:t>”), by and among TR Finance, Thomson Reuters Corporation, an Ontario corporation (the “</w:t>
      </w:r>
      <w:r>
        <w:rPr>
          <w:rFonts w:ascii="Times New Roman" w:hAnsi="Times New Roman"/>
          <w:sz w:val="24"/>
          <w:u w:val="single"/>
        </w:rPr>
        <w:t>Company</w:t>
      </w:r>
      <w:r>
        <w:rPr>
          <w:rFonts w:ascii="Times New Roman" w:hAnsi="Times New Roman"/>
          <w:sz w:val="24"/>
        </w:rPr>
        <w:t>”), the subsidiary Guarantors party thereto (as defined below), Deutsche Bank Trust Company Americas, as U.S. trustee (the “</w:t>
      </w:r>
      <w:r>
        <w:rPr>
          <w:rFonts w:ascii="Times New Roman" w:hAnsi="Times New Roman"/>
          <w:sz w:val="24"/>
          <w:u w:val="single"/>
        </w:rPr>
        <w:t>U.S. Trustee</w:t>
      </w:r>
      <w:r>
        <w:rPr>
          <w:rFonts w:ascii="Times New Roman" w:hAnsi="Times New Roman"/>
          <w:sz w:val="24"/>
        </w:rPr>
        <w:t>”) and Computershare Trust Company of Canada, as Canadian trustee (the “</w:t>
      </w:r>
      <w:r>
        <w:rPr>
          <w:rFonts w:ascii="Times New Roman" w:hAnsi="Times New Roman"/>
          <w:sz w:val="24"/>
          <w:u w:val="single"/>
        </w:rPr>
        <w:t>Canadian Trustee</w:t>
      </w:r>
      <w:r>
        <w:rPr>
          <w:rFonts w:ascii="Times New Roman" w:hAnsi="Times New Roman"/>
          <w:sz w:val="24"/>
        </w:rPr>
        <w:t>” and, together with the U.S. Trustee, the “</w:t>
      </w:r>
      <w:r>
        <w:rPr>
          <w:rFonts w:ascii="Times New Roman" w:hAnsi="Times New Roman"/>
          <w:sz w:val="24"/>
          <w:u w:val="single"/>
        </w:rPr>
        <w:t>Trustees</w:t>
      </w:r>
      <w:r>
        <w:rPr>
          <w:rFonts w:ascii="Times New Roman" w:hAnsi="Times New Roman"/>
          <w:sz w:val="24"/>
        </w:rPr>
        <w:t>”), and a supplemental indenture with respect to the Notes to be dated as of the Closing Date (as defined below) (the “</w:t>
      </w:r>
      <w:r>
        <w:rPr>
          <w:rFonts w:ascii="Times New Roman" w:hAnsi="Times New Roman"/>
          <w:sz w:val="24"/>
          <w:u w:val="single"/>
        </w:rPr>
        <w:t>Supplemental Indenture</w:t>
      </w:r>
      <w:r>
        <w:rPr>
          <w:rFonts w:ascii="Times New Roman" w:hAnsi="Times New Roman"/>
          <w:sz w:val="24"/>
        </w:rPr>
        <w:t>”), in each case, by and among TR Finance, the Company, the Guarantors (as defined below) and the Trustees. The Base Indenture as amended and supplemented by the Supplemental Indenture with respect to a series of Notes is referred to herein as the “</w:t>
      </w:r>
      <w:r>
        <w:rPr>
          <w:rFonts w:ascii="Times New Roman" w:hAnsi="Times New Roman"/>
          <w:sz w:val="24"/>
          <w:u w:val="single"/>
        </w:rPr>
        <w:t>Indenture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At or prior to 4:35 P.M., New York City time, on the date hereof (the “</w:t>
      </w:r>
      <w:r>
        <w:rPr>
          <w:rFonts w:ascii="Times New Roman" w:hAnsi="Times New Roman"/>
          <w:sz w:val="24"/>
          <w:u w:val="single"/>
        </w:rPr>
        <w:t>Time of Sale</w:t>
      </w:r>
      <w:r>
        <w:rPr>
          <w:rFonts w:ascii="Times New Roman" w:hAnsi="Times New Roman"/>
          <w:sz w:val="24"/>
        </w:rPr>
        <w:t>”), the following information was prepared (collectively, the “</w:t>
      </w:r>
      <w:r>
        <w:rPr>
          <w:rFonts w:ascii="Times New Roman" w:hAnsi="Times New Roman"/>
          <w:sz w:val="24"/>
          <w:u w:val="single"/>
        </w:rPr>
        <w:t>Time of Sale Information</w:t>
      </w:r>
      <w:r>
        <w:rPr>
          <w:rFonts w:ascii="Times New Roman" w:hAnsi="Times New Roman"/>
          <w:sz w:val="24"/>
        </w:rPr>
        <w:t xml:space="preserve">”): the Preliminary Prospectus (as defined below), the “free writing prospectus” (as defined pursuant to Rule 405 under the Securities Act (as defined below)) listed on </w:t>
      </w:r>
      <w:r>
        <w:rPr>
          <w:rFonts w:ascii="Times New Roman" w:hAnsi="Times New Roman"/>
          <w:sz w:val="24"/>
          <w:u w:val="single"/>
        </w:rPr>
        <w:t>Annex A</w:t>
      </w:r>
      <w:r>
        <w:rPr>
          <w:rFonts w:ascii="Times New Roman" w:hAnsi="Times New Roman"/>
          <w:sz w:val="24"/>
        </w:rPr>
        <w:t xml:space="preserve"> hereto as constituting part of the Time of Sale Information and the Canadian Preliminary Offering Memorandum (as defined below). </w:t>
      </w:r>
    </w:p>
    <w:p>
      <w:pPr>
        <w:pStyle w:val="TextBody"/>
        <w:bidi w:val="0"/>
        <w:spacing w:before="240" w:after="0"/>
        <w:jc w:val="left"/>
        <w:rPr>
          <w:rFonts w:ascii="Times New Roman" w:hAnsi="Times New Roman"/>
          <w:sz w:val="24"/>
        </w:rPr>
      </w:pPr>
      <w:r>
        <w:rPr>
          <w:rFonts w:ascii="Times New Roman" w:hAnsi="Times New Roman"/>
          <w:sz w:val="24"/>
        </w:rPr>
        <w:t xml:space="preserve">The payment of principal of, and premium and interest on, the Notes will be initially fully and unconditionally guaranteed on a senior unsecured basis, jointly and severally, by (i) the Company and (ii) each of the Company’s subsidiaries listed on </w:t>
      </w:r>
      <w:r>
        <w:rPr>
          <w:rFonts w:ascii="Times New Roman" w:hAnsi="Times New Roman"/>
          <w:sz w:val="24"/>
          <w:u w:val="single"/>
        </w:rPr>
        <w:t>Schedule II</w:t>
      </w:r>
      <w:r>
        <w:rPr>
          <w:rFonts w:ascii="Times New Roman" w:hAnsi="Times New Roman"/>
          <w:sz w:val="24"/>
        </w:rPr>
        <w:t xml:space="preserve"> hereto under the heading “List of Subsidiary Guarantors” (collectively, the “</w:t>
      </w:r>
      <w:r>
        <w:rPr>
          <w:rFonts w:ascii="Times New Roman" w:hAnsi="Times New Roman"/>
          <w:sz w:val="24"/>
          <w:u w:val="single"/>
        </w:rPr>
        <w:t>Guarantors</w:t>
      </w:r>
      <w:r>
        <w:rPr>
          <w:rFonts w:ascii="Times New Roman" w:hAnsi="Times New Roman"/>
          <w:sz w:val="24"/>
        </w:rPr>
        <w:t>”), pursuant to their guarantees of the Notes (the “</w:t>
      </w:r>
      <w:r>
        <w:rPr>
          <w:rFonts w:ascii="Times New Roman" w:hAnsi="Times New Roman"/>
          <w:sz w:val="24"/>
          <w:u w:val="single"/>
        </w:rPr>
        <w:t>Guarantees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As used in this underwriting agreement (this “</w:t>
      </w:r>
      <w:r>
        <w:rPr>
          <w:rFonts w:ascii="Times New Roman" w:hAnsi="Times New Roman"/>
          <w:sz w:val="24"/>
          <w:u w:val="single"/>
        </w:rPr>
        <w:t>Agreement</w:t>
      </w:r>
      <w:r>
        <w:rPr>
          <w:rFonts w:ascii="Times New Roman" w:hAnsi="Times New Roman"/>
          <w:sz w:val="24"/>
        </w:rPr>
        <w:t>”), the term “</w:t>
      </w:r>
      <w:r>
        <w:rPr>
          <w:rFonts w:ascii="Times New Roman" w:hAnsi="Times New Roman"/>
          <w:sz w:val="24"/>
          <w:u w:val="single"/>
        </w:rPr>
        <w:t>Transactions</w:t>
      </w:r>
      <w:r>
        <w:rPr>
          <w:rFonts w:ascii="Times New Roman" w:hAnsi="Times New Roman"/>
          <w:sz w:val="24"/>
        </w:rPr>
        <w:t>” means, collectively, (i) the issuance and sale of the Securities and (ii) the payment of all fees and expenses related to the foregoing. The term “</w:t>
      </w:r>
      <w:r>
        <w:rPr>
          <w:rFonts w:ascii="Times New Roman" w:hAnsi="Times New Roman"/>
          <w:sz w:val="24"/>
          <w:u w:val="single"/>
        </w:rPr>
        <w:t>Transaction Documents</w:t>
      </w:r>
      <w:r>
        <w:rPr>
          <w:rFonts w:ascii="Times New Roman" w:hAnsi="Times New Roman"/>
          <w:sz w:val="24"/>
        </w:rPr>
        <w:t xml:space="preserve">” collectively refers to this Agreement, the Indenture (including the Guarantees) and the Notes. </w:t>
      </w:r>
    </w:p>
    <w:p>
      <w:pPr>
        <w:pStyle w:val="TextBody"/>
        <w:bidi w:val="0"/>
        <w:spacing w:before="240" w:after="0"/>
        <w:jc w:val="left"/>
        <w:rPr>
          <w:rFonts w:ascii="Times New Roman" w:hAnsi="Times New Roman"/>
          <w:sz w:val="24"/>
        </w:rPr>
      </w:pPr>
      <w:r>
        <w:rPr>
          <w:rFonts w:ascii="Times New Roman" w:hAnsi="Times New Roman"/>
          <w:sz w:val="24"/>
        </w:rPr>
        <w:t>The Registration Statement, the Preliminary Prospectus, the Canadian Base Prospectus, the Prospectus, the Canadian Final Prospectus, the Canadian Offering Memorandum (each as defined below) and all other documents, if any, filed or to be filed by TR Finance or the Company with the Commission (as defined below), the Reviewing Authority or any other federal, state, provincial or local or other governmental or regulatory agency or authority relating to the Offering and such other documents (including, without limitation, any Issuer Free Writing Prospectus (as defined herein), electronic roadshow or investor presentation, advertisements, press releases or summaries relating to the Offering) as TR Finance and the Company may authorize for use in connection with the Offering, as amended or supplemented from time to time, are collectively referred to as the “</w:t>
      </w:r>
      <w:r>
        <w:rPr>
          <w:rFonts w:ascii="Times New Roman" w:hAnsi="Times New Roman"/>
          <w:sz w:val="24"/>
          <w:u w:val="single"/>
        </w:rPr>
        <w:t>Offer Materials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Each of TR Finance, the Company and the other Guarantors hereby confirms its agreement with the several Underwriters concerning the purchase and sale of the Securities, as follows: </w:t>
      </w:r>
    </w:p>
    <w:p>
      <w:pPr>
        <w:pStyle w:val="TextBody"/>
        <w:bidi w:val="0"/>
        <w:spacing w:before="240" w:after="0"/>
        <w:jc w:val="left"/>
        <w:rPr>
          <w:rFonts w:ascii="Times New Roman" w:hAnsi="Times New Roman"/>
          <w:sz w:val="24"/>
        </w:rPr>
      </w:pPr>
      <w:r>
        <w:rPr>
          <w:rFonts w:ascii="Times New Roman" w:hAnsi="Times New Roman"/>
          <w:sz w:val="24"/>
        </w:rPr>
        <w:t>1.   </w:t>
      </w:r>
      <w:r>
        <w:rPr>
          <w:rFonts w:ascii="Times New Roman" w:hAnsi="Times New Roman"/>
          <w:sz w:val="24"/>
          <w:u w:val="single"/>
        </w:rPr>
        <w:t>Registration Statement</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(a) The Company and TR Finance have filed a short form base shelf prospectus dated March 31, 2025 (including all documents incorporated therein by reference) with respect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distribution of unsecured debt securities of the Company and TR Finance (the “</w:t>
      </w:r>
      <w:r>
        <w:rPr>
          <w:rFonts w:ascii="Times New Roman" w:hAnsi="Times New Roman"/>
          <w:sz w:val="24"/>
          <w:u w:val="single"/>
        </w:rPr>
        <w:t>Canadian Base Prospectus</w:t>
      </w:r>
      <w:r>
        <w:rPr>
          <w:rFonts w:ascii="Times New Roman" w:hAnsi="Times New Roman"/>
          <w:sz w:val="24"/>
        </w:rPr>
        <w:t>”), for which a receipt has been obtained, and will file a prospectus supplement relating to the Notes (such prospectus supplement together with the Canadian Base Prospectus, including all documents incorporated therein by reference, the “</w:t>
      </w:r>
      <w:r>
        <w:rPr>
          <w:rFonts w:ascii="Times New Roman" w:hAnsi="Times New Roman"/>
          <w:sz w:val="24"/>
          <w:u w:val="single"/>
        </w:rPr>
        <w:t>Canadian Final Prospectus</w:t>
      </w:r>
      <w:r>
        <w:rPr>
          <w:rFonts w:ascii="Times New Roman" w:hAnsi="Times New Roman"/>
          <w:sz w:val="24"/>
        </w:rPr>
        <w:t>”) with the Ontario Securities Commission (the “</w:t>
      </w:r>
      <w:r>
        <w:rPr>
          <w:rFonts w:ascii="Times New Roman" w:hAnsi="Times New Roman"/>
          <w:sz w:val="24"/>
          <w:u w:val="single"/>
        </w:rPr>
        <w:t>Reviewing Authority</w:t>
      </w:r>
      <w:r>
        <w:rPr>
          <w:rFonts w:ascii="Times New Roman" w:hAnsi="Times New Roman"/>
          <w:sz w:val="24"/>
        </w:rPr>
        <w:t>”) and with the securities commissions in each of the other Provinces of Canada (the “</w:t>
      </w:r>
      <w:r>
        <w:rPr>
          <w:rFonts w:ascii="Times New Roman" w:hAnsi="Times New Roman"/>
          <w:sz w:val="24"/>
          <w:u w:val="single"/>
        </w:rPr>
        <w:t>Qualifying Authorities</w:t>
      </w:r>
      <w:r>
        <w:rPr>
          <w:rFonts w:ascii="Times New Roman" w:hAnsi="Times New Roman"/>
          <w:sz w:val="24"/>
        </w:rPr>
        <w:t>”), in accordance with the rules and procedures established pursuant to the securities laws of all the Provinces of Canada (the “</w:t>
      </w:r>
      <w:r>
        <w:rPr>
          <w:rFonts w:ascii="Times New Roman" w:hAnsi="Times New Roman"/>
          <w:sz w:val="24"/>
          <w:u w:val="single"/>
        </w:rPr>
        <w:t>Qualifying Canadian Jurisdictions</w:t>
      </w:r>
      <w:r>
        <w:rPr>
          <w:rFonts w:ascii="Times New Roman" w:hAnsi="Times New Roman"/>
          <w:sz w:val="24"/>
        </w:rPr>
        <w:t xml:space="preserve">”) and, in particular, pursuant to National Instrument 44-101 – </w:t>
      </w:r>
      <w:r>
        <w:rPr>
          <w:rFonts w:ascii="Times New Roman" w:hAnsi="Times New Roman"/>
          <w:i/>
          <w:sz w:val="24"/>
        </w:rPr>
        <w:t xml:space="preserve">Short Form Prospectus Distributions </w:t>
      </w:r>
      <w:r>
        <w:rPr>
          <w:rFonts w:ascii="Times New Roman" w:hAnsi="Times New Roman"/>
          <w:sz w:val="24"/>
        </w:rPr>
        <w:t xml:space="preserve">and National Instrument 44-102 – </w:t>
      </w:r>
      <w:r>
        <w:rPr>
          <w:rFonts w:ascii="Times New Roman" w:hAnsi="Times New Roman"/>
          <w:i/>
          <w:sz w:val="24"/>
        </w:rPr>
        <w:t>Shelf Distributions</w:t>
      </w:r>
      <w:r>
        <w:rPr>
          <w:rFonts w:ascii="Times New Roman" w:hAnsi="Times New Roman"/>
          <w:sz w:val="24"/>
        </w:rPr>
        <w:t>. Where used herein, the term “</w:t>
      </w:r>
      <w:r>
        <w:rPr>
          <w:rFonts w:ascii="Times New Roman" w:hAnsi="Times New Roman"/>
          <w:sz w:val="24"/>
          <w:u w:val="single"/>
        </w:rPr>
        <w:t>Canadian Securities Laws</w:t>
      </w:r>
      <w:r>
        <w:rPr>
          <w:rFonts w:ascii="Times New Roman" w:hAnsi="Times New Roman"/>
          <w:sz w:val="24"/>
        </w:rPr>
        <w:t xml:space="preserve">” shall mean the securities laws, rules and regulations applicable in the Province of Ontario as interpreted and applied by the Reviewing Authority and with the securities laws, rules and regulations applicable in all of the other Provinces of Canada, as interpreted and applied by the Qualifying Authorities. </w:t>
      </w:r>
    </w:p>
    <w:p>
      <w:pPr>
        <w:pStyle w:val="TextBody"/>
        <w:bidi w:val="0"/>
        <w:spacing w:before="240" w:after="0"/>
        <w:jc w:val="left"/>
        <w:rPr>
          <w:rFonts w:ascii="Times New Roman" w:hAnsi="Times New Roman"/>
          <w:sz w:val="24"/>
        </w:rPr>
      </w:pPr>
      <w:r>
        <w:rPr>
          <w:rFonts w:ascii="Times New Roman" w:hAnsi="Times New Roman"/>
          <w:sz w:val="24"/>
        </w:rPr>
        <w:t>(b) TR Finance has also prepared a preliminary confidential Canadian offering memorandum, dated as of September 10, 2026, including the Preliminary Prospectus (the “</w:t>
      </w:r>
      <w:r>
        <w:rPr>
          <w:rFonts w:ascii="Times New Roman" w:hAnsi="Times New Roman"/>
          <w:sz w:val="24"/>
          <w:u w:val="single"/>
        </w:rPr>
        <w:t>Canadian Preliminary Offering Memorandum</w:t>
      </w:r>
      <w:r>
        <w:rPr>
          <w:rFonts w:ascii="Times New Roman" w:hAnsi="Times New Roman"/>
          <w:sz w:val="24"/>
        </w:rPr>
        <w:t>”), and will prepare a final confidential Canadian offering memorandum, including the Prospectus (the “</w:t>
      </w:r>
      <w:r>
        <w:rPr>
          <w:rFonts w:ascii="Times New Roman" w:hAnsi="Times New Roman"/>
          <w:sz w:val="24"/>
          <w:u w:val="single"/>
        </w:rPr>
        <w:t>Canadian Final Offering Memorandum</w:t>
      </w:r>
      <w:r>
        <w:rPr>
          <w:rFonts w:ascii="Times New Roman" w:hAnsi="Times New Roman"/>
          <w:sz w:val="24"/>
        </w:rPr>
        <w:t>” and, together with the Canadian Preliminary Offering Memorandum, the “</w:t>
      </w:r>
      <w:r>
        <w:rPr>
          <w:rFonts w:ascii="Times New Roman" w:hAnsi="Times New Roman"/>
          <w:sz w:val="24"/>
          <w:u w:val="single"/>
        </w:rPr>
        <w:t>Canadian Offering Memorandum</w:t>
      </w:r>
      <w:r>
        <w:rPr>
          <w:rFonts w:ascii="Times New Roman" w:hAnsi="Times New Roman"/>
          <w:sz w:val="24"/>
        </w:rPr>
        <w:t xml:space="preserve">”), in each case to be used by the Canadian investment dealer affiliates of the Underwriters in connection with the offer and sale of the Notes to purchasers or prospective purchasers of Notes located in the Qualifying Canadian Jurisdictions in accordance with this Agreement. </w:t>
      </w:r>
    </w:p>
    <w:p>
      <w:pPr>
        <w:pStyle w:val="TextBody"/>
        <w:bidi w:val="0"/>
        <w:spacing w:before="240" w:after="0"/>
        <w:jc w:val="left"/>
        <w:rPr>
          <w:rFonts w:ascii="Times New Roman" w:hAnsi="Times New Roman"/>
          <w:sz w:val="24"/>
        </w:rPr>
      </w:pPr>
      <w:r>
        <w:rPr>
          <w:rFonts w:ascii="Times New Roman" w:hAnsi="Times New Roman"/>
          <w:sz w:val="24"/>
        </w:rPr>
        <w:t>(c) The Company and TR Finance have prepared and filed with the Securities and Exchange Commission (the “</w:t>
      </w:r>
      <w:r>
        <w:rPr>
          <w:rFonts w:ascii="Times New Roman" w:hAnsi="Times New Roman"/>
          <w:sz w:val="24"/>
          <w:u w:val="single"/>
        </w:rPr>
        <w:t>Commission</w:t>
      </w:r>
      <w:r>
        <w:rPr>
          <w:rFonts w:ascii="Times New Roman" w:hAnsi="Times New Roman"/>
          <w:sz w:val="24"/>
        </w:rPr>
        <w:t>”) under the Securities Act of 1933, as amended, and the rules and regulations promulgated thereunder (collectively, the “</w:t>
      </w:r>
      <w:r>
        <w:rPr>
          <w:rFonts w:ascii="Times New Roman" w:hAnsi="Times New Roman"/>
          <w:sz w:val="24"/>
          <w:u w:val="single"/>
        </w:rPr>
        <w:t>Securities Act</w:t>
      </w:r>
      <w:r>
        <w:rPr>
          <w:rFonts w:ascii="Times New Roman" w:hAnsi="Times New Roman"/>
          <w:sz w:val="24"/>
        </w:rPr>
        <w:t>”), pursuant to the Canada/U.S. Multijurisdictional Disclosure System adopted by the Commission, a joint registration statement on Form F-10 (“</w:t>
      </w:r>
      <w:r>
        <w:rPr>
          <w:rFonts w:ascii="Times New Roman" w:hAnsi="Times New Roman"/>
          <w:sz w:val="24"/>
          <w:u w:val="single"/>
        </w:rPr>
        <w:t>Form F-10</w:t>
      </w:r>
      <w:r>
        <w:rPr>
          <w:rFonts w:ascii="Times New Roman" w:hAnsi="Times New Roman"/>
          <w:sz w:val="24"/>
        </w:rPr>
        <w:t>”) and Form F-3 (“</w:t>
      </w:r>
      <w:r>
        <w:rPr>
          <w:rFonts w:ascii="Times New Roman" w:hAnsi="Times New Roman"/>
          <w:sz w:val="24"/>
          <w:u w:val="single"/>
        </w:rPr>
        <w:t>Form F-3</w:t>
      </w:r>
      <w:r>
        <w:rPr>
          <w:rFonts w:ascii="Times New Roman" w:hAnsi="Times New Roman"/>
          <w:sz w:val="24"/>
        </w:rPr>
        <w:t>”) (File Nos. 333-285907 and 333-285927), including a prospectus, relating to the Securities. Such registration statement, including all exhibits thereto and the documents incorporated by reference in the prospectus contained in the registration statement at the time such registration statement became effective, as amended at the time such registration statement became effective and including any post-effective amendment thereto and any prospectus supplement relating to the Securities that is filed with the Commission pursuant to Rule 424(b) or General Instruction II.L. of Form F-10, as applicable, are hereinafter referred to as the “</w:t>
      </w:r>
      <w:r>
        <w:rPr>
          <w:rFonts w:ascii="Times New Roman" w:hAnsi="Times New Roman"/>
          <w:sz w:val="24"/>
          <w:u w:val="single"/>
        </w:rPr>
        <w:t>Registration Statement</w:t>
      </w:r>
      <w:r>
        <w:rPr>
          <w:rFonts w:ascii="Times New Roman" w:hAnsi="Times New Roman"/>
          <w:sz w:val="24"/>
        </w:rPr>
        <w:t>”; and as used herein, the term “</w:t>
      </w:r>
      <w:r>
        <w:rPr>
          <w:rFonts w:ascii="Times New Roman" w:hAnsi="Times New Roman"/>
          <w:sz w:val="24"/>
          <w:u w:val="single"/>
        </w:rPr>
        <w:t>Preliminary Prospectus</w:t>
      </w:r>
      <w:r>
        <w:rPr>
          <w:rFonts w:ascii="Times New Roman" w:hAnsi="Times New Roman"/>
          <w:sz w:val="24"/>
        </w:rPr>
        <w:t>” means the prospectus included in the Registration Statement (the “</w:t>
      </w:r>
      <w:r>
        <w:rPr>
          <w:rFonts w:ascii="Times New Roman" w:hAnsi="Times New Roman"/>
          <w:sz w:val="24"/>
          <w:u w:val="single"/>
        </w:rPr>
        <w:t>Base Prospectus</w:t>
      </w:r>
      <w:r>
        <w:rPr>
          <w:rFonts w:ascii="Times New Roman" w:hAnsi="Times New Roman"/>
          <w:sz w:val="24"/>
        </w:rPr>
        <w:t>”) plus the preliminary prospectus supplement, dated September 10, 2026, to the Base Prospectus relating to the Securities at the time it was filed, and the term “</w:t>
      </w:r>
      <w:r>
        <w:rPr>
          <w:rFonts w:ascii="Times New Roman" w:hAnsi="Times New Roman"/>
          <w:sz w:val="24"/>
          <w:u w:val="single"/>
        </w:rPr>
        <w:t>Prospectus</w:t>
      </w:r>
      <w:r>
        <w:rPr>
          <w:rFonts w:ascii="Times New Roman" w:hAnsi="Times New Roman"/>
          <w:sz w:val="24"/>
        </w:rPr>
        <w:t xml:space="preserve">” means the Base Prospectus plus the final prospectus supplement relating to the offering of the Securities to be filed with the Commission pursuant to Rule 424(b) or General Instruction II.L. of Form F-10, as applicable. Any reference in this Agreement to the Registration Statement, any Preliminary Prospectus or the Prospectus shall be deemed to refer to and include the documents incorporated by reference therein pursuant to Item 6 of Form F-3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deemed to refer to and include any documents filed after such date under the Securities Exchange Act of 1934, as amended, and the rules and regulations promulgated thereunder (collectively, the “</w:t>
      </w:r>
      <w:r>
        <w:rPr>
          <w:rFonts w:ascii="Times New Roman" w:hAnsi="Times New Roman"/>
          <w:sz w:val="24"/>
          <w:u w:val="single"/>
        </w:rPr>
        <w:t>Exchange Act</w:t>
      </w:r>
      <w:r>
        <w:rPr>
          <w:rFonts w:ascii="Times New Roman" w:hAnsi="Times New Roman"/>
          <w:sz w:val="24"/>
        </w:rPr>
        <w:t xml:space="preserve">”)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4"/>
        </w:rPr>
      </w:pPr>
      <w:r>
        <w:rPr>
          <w:rFonts w:ascii="Times New Roman" w:hAnsi="Times New Roman"/>
          <w:sz w:val="24"/>
        </w:rPr>
        <w:t>2.   </w:t>
      </w:r>
      <w:r>
        <w:rPr>
          <w:rFonts w:ascii="Times New Roman" w:hAnsi="Times New Roman"/>
          <w:sz w:val="24"/>
          <w:u w:val="single"/>
        </w:rPr>
        <w:t>Purchase of the Securities by the Underwriters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(a) TR Finance, on the basis of the representations, warranties and agreements herein contained and subject to the terms and conditions herein set forth,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TR Finance the aggregate principal amount of Notes set forth opposite such Underwriter’s name on </w:t>
      </w:r>
      <w:r>
        <w:rPr>
          <w:rFonts w:ascii="Times New Roman" w:hAnsi="Times New Roman"/>
          <w:sz w:val="24"/>
          <w:u w:val="single"/>
        </w:rPr>
        <w:t>Schedule I</w:t>
      </w:r>
      <w:r>
        <w:rPr>
          <w:rFonts w:ascii="Times New Roman" w:hAnsi="Times New Roman"/>
          <w:sz w:val="24"/>
        </w:rPr>
        <w:t xml:space="preserve"> hereto at a price equal to 99.789% of the principal amount thereof with respect to the 2028 Notes and at a price equal to 99.306% of the principal amount thereof with respect to the 2033 Notes, in each case, plus accrued interest, if any, from September 17, 2026 to but excluding the Closing Date. TR Finance will not be obligated to deliver any of the Securities except upon payment for all the Securities to be purchased as provided herein. </w:t>
      </w:r>
    </w:p>
    <w:p>
      <w:pPr>
        <w:pStyle w:val="TextBody"/>
        <w:bidi w:val="0"/>
        <w:spacing w:before="240" w:after="0"/>
        <w:jc w:val="left"/>
        <w:rPr>
          <w:rFonts w:ascii="Times New Roman" w:hAnsi="Times New Roman"/>
          <w:sz w:val="24"/>
        </w:rPr>
      </w:pPr>
      <w:r>
        <w:rPr>
          <w:rFonts w:ascii="Times New Roman" w:hAnsi="Times New Roman"/>
          <w:sz w:val="24"/>
        </w:rPr>
        <w:t xml:space="preserve">(b) TR Finance understands that the Underwriters intend to make an offering of the Securities on the terms set forth in the Prospectus and Canadian Final Prospectus. TR Finance acknowledges and agrees that the Underwriters may offer and sell Securities to or through any affiliate of an Underwriter and that any such affiliate may offer and sell Securities purchased by it to or through any Underwriter; </w:t>
      </w:r>
      <w:r>
        <w:rPr>
          <w:rFonts w:ascii="Times New Roman" w:hAnsi="Times New Roman"/>
          <w:i/>
          <w:sz w:val="24"/>
        </w:rPr>
        <w:t>provided</w:t>
      </w:r>
      <w:r>
        <w:rPr>
          <w:rFonts w:ascii="Times New Roman" w:hAnsi="Times New Roman"/>
          <w:sz w:val="24"/>
        </w:rPr>
        <w:t xml:space="preserve"> that (i) such offers and sales are made on the basis of the representations, warranties and agreements of the Underwriters and otherwise in accordance with the provisions of this Agreement as if such affiliates were named as Underwriters hereunder and (ii) such Underwriter shall be responsible for any actions of its affiliates. </w:t>
      </w:r>
    </w:p>
    <w:p>
      <w:pPr>
        <w:pStyle w:val="TextBody"/>
        <w:bidi w:val="0"/>
        <w:spacing w:before="240" w:after="0"/>
        <w:jc w:val="left"/>
        <w:rPr>
          <w:rFonts w:ascii="Times New Roman" w:hAnsi="Times New Roman"/>
          <w:sz w:val="24"/>
        </w:rPr>
      </w:pPr>
      <w:r>
        <w:rPr>
          <w:rFonts w:ascii="Times New Roman" w:hAnsi="Times New Roman"/>
          <w:sz w:val="24"/>
        </w:rPr>
        <w:t>(c) Payment for and delivery of the Securities will be made at the offices of Cravath, Swaine &amp; Moore LLP, 375 Ninth Avenue, New York, New York 10001, at 9:00 A.M., New York City time, on September 17, 2026, or at such other time or place on the same or such other date, not later than the fifth business day thereafter, as the Representatives and TR Finance may agree upon in writing. The time and date of such payment and delivery is referred to herein as the “</w:t>
      </w:r>
      <w:r>
        <w:rPr>
          <w:rFonts w:ascii="Times New Roman" w:hAnsi="Times New Roman"/>
          <w:sz w:val="24"/>
          <w:u w:val="single"/>
        </w:rPr>
        <w:t>Closing Date</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(d) Payment for the Securities shall be made by wire transfer in immediately available funds to the account(s) specified by TR Finance to the Representatives against delivery to the nominee of The Depository Trust Company (“</w:t>
      </w:r>
      <w:r>
        <w:rPr>
          <w:rFonts w:ascii="Times New Roman" w:hAnsi="Times New Roman"/>
          <w:sz w:val="24"/>
          <w:u w:val="single"/>
        </w:rPr>
        <w:t>DTC</w:t>
      </w:r>
      <w:r>
        <w:rPr>
          <w:rFonts w:ascii="Times New Roman" w:hAnsi="Times New Roman"/>
          <w:sz w:val="24"/>
        </w:rPr>
        <w:t xml:space="preserve">”), for the respective accounts of the several Underwriters, of one or more global notes representing the Notes, with any transfer taxes payable in connection with the sale of the Securities duly paid by TR Finance. </w:t>
      </w:r>
    </w:p>
    <w:p>
      <w:pPr>
        <w:pStyle w:val="TextBody"/>
        <w:bidi w:val="0"/>
        <w:spacing w:before="240" w:after="0"/>
        <w:jc w:val="left"/>
        <w:rPr>
          <w:rFonts w:ascii="Times New Roman" w:hAnsi="Times New Roman"/>
          <w:sz w:val="24"/>
        </w:rPr>
      </w:pPr>
      <w:r>
        <w:rPr>
          <w:rFonts w:ascii="Times New Roman" w:hAnsi="Times New Roman"/>
          <w:sz w:val="24"/>
        </w:rPr>
        <w:t>(e) TR Finance, the Company and the other Guarantors acknowledge and agree that the Underwriters are acting solely in the capacity of arm’s-length contractual counterparties to TR Finance, the Company and the other Guarantors with respect to the offering of Securities contemplated hereby (the “</w:t>
      </w:r>
      <w:r>
        <w:rPr>
          <w:rFonts w:ascii="Times New Roman" w:hAnsi="Times New Roman"/>
          <w:sz w:val="24"/>
          <w:u w:val="single"/>
        </w:rPr>
        <w:t>Offering</w:t>
      </w:r>
      <w:r>
        <w:rPr>
          <w:rFonts w:ascii="Times New Roman" w:hAnsi="Times New Roman"/>
          <w:sz w:val="24"/>
        </w:rPr>
        <w:t xml:space="preserve">”) (including in connection with determining the terms of the Offering) and not as a financial advisor or a fiduciary to, or an agent of, TR Finance,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Company, the Guarantors or any other person. Additionally, no Underwriter is advising TR Finance, the Company, the other Guarantors or any other person as to any legal, tax, investment, accounting or regulatory matters in any jurisdiction pursuant to this Agreement. TR Finance, the Company and the Guarantors shall consult with their own advisors concerning such matters and shall be responsible for making their own independent investigation and appraisal of the Transactions, and no Underwriter shall have any responsibility or liability to TR Finance, the Company or the Guarantors with respect thereto. Any review by the Underwriters of TR Finance, the Company, the Guarantors, the Transactions or other matters relating to such Transactions will be performed solely for the benefit of the Underwriters and shall not be on behalf of TR Finance, the Company or the Guarantors. </w:t>
      </w:r>
    </w:p>
    <w:p>
      <w:pPr>
        <w:pStyle w:val="TextBody"/>
        <w:bidi w:val="0"/>
        <w:spacing w:before="240" w:after="0"/>
        <w:jc w:val="left"/>
        <w:rPr>
          <w:rFonts w:ascii="Times New Roman" w:hAnsi="Times New Roman"/>
          <w:sz w:val="24"/>
        </w:rPr>
      </w:pPr>
      <w:r>
        <w:rPr>
          <w:rFonts w:ascii="Times New Roman" w:hAnsi="Times New Roman"/>
          <w:sz w:val="24"/>
        </w:rPr>
        <w:t>3.</w:t>
      </w:r>
      <w:r>
        <w:rPr>
          <w:rFonts w:ascii="Times New Roman" w:hAnsi="Times New Roman"/>
          <w:sz w:val="24"/>
          <w:u w:val="single"/>
        </w:rPr>
        <w:t> Representations and Warranties of TR Finance, the Company and the other Guarantors</w:t>
      </w:r>
      <w:r>
        <w:rPr>
          <w:rFonts w:ascii="Times New Roman" w:hAnsi="Times New Roman"/>
          <w:sz w:val="24"/>
        </w:rPr>
        <w:t xml:space="preserve">. TR Finance, the Company and the other Guarantors jointly and severally represent, warrant and agree (i) on and as of the date hereof and (ii) on and as of the Closing Date that: </w:t>
      </w:r>
    </w:p>
    <w:p>
      <w:pPr>
        <w:pStyle w:val="TextBody"/>
        <w:bidi w:val="0"/>
        <w:spacing w:before="240" w:after="0"/>
        <w:jc w:val="left"/>
        <w:rPr>
          <w:rFonts w:ascii="Times New Roman" w:hAnsi="Times New Roman"/>
          <w:sz w:val="24"/>
        </w:rPr>
      </w:pPr>
      <w:r>
        <w:rPr>
          <w:rFonts w:ascii="Times New Roman" w:hAnsi="Times New Roman"/>
          <w:sz w:val="24"/>
        </w:rPr>
        <w:t xml:space="preserve">(a)  </w:t>
      </w:r>
    </w:p>
    <w:p>
      <w:pPr>
        <w:pStyle w:val="TextBody"/>
        <w:bidi w:val="0"/>
        <w:spacing w:before="240" w:after="0"/>
        <w:jc w:val="left"/>
        <w:rPr>
          <w:rFonts w:ascii="Times New Roman" w:hAnsi="Times New Roman"/>
          <w:sz w:val="24"/>
        </w:rPr>
      </w:pPr>
      <w:r>
        <w:rPr>
          <w:rFonts w:ascii="Times New Roman" w:hAnsi="Times New Roman"/>
          <w:sz w:val="24"/>
        </w:rPr>
        <w:t>(i) TR Finance, the Company and the other Guarantors have prepared and filed with the Commission the Registration Statement on Form F-10 and Form F-3, including a related Preliminary Prospectus, for registration under the Securities Act of the Securities in connection with the Offering and, in the case of the Company, an appointment of agent for service of process for the Company on Form F-X in conjunction with the filing of the Registration Statement with the Commission, and have caused the U.S. Trustee to prepare and file with the Commission a Form T-1 (the “</w:t>
      </w:r>
      <w:r>
        <w:rPr>
          <w:rFonts w:ascii="Times New Roman" w:hAnsi="Times New Roman"/>
          <w:sz w:val="24"/>
          <w:u w:val="single"/>
        </w:rPr>
        <w:t>Form T-1</w:t>
      </w:r>
      <w:r>
        <w:rPr>
          <w:rFonts w:ascii="Times New Roman" w:hAnsi="Times New Roman"/>
          <w:sz w:val="24"/>
        </w:rPr>
        <w:t>”) under the TIA (as defined below). The Registration Statement, including any amendments thereto filed prior to the time of execution and delivery of this Agreement, including the Canadian Base Prospectus with such deletions therefrom and additions thereto as are permitted or required by Form F-10 and the applicable rules and regulations of the Commission and including exhibits to the Registration Statement and all documents incorporated by reference in the prospectus contained therein, each in the form hereto delivered or to be delivered to the Representatives, has been declared effective by the Commission in such form and any request on the part of the Commission or any other federal, state or local or governmental or regulatory agency, authority or instrumentality or court or arbitrator (“</w:t>
      </w:r>
      <w:r>
        <w:rPr>
          <w:rFonts w:ascii="Times New Roman" w:hAnsi="Times New Roman"/>
          <w:sz w:val="24"/>
          <w:u w:val="single"/>
        </w:rPr>
        <w:t>Other Agency</w:t>
      </w:r>
      <w:r>
        <w:rPr>
          <w:rFonts w:ascii="Times New Roman" w:hAnsi="Times New Roman"/>
          <w:sz w:val="24"/>
        </w:rPr>
        <w:t xml:space="preserve">”) for the amending or supplementing of the Offer Materials (as defined herein) or for additional information will have been complied with. TR Finance and the Company have filed with the Commission, pursuant to Rule 424(b) or General Instruction II.L. of Form F-10, as applicable, a preliminary prospectus supplement relating to the offering of the Securities; no other document with respect to the Registration Statement has heretofore been filed or transmitted for filing with the Commission, except for any documents filed with the Commission subsequent to the date of such effectiveness in the form heretofore delivered to the Representatives. As filed, the Prospectus shall contain all information required by the Securities Act and the Exchange Act and the rules and regulations of the Commission thereunder. The Company and TR Finance meet the conditions for the use of Form F-10 and Form F-3, respectively, with respect to the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Statement in connection with the Offering as contemplated by this Agreement and TR Finance is eligible to file a short form prospectus with the Reviewing Authority and the Qualifying Authorities. </w:t>
      </w:r>
    </w:p>
    <w:p>
      <w:pPr>
        <w:pStyle w:val="TextBody"/>
        <w:bidi w:val="0"/>
        <w:spacing w:before="240" w:after="0"/>
        <w:jc w:val="left"/>
        <w:rPr>
          <w:rFonts w:ascii="Times New Roman" w:hAnsi="Times New Roman"/>
          <w:sz w:val="24"/>
        </w:rPr>
      </w:pPr>
      <w:r>
        <w:rPr>
          <w:rFonts w:ascii="Times New Roman" w:hAnsi="Times New Roman"/>
          <w:sz w:val="24"/>
        </w:rPr>
        <w:t>(ii) (w) The Registration Statement and any amendment thereto, as of the date hereof, the Preliminary Prospectus and the Canadian Base Prospectus (together with any supplement or amendment thereto), as of the date of the Registration Statement, and the date it is first used, as applicable, and the Canadian Final Offering Memorandum at the time first used by the Underwriters to confirm sales of the Notes, will comply in all material respects with the Securities Act and applicable Canadian Securities Laws, as applicable, (x) the Registration Statement and any amendment thereto, as of the Closing Date, and the Prospectus, the Canadian Final Prospectus and the Canadian Final Offering Memorandum (together with any supplement or amendment thereto), as of its date and as of the Closing Date, as applicable, will comply in all material respects with the Securities Act and applicable Canadian Securities Laws, as applicable, (y) the Registration Statement and any amendment thereto, as of the Closing Date, did not contain, and will not contain, any untrue statement of a material fact and did not omit, and will not omit, to state a material fact required to be stated therein or necessary to make the statements therein not misleading, and (z) the Preliminary Prospectus and the Canadian Base Prospectus (together with any supplement or amendment thereto), as of the date of the Registration Statement and the date it is first used, as applicable, the Canadian Preliminary Offering Memorandum, as of the date it is first used, and the Prospectus, the Canadian Final Prospectus (together with any supplement or amendment thereto) and the Canadian Final Offering Memorandum, as of its date and as of the Closing Date, as applicable, will not contain, any untrue statement of a material fact or any “misrepresentation” (as such term is defined under applicable Canadian Securities Laws) and did not omit, and will not omit, to state a material fact necessary in order to make the statements therein, in the light of the circumstances under which they were made, not misleading; provided, however, that TR Finance, the Company and the other Guarantors make no representation or warranty with respect to (i) that part of the Registration Statement that constitutes the Statement of Eligibility and Qualification (Form T-1) of the U.S. Trustee under the Trust Indenture Act of 1939, as amended, and the rules and regulations of the Commission applicable to indentures qualified thereunder (collectively, the “</w:t>
      </w:r>
      <w:r>
        <w:rPr>
          <w:rFonts w:ascii="Times New Roman" w:hAnsi="Times New Roman"/>
          <w:sz w:val="24"/>
          <w:u w:val="single"/>
        </w:rPr>
        <w:t>TIA</w:t>
      </w:r>
      <w:r>
        <w:rPr>
          <w:rFonts w:ascii="Times New Roman" w:hAnsi="Times New Roman"/>
          <w:sz w:val="24"/>
        </w:rPr>
        <w:t>”) and TR Finance, the Company and the other Guarantors make no representation or warranty with respect to any statements or omissions made in reliance upon and in conformity with information relating to any Underwriter furnished to TR Finance in writing by such Underwriter expressly for use in the Registration Statement, the Preliminary Prospectus, the Canadian Base Prospectus, the Prospectus, the Canadian Final Prospectus or the Canadian Offering Memorandum (or any supplement or amendment thereto) (the “</w:t>
      </w:r>
      <w:r>
        <w:rPr>
          <w:rFonts w:ascii="Times New Roman" w:hAnsi="Times New Roman"/>
          <w:sz w:val="24"/>
          <w:u w:val="single"/>
        </w:rPr>
        <w:t>Underwriter Information</w:t>
      </w:r>
      <w:r>
        <w:rPr>
          <w:rFonts w:ascii="Times New Roman" w:hAnsi="Times New Roman"/>
          <w:sz w:val="24"/>
        </w:rPr>
        <w:t xml:space="preserve">”), it being understood that the Underwriter Information in the Registration Statement, the Preliminary Prospectus, the Canadian Base Prospectus, the Prospectus, the Canadian Final Prospectus and the Canadian Offering Memorandum shall include only the names and the contact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of the Underwriters on the back cover of the Preliminary Prospectus, the Canadian Base Prospectus, the Prospectus, the Canadian Final Prospectus and the Canadian Offering Memorandum and the information referred to in </w:t>
      </w:r>
      <w:r>
        <w:rPr>
          <w:rFonts w:ascii="Times New Roman" w:hAnsi="Times New Roman"/>
          <w:sz w:val="24"/>
          <w:u w:val="single"/>
        </w:rPr>
        <w:t>Section 7(b)</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(b) As of the date hereof and the Closing Date, the Offer Materials other than the Preliminary Prospectus, the Canadian Base Prospectus, the Prospectus, the Canadian Final Prospectus and the Canadian Offering Memorandum at such date (i) complied and will comply in all material respects with all applicable requirements of the laws of those jurisdictions in which the Offering is or will be made pursuant to this Agreement and (ii) when taken together with the Preliminary Prospectus, the Canadian Base Prospectus, the Prospectus, the Canadian Final Prospectus and the Canadian Offering Memorandum, as applicable, as then amended or supplemented, did not and will not contain any untrue statement of a material fact or any “misrepresentation” (as such term is defined under applicable Canadian Securities Laws) or omit to state any material fact required to be stated therein or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240" w:after="0"/>
        <w:jc w:val="left"/>
        <w:rPr>
          <w:rFonts w:ascii="Times New Roman" w:hAnsi="Times New Roman"/>
          <w:sz w:val="24"/>
        </w:rPr>
      </w:pPr>
      <w:r>
        <w:rPr>
          <w:rFonts w:ascii="Times New Roman" w:hAnsi="Times New Roman"/>
          <w:sz w:val="24"/>
        </w:rPr>
        <w:t xml:space="preserve">(c) Each of the Registration Statement, the Preliminary Prospectus, the Canadian Base Prospectus, the Prospectus, the Canadian Final Prospectus, the Canadian Offering Memorandum and the other Offer Materials, as amended or supplemented at such date, comply, and at all times during the Offering will comply, in all material respects, with the applicable requirements of the Securities Act, the Exchange Act, applicable Canadian Securities Laws and the TIA, and with all applicable rules or regulations of the Commission, any Qualifying Authority and any Other Agency, including applicable “blue sky” or similar securities laws; </w:t>
      </w:r>
    </w:p>
    <w:p>
      <w:pPr>
        <w:pStyle w:val="TextBody"/>
        <w:bidi w:val="0"/>
        <w:spacing w:before="240" w:after="0"/>
        <w:jc w:val="left"/>
        <w:rPr>
          <w:rFonts w:ascii="Times New Roman" w:hAnsi="Times New Roman"/>
          <w:sz w:val="24"/>
        </w:rPr>
      </w:pPr>
      <w:r>
        <w:rPr>
          <w:rFonts w:ascii="Times New Roman" w:hAnsi="Times New Roman"/>
          <w:sz w:val="24"/>
        </w:rPr>
        <w:t xml:space="preserve">(d) The documents incorporated by reference in the Registration Statement, the Preliminary Prospectus, the Canadian Base Prospectus, the Prospectus, the Canadian Final Prospectus, the Canadian Offering Memorandum and the other Offer Materials, each as amended or supplemented at such date, when they became effective or were or are filed with the Commission or the Reviewing Authority, as the case may be, conformed, and any documents so filed and incorporated by reference after the date of this Agreement and on or prior to the Closing Date will conform, when they are filed with the Commission or the Reviewing Authority, as the case may be, in all material respects to the requirements of the Exchange Act, applicable Canadian Securities Laws and with all applicable rules or regulations of any Other Agency, and none of such incorporated documents contained any untrue statement of a material fact or any “misrepresentation” (as such term is defined under applicable Canadian Securities Laws)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Preliminary Prospectus, the Canadian Base Prospectus, the Prospectus, the Canadian Final Prospectus, the Canadian Offering Memorandum or the other Offer Materials, when such documents become effective or are filed with the Commission or the Reviewing Authority, as the case may be, will conform in all material respects to the requirements of the Exchange Act and applicable Canadian Securities Laws, and will not contain any untrue statement of a material fact or any “misrepresentation” (as such term is defined under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Canadian Securities Laws) or omit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4"/>
        </w:rPr>
      </w:pPr>
      <w:r>
        <w:rPr>
          <w:rFonts w:ascii="Times New Roman" w:hAnsi="Times New Roman"/>
          <w:sz w:val="24"/>
        </w:rPr>
        <w:t>(e) TR Finance, the Company and the other Guarantors (including their agents and representatives, other than the Underwriters in their capacity as such) have not prepared, made, used, authorized, approved or referred to and will not prepare, make, use, authorize, approve or refer to any “written communication” (as defined in Rule 405 under the Securities Act) that constitutes an offer to sell or solicitation of an offer to purchase the Securities (each such communication by TR Finance, the Company and the other Guarantors or their agents and representatives (other than a communication referred to in clauses (i), (ii) and (iii) below) an “</w:t>
      </w:r>
      <w:r>
        <w:rPr>
          <w:rFonts w:ascii="Times New Roman" w:hAnsi="Times New Roman"/>
          <w:sz w:val="24"/>
          <w:u w:val="single"/>
        </w:rPr>
        <w:t>Issuer Free Writing Prospectus</w:t>
      </w:r>
      <w:r>
        <w:rPr>
          <w:rFonts w:ascii="Times New Roman" w:hAnsi="Times New Roman"/>
          <w:sz w:val="24"/>
        </w:rPr>
        <w:t xml:space="preserve">”) other than (i) any document not constituting a prospectus pursuant to Section 2(a)(10)(a) of the Securities Act or Rule 134 under the Securities Act, (ii) any Preliminary Prospectus, (iii) the Prospectus, (iv) the Canadian Base Prospectus, (v) the Canadian Final Prospectus, (vi) the Canadian Offering Memorandum and (vii) any electronic road show or other written communications, in each case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when taken together with any Preliminary Prospectus filed prior to the first use of such Issuer Free Writing Prospectus, did not at the date of such Issuer Free Writing Prospectus, and at the Closing Date will not, contain any untrue statement of a material fact or omit to state a material fact necessary in order to make the statements therein, in the light of the circumstances under which they were made, not misleading. The foregoing sentence shall not apply to any statements or omissions made in reliance upon and in conformity with the Underwriter Information; </w:t>
      </w:r>
    </w:p>
    <w:p>
      <w:pPr>
        <w:pStyle w:val="TextBody"/>
        <w:bidi w:val="0"/>
        <w:spacing w:before="240" w:after="0"/>
        <w:jc w:val="left"/>
        <w:rPr>
          <w:rFonts w:ascii="Times New Roman" w:hAnsi="Times New Roman"/>
          <w:sz w:val="24"/>
        </w:rPr>
      </w:pPr>
      <w:r>
        <w:rPr>
          <w:rFonts w:ascii="Times New Roman" w:hAnsi="Times New Roman"/>
          <w:sz w:val="24"/>
        </w:rPr>
        <w:t xml:space="preserve">(f) All of the Offer Materials furnished to you that are filed with the Commission or the Reviewing Authority, as applicable, will be identical to the electronically transmitted copies thereof filed with the Commission pursuant to EDGAR, except to the extent permitted by Regulation S-T or with the Reviewing Authority on SEDAR+; </w:t>
      </w:r>
    </w:p>
    <w:p>
      <w:pPr>
        <w:pStyle w:val="TextBody"/>
        <w:bidi w:val="0"/>
        <w:spacing w:before="240" w:after="0"/>
        <w:jc w:val="left"/>
        <w:rPr>
          <w:rFonts w:ascii="Times New Roman" w:hAnsi="Times New Roman"/>
          <w:sz w:val="24"/>
        </w:rPr>
      </w:pPr>
      <w:r>
        <w:rPr>
          <w:rFonts w:ascii="Times New Roman" w:hAnsi="Times New Roman"/>
          <w:sz w:val="24"/>
        </w:rPr>
        <w:t>(g) TR Finance, the Company, the other Guarantors and each other significant subsidiary of the Company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be in good standing or have such power or authority would not, individually or in the aggregate, have a material adverse effect on the business, affairs, results of operations, assets, liabilities (contingent or otherwise) or capital of the Company and its subsidiaries considered as one enterprise, whether or not arising in the ordinary course of business or on the making and consummation of the Offering and the transactions contemplated hereby including the performance by TR Finance, the Company and the other Guarantors of their obligations under the Securities (a “</w:t>
      </w:r>
      <w:r>
        <w:rPr>
          <w:rFonts w:ascii="Times New Roman" w:hAnsi="Times New Roman"/>
          <w:sz w:val="24"/>
          <w:u w:val="single"/>
        </w:rPr>
        <w:t>Material Adverse Effect</w:t>
      </w:r>
      <w:r>
        <w:rPr>
          <w:rFonts w:ascii="Times New Roman" w:hAnsi="Times New Roman"/>
          <w:sz w:val="24"/>
        </w:rPr>
        <w:t xml:space="preserve">”); and the subsidiaries listed in </w:t>
      </w:r>
      <w:r>
        <w:rPr>
          <w:rFonts w:ascii="Times New Roman" w:hAnsi="Times New Roman"/>
          <w:sz w:val="24"/>
          <w:u w:val="single"/>
        </w:rPr>
        <w:t>Schedule II</w:t>
      </w:r>
      <w:r>
        <w:rPr>
          <w:rFonts w:ascii="Times New Roman" w:hAnsi="Times New Roman"/>
          <w:sz w:val="24"/>
        </w:rPr>
        <w:t xml:space="preserve"> hereto under the heading “List of Significant Subsidiaries” are the only significant subsidiaries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(h) TR Finance and the Company have the capitalization as set forth or incorporated by reference in the Time of Sale Information, the Prospectus, the Canadian Final Prospectus and the Canadian Offering Memorandum, each as amended or supplemented at such date, under the headings “Capitalization and Indebtedness of TR Finance” and “Capitalization and Indebtedness of TRC”, respectively, and all the outstanding shares of capital stock or other equity interests of TR Finance and the Guarantors (other than the Company) have been duly authorized and validly issued, are fully paid and non-assessable (except as otherwise described in the Time of Sale Information, the Prospectus, the Canadian Final Prospectus and the Canadian Offering Memorandum, each as amended or supplemented at such date) and are owned directly or indirectly by the Company, free and clear of any lien, charge, encumbrance, security interest, restriction on voting or transfer or any other claim of any third party; </w:t>
      </w:r>
    </w:p>
    <w:p>
      <w:pPr>
        <w:pStyle w:val="TextBody"/>
        <w:bidi w:val="0"/>
        <w:spacing w:before="240" w:after="0"/>
        <w:jc w:val="left"/>
        <w:rPr>
          <w:rFonts w:ascii="Times New Roman" w:hAnsi="Times New Roman"/>
          <w:sz w:val="24"/>
        </w:rPr>
      </w:pPr>
      <w:r>
        <w:rPr>
          <w:rFonts w:ascii="Times New Roman" w:hAnsi="Times New Roman"/>
          <w:sz w:val="24"/>
        </w:rPr>
        <w:t xml:space="preserve">(i) TR Finance, the Company and each of the other Guarantors have full right, power and authority to take, and have duly taken, all necessary action to authorize, as applicable, (i) the Offering and the incurrence of indebtedness in connection therewith, (ii) the issuance, execution, delivery and performance of the Notes by TR Finance and the issuance and performance of the Guarantees by the Guarantors and (iii) the execution, delivery and performance by TR Finance, the Company and the other Guarantors, as applicable, of (1) this Agreement and the consummation of the transactions contemplated by this Agreement and the Offer Materials and (2) the Indenture; and TR Finance, the Company and the other Guarantors have duly taken, or will take, all necessary corporate action to authorize any amendments or supplements to, or modification of, the Offering and the Offer Materials; </w:t>
      </w:r>
    </w:p>
    <w:p>
      <w:pPr>
        <w:pStyle w:val="TextBody"/>
        <w:bidi w:val="0"/>
        <w:spacing w:before="240" w:after="0"/>
        <w:jc w:val="left"/>
        <w:rPr>
          <w:rFonts w:ascii="Times New Roman" w:hAnsi="Times New Roman"/>
          <w:sz w:val="24"/>
        </w:rPr>
      </w:pPr>
      <w:r>
        <w:rPr>
          <w:rFonts w:ascii="Times New Roman" w:hAnsi="Times New Roman"/>
          <w:sz w:val="24"/>
        </w:rPr>
        <w:t xml:space="preserve">(j) This Agreement has been duly authorized, executed and delivered by TR Finance, the Company and each of the other Guarantors and, assuming that this Agreement is a valid and legally binding obligation of the Underwriters, constitutes a valid and legally binding obligation of TR Finance, the Company and each of the other Guarantors enforceable against them in accordance with its terms, except as enforceability may be limited by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 (the “Enforceability Exceptions”) and except as the enforceability of the indemnity provisions thereof may be limited by considerations of public policy; and this Agreement conforms in all material respects to the description thereof contained in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 xml:space="preserve">(k) The Notes have been duly authorized by TR Finance, and, when duly executed, authenticated, issued and delivered as provided in the Indenture and paid for by the Underwriters in accordance with the terms hereof, will be validly issued and outstanding and will constitute valid and legally binding obligations of TR Finance enforceable against TR Finance in accordance with their terms, subject to the Enforceability Exceptions, and will be entitled to the benefits of the Indenture; and the Notes conform in all material respects to the description thereof contained in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 xml:space="preserve">(l) The Guarantees have been duly authorized by each of the Guarantors, and, when the Notes have been duly executed, authenticated, issued and delivered as provided in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Indenture and in accordance with the terms hereof, the Guarantees will be valid and legally binding obligations of each of the Guarantors, enforceable against each of the Guarantors in accordance with their terms, subject to the Enforceability Exceptions, and will be entitled to the benefits of the Indenture; and the Guarantees conform in all material respects to the description thereof contained in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 xml:space="preserve">(m) The Base Indenture has been duly authorized by TR Finance, the Company and each of the other Guarantors, has been duly qualified under the TIA, has been duly executed and delivered in accordance with its terms by TR Finance, the Company, the other Guarantors and the Trustee and constitutes a valid and legally binding agreement of TR Finance, the Company and each of the other Guarantors, enforceable against TR Finance, the Company and each of the other Guarantors in accordance with its terms, subject to the Enforceability Exceptions; the Supplemental Indenture has been duly authorized by TR Finance, the Company and each of the other Guarantors, has been duly qualified under the TIA and, when the Supplemental Indenture has been duly executed and delivered in accordance with its terms by TR Finance, the Company, the other Guarantors and the Trustee, will constitute a valid and legally binding agreement of TR Finance, the Company and each of the other Guarantors, enforceable against TR Finance, the Company and each of the other Guarantors in accordance with its terms, subject to the Enforceability Exceptions; and no registration, filing or recording of the Base Indenture or the Supplemental Indenture under the laws of Canada or any province thereof is necessary in order to preserve or protect the validity or enforceability of the Base Indenture, the Supplemental Indenture or the Securities issued thereunder; </w:t>
      </w:r>
    </w:p>
    <w:p>
      <w:pPr>
        <w:pStyle w:val="TextBody"/>
        <w:bidi w:val="0"/>
        <w:spacing w:before="240" w:after="0"/>
        <w:jc w:val="left"/>
        <w:rPr>
          <w:rFonts w:ascii="Times New Roman" w:hAnsi="Times New Roman"/>
          <w:sz w:val="24"/>
        </w:rPr>
      </w:pPr>
      <w:r>
        <w:rPr>
          <w:rFonts w:ascii="Times New Roman" w:hAnsi="Times New Roman"/>
          <w:sz w:val="24"/>
        </w:rPr>
        <w:t xml:space="preserve">(n) Since the date of the most recent financial statements of the Company included or incorporated by reference in the Time of Sale Information, the Prospectus, the Canadian Final Prospectus and the Canadian Offering Memorandum, (i) there has not been any change in the capital stock of the Company or any of its significant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or results of operations of the Company and its subsidiaries taken as a whole; and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except in each case as otherwise disclosed in the Time of Sale Information, the Prospectus, the Canadian Final Prospectus and the Canadian Offering Memorandum; neither the Company nor any of its subsidiaries has received any notice of cancellation or termination with respect to any collective bargaining agreement to which it is a party, except as would not be reasonably expected to have a Material Adverse Effect; </w:t>
      </w:r>
    </w:p>
    <w:p>
      <w:pPr>
        <w:pStyle w:val="TextBody"/>
        <w:bidi w:val="0"/>
        <w:spacing w:before="240" w:after="0"/>
        <w:jc w:val="left"/>
        <w:rPr>
          <w:rFonts w:ascii="Times New Roman" w:hAnsi="Times New Roman"/>
          <w:sz w:val="24"/>
        </w:rPr>
      </w:pPr>
      <w:r>
        <w:rPr>
          <w:rFonts w:ascii="Times New Roman" w:hAnsi="Times New Roman"/>
          <w:sz w:val="24"/>
        </w:rPr>
        <w:t xml:space="preserve">(o) The making and consummation by TR Finance, the Company and the other Guarantors, as applicable, of the Offering, and the execution, delivery and performance by TR Finance, the Company and each of the other Guarantors of this Agreement, the issuance, execution, delivery and performance of the Securities by TR Finance, the issuance and performance of the Guarantees by the Guarantors, the execution, delivery and performance of the Indenture by TR Finance, the Company and the other Guarantors, and the making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consummation by TR Finance, the Company and the other Guarantors, as applicable, of the Transactions contemplated hereby, do not and will not (i) conflict with or result in a breach or violation of any of the terms or provisions of, or constitute a default under, result in the termination, modification or acceleration of, or result in the creation or imposition of any lien, charge or encumbrance upon any property or asset of the Company or any of its significant subsidiaries pursuant to any indenture, note, mortgage or deed of trust, loan or credit agreement or other agreement or instrument to which the Company or any of its significant subsidiaries is a party or by which the Company or any of its significant subsidiaries is bound or to which any of the property or assets of the Company or any of its significant subsidiaries is subject, (ii) result in any violation of the provisions of the charter or by-laws or similar organizational documents of the Company or any of its significant subsidiaries or (iii) result in the violation of any law or statute or any judgment, order, rule or regulation of the Commission, the Reviewing Authority or any Other Agency having jurisdiction over the Company or any of its significant subsidiaries or any of their respective properties or assets, except, in the case of clauses (i) and (iii) above, for any such conflict, breach, violation, default, lien, charge or encumbrance that would not, individually or in the aggregate have a Material Adverse Effect; </w:t>
      </w:r>
    </w:p>
    <w:p>
      <w:pPr>
        <w:pStyle w:val="TextBody"/>
        <w:bidi w:val="0"/>
        <w:spacing w:before="240" w:after="0"/>
        <w:jc w:val="left"/>
        <w:rPr>
          <w:rFonts w:ascii="Times New Roman" w:hAnsi="Times New Roman"/>
          <w:sz w:val="24"/>
        </w:rPr>
      </w:pPr>
      <w:r>
        <w:rPr>
          <w:rFonts w:ascii="Times New Roman" w:hAnsi="Times New Roman"/>
          <w:sz w:val="24"/>
        </w:rPr>
        <w:t xml:space="preserve">(p) No consent, approval, authorization, order, registration, qualification or other action of, or filing with or notice to, the Commission, the Reviewing Authority or any Other Agency is required in connection with the making and consummation by TR Finance, the Company and the other Guarantors, as applicable, of the Offering , the execution, delivery and performance by TR Finance, the Company and each of the other Guarantors of this Agreement, the issuance, execution, delivery and performance of the Securities by TR Finance, the issuance and performance of the Guarantees by the Guarantors, the execution, delivery and performance of the Indenture by TR Finance, the Company and the other Guarantors, and the making and consummation by TR Finance, the Company and the other Guarantors, as applicable, of the Transactions contemplated hereby, except such as have been obtained or made, or will have been obtained or made prior to the Closing Date in accordance with the provisions of this Agreement, under the Securities Act, Canadian Securities Laws and the TIA, the filing of a Form 45-106F1 (together with the Canadian Offering Memorandum, as may be required) within 10 days after the date of issue and sale of the Notes in the Qualifying Canadian Jurisdictions and the payment of any fees related thereto and such as may be required under the blue sky laws of any jurisdiction in connection with the offer and sale of the Securities pursuant to the Offering; </w:t>
      </w:r>
    </w:p>
    <w:p>
      <w:pPr>
        <w:pStyle w:val="TextBody"/>
        <w:bidi w:val="0"/>
        <w:spacing w:before="240" w:after="0"/>
        <w:jc w:val="left"/>
        <w:rPr>
          <w:rFonts w:ascii="Times New Roman" w:hAnsi="Times New Roman"/>
          <w:sz w:val="24"/>
        </w:rPr>
      </w:pPr>
      <w:r>
        <w:rPr>
          <w:rFonts w:ascii="Times New Roman" w:hAnsi="Times New Roman"/>
          <w:sz w:val="24"/>
        </w:rPr>
        <w:t xml:space="preserve">(q) No stop order suspending the distribution of the Securities or the effectiveness of the Registration Statement or any part thereof shall have been issued, and no restraining order or denial of an application for approval has been issued and no proceedings, litigation or investigation have been initiated or, to the best knowledge of the Company, threatened before the Commission, any Qualifying Authority or any Other Agency relating to the Securities; </w:t>
      </w:r>
    </w:p>
    <w:p>
      <w:pPr>
        <w:pStyle w:val="TextBody"/>
        <w:bidi w:val="0"/>
        <w:spacing w:before="240" w:after="0"/>
        <w:jc w:val="left"/>
        <w:rPr>
          <w:rFonts w:ascii="Times New Roman" w:hAnsi="Times New Roman"/>
          <w:sz w:val="24"/>
        </w:rPr>
      </w:pPr>
      <w:r>
        <w:rPr>
          <w:rFonts w:ascii="Times New Roman" w:hAnsi="Times New Roman"/>
          <w:sz w:val="24"/>
        </w:rPr>
        <w:t xml:space="preserve">(r) The Company is subject to and in full compliance with the reporting requirements of Section 13 or Section 15(d) of the Exchange Act and in connection with the Offering, the Company has complied, and will continue to comply, in all material respects with the applicable provisions of the Exchange Act, including, without limitation, Section 10(b) of the Exchange Act and Rule 10b-5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(s) The Company’s financial statements and the related notes thereto included or incorporated by reference in the Registration Statement, the Time of Sale Information, the Prospectus, the Canadian Final Prospectus and the Canadian Offering Memorandum, each as amended or supplemented at such date, comply in all material respects with the requirements of the Securities Act, the Exchange Act and applicable Canadian Securities Laws and present fairly in all material respects the financial position of the Company and its subsidiaries as of the dates indicated and the results of their operations and their cash flows for the periods specified; such financial statements have been prepared in accordance with International Financial Reporting Standards (“IFRS”) as issued by the International Accounting Standards Board, and the supporting schedules included or incorporated by reference in the Time of Sale Information, the Registration Statement, the Prospectus, the Canadian Final Prospectus and the Canadian Offering Memorandum, each as amended or supplemented at such date, present fairly the information required to be stated therein; and the other financial information included or incorporated by reference in the Time of Sale Information, the Registration Statement, the Prospectus, the Canadian Final Prospectus and the Canadian Offering Memorandum, each as amended or supplemented at such date, have been derived from the accounting records of the Company and its subsidiaries (except as such financial information relates to illustrative effects of the Offering) and presents fairly the information shown thereby; the interactive data in eXtensible Business Reporting Language included or incorporated by reference in the Time of Sale Information, the Registration Statement and the Prospectus, each as amended or supplemented at such date,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4"/>
        </w:rPr>
      </w:pPr>
      <w:r>
        <w:rPr>
          <w:rFonts w:ascii="Times New Roman" w:hAnsi="Times New Roman"/>
          <w:sz w:val="24"/>
        </w:rPr>
        <w:t xml:space="preserve">(t) No relationship, direct or indirect, exists between or among the Company or any of its subsidiaries, on the one hand, and the directors, officers, shareholders, or other affiliates of the Company or any of its subsidiaries, on the other, that is required by the Securities Act or applicable Canadian Securities Laws to be described in the Time of Sale Information, the Prospectus, the Canadian Final Prospectus and the Canadian Offering Memorandum and that is not so described in such documents; </w:t>
      </w:r>
    </w:p>
    <w:p>
      <w:pPr>
        <w:pStyle w:val="TextBody"/>
        <w:bidi w:val="0"/>
        <w:spacing w:before="240" w:after="0"/>
        <w:jc w:val="left"/>
        <w:rPr>
          <w:rFonts w:ascii="Times New Roman" w:hAnsi="Times New Roman"/>
          <w:sz w:val="24"/>
        </w:rPr>
      </w:pPr>
      <w:r>
        <w:rPr>
          <w:rFonts w:ascii="Times New Roman" w:hAnsi="Times New Roman"/>
          <w:sz w:val="24"/>
        </w:rPr>
        <w:t xml:space="preserve">(u) Neither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issuance of the Securities; </w:t>
      </w:r>
    </w:p>
    <w:p>
      <w:pPr>
        <w:pStyle w:val="TextBody"/>
        <w:bidi w:val="0"/>
        <w:spacing w:before="240" w:after="0"/>
        <w:jc w:val="left"/>
        <w:rPr>
          <w:rFonts w:ascii="Times New Roman" w:hAnsi="Times New Roman"/>
          <w:sz w:val="24"/>
        </w:rPr>
      </w:pPr>
      <w:r>
        <w:rPr>
          <w:rFonts w:ascii="Times New Roman" w:hAnsi="Times New Roman"/>
          <w:sz w:val="24"/>
        </w:rPr>
        <w:t xml:space="preserve">(v) None of TR Finance, the Company nor any of the other Guarantors is, and after giving effect to the Offering as described in the Time of Sale Information, the Prospectus, the Canadian Final Prospectus and the Canadian Offering Memorandum, none of them will be, required to register as an “investment company” within the meaning of the Investment Company Act of 1940, as amended, and the rules and regulations of the Commission thereunder; </w:t>
      </w:r>
    </w:p>
    <w:p>
      <w:pPr>
        <w:pStyle w:val="TextBody"/>
        <w:bidi w:val="0"/>
        <w:spacing w:before="240" w:after="0"/>
        <w:jc w:val="left"/>
        <w:rPr>
          <w:rFonts w:ascii="Times New Roman" w:hAnsi="Times New Roman"/>
          <w:sz w:val="24"/>
        </w:rPr>
      </w:pPr>
      <w:r>
        <w:rPr>
          <w:rFonts w:ascii="Times New Roman" w:hAnsi="Times New Roman"/>
          <w:sz w:val="24"/>
        </w:rPr>
        <w:t xml:space="preserve">(w) Except as described in the Time of Sale Information, the Prospectus, the Canadian Final Prospectus and the Canadian Offering Memorandum, there are no legal, governmental or regulatory investigations, actions, suits or proceedings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Material Adverse Effect; to the knowledge of the Company, no such investigations, actions, suits or proceedings are threatened or contemplated by any governmental or regulatory authority or threatened by others; the descriptions in the Time of Sale Information, the Prospectus, the Canadian Final Prospectus and the Canadian Offering Memorandum, of statutes, legal, governmental and regulatory proceedings and contracts and other documents are accurate in all material respects; there are no current or pending legal, governmental or regulatory actions, suits or proceedings that are required under the Securities Act or applicable Canadian Securities Laws to be described in the Time of Sale Information, the Prospectus, the Canadian Final Prospectus and the Canadian Offering Memorandum that are not so described; there are no statutes, regulations or contracts or other documents that are required under the Securities Act or applicable Canadian Securities Laws to be filed as exhibits to the Registration Statement or described in the Time of Sale Information, the Prospectus, the Canadian Final Prospectus and the Canadian Offering Memorandum that are not so filed; and the descriptions in the Time of Sale Information, the Prospectus, the Canadian Final Prospectus and the Canadian Offering Memorandum of statutes, legal, governmental and regulatory proceedings and contracts and other documents are accurate in all material respects; </w:t>
      </w:r>
    </w:p>
    <w:p>
      <w:pPr>
        <w:pStyle w:val="TextBody"/>
        <w:bidi w:val="0"/>
        <w:spacing w:before="240" w:after="0"/>
        <w:jc w:val="left"/>
        <w:rPr>
          <w:rFonts w:ascii="Times New Roman" w:hAnsi="Times New Roman"/>
          <w:sz w:val="24"/>
        </w:rPr>
      </w:pPr>
      <w:r>
        <w:rPr>
          <w:rFonts w:ascii="Times New Roman" w:hAnsi="Times New Roman"/>
          <w:sz w:val="24"/>
        </w:rPr>
        <w:t xml:space="preserve">(x) The Company and its significant subsidiaries have good and marketable title in 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 except such as are described in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 xml:space="preserve">(y) (i) The Company and its significant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their respective businesses; (ii) to the knowledge of the Company, the Company and its subsidiaries’ conduct of their respective businesses does not infringe, misappropriate or otherwise violate any Intellectual Property of any person; (iii) the Company and its subsidiaries have not received any written notice of any claim relating to Intellectual Property; and (iv) to the knowledge of the Company, the Intellectual Property of the Company and its subsidiaries is not being infringed, misappropriated or otherwise violated by any person, except in each case as would not, individually or in the aggregate, have a Material Adverse Effect; </w:t>
      </w:r>
    </w:p>
    <w:p>
      <w:pPr>
        <w:pStyle w:val="TextBody"/>
        <w:bidi w:val="0"/>
        <w:spacing w:before="240" w:after="0"/>
        <w:jc w:val="left"/>
        <w:rPr>
          <w:rFonts w:ascii="Times New Roman" w:hAnsi="Times New Roman"/>
          <w:sz w:val="24"/>
        </w:rPr>
      </w:pPr>
      <w:r>
        <w:rPr>
          <w:rFonts w:ascii="Times New Roman" w:hAnsi="Times New Roman"/>
          <w:sz w:val="24"/>
        </w:rPr>
        <w:t xml:space="preserve">(z) None of the Company, TR Finance, the other Guarantors or any of the Company’s significant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w:t>
      </w:r>
    </w:p>
    <w:p>
      <w:pPr>
        <w:pStyle w:val="TextBody"/>
        <w:bidi w:val="0"/>
        <w:spacing w:before="240" w:after="0"/>
        <w:jc w:val="left"/>
        <w:rPr>
          <w:rFonts w:ascii="Times New Roman" w:hAnsi="Times New Roman"/>
          <w:sz w:val="24"/>
        </w:rPr>
      </w:pPr>
      <w:r>
        <w:rPr>
          <w:rFonts w:ascii="Times New Roman" w:hAnsi="Times New Roman"/>
          <w:sz w:val="24"/>
        </w:rPr>
        <w:t xml:space="preserve">(aa) PricewaterhouseCoopers LLP (“PwC”), who has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and is independent with respect to the Company within the meaning of the Canadian Securities Law; </w:t>
      </w:r>
    </w:p>
    <w:p>
      <w:pPr>
        <w:pStyle w:val="TextBody"/>
        <w:bidi w:val="0"/>
        <w:spacing w:before="240" w:after="0"/>
        <w:jc w:val="left"/>
        <w:rPr>
          <w:rFonts w:ascii="Times New Roman" w:hAnsi="Times New Roman"/>
          <w:sz w:val="24"/>
        </w:rPr>
      </w:pPr>
      <w:r>
        <w:rPr>
          <w:rFonts w:ascii="Times New Roman" w:hAnsi="Times New Roman"/>
          <w:sz w:val="24"/>
        </w:rPr>
        <w:t xml:space="preserve">(bb) The Company and its significant subsidiaries have (i) filed all income tax returns required to be filed through the date hereof, except insofar as the failure to file such income tax returns would not result in a Material Adverse Effect, and (ii) paid or accounted for or made provision for all U.S. and Canadian federal, state, provincial, territorial, local and foreign income taxes through the date hereof to the extent such income taxes have become due or have been alleged to be due, except assessments against which appeals have been or will be promptly taken and as to which adequate reserves have been provided, and except where the failure to do so would not have a Material Adverse Effect; and except as otherwise disclosed in the Time of Sale Information, the Prospectus, the Canadian Final Prospectus and the Canadian Offering Memorandum, there is no material tax deficiency that has been asserted in writing by a taxing authority against the Company or any of its significant subsidiaries or any of their respective properties or assets which have not otherwise been provided for by the Company and its significant subsidiaries on a consolidated basis; </w:t>
      </w:r>
    </w:p>
    <w:p>
      <w:pPr>
        <w:pStyle w:val="TextBody"/>
        <w:bidi w:val="0"/>
        <w:spacing w:before="240" w:after="0"/>
        <w:jc w:val="left"/>
        <w:rPr>
          <w:rFonts w:ascii="Times New Roman" w:hAnsi="Times New Roman"/>
          <w:sz w:val="24"/>
        </w:rPr>
      </w:pPr>
      <w:r>
        <w:rPr>
          <w:rFonts w:ascii="Times New Roman" w:hAnsi="Times New Roman"/>
          <w:sz w:val="24"/>
        </w:rPr>
        <w:t xml:space="preserve">(cc) There are no stamp or other issuance or transfer taxes or duties or other similar fees or charges required to be paid by or on behalf of the Underwriters in Canada or any political subdivision or taxing authority thereof in connection with the execution and delivery of this Agreement or the offer or issuance of the Securities; </w:t>
      </w:r>
    </w:p>
    <w:p>
      <w:pPr>
        <w:pStyle w:val="TextBody"/>
        <w:bidi w:val="0"/>
        <w:spacing w:before="240" w:after="0"/>
        <w:jc w:val="left"/>
        <w:rPr>
          <w:rFonts w:ascii="Times New Roman" w:hAnsi="Times New Roman"/>
          <w:sz w:val="24"/>
        </w:rPr>
      </w:pPr>
      <w:r>
        <w:rPr>
          <w:rFonts w:ascii="Times New Roman" w:hAnsi="Times New Roman"/>
          <w:sz w:val="24"/>
        </w:rPr>
        <w:t xml:space="preserve">(dd) All payments to be made by TR Finance, the Company or the other Guarantors to a Underwriter under, on or by virtue of the execution delivery, performance or enforcement of this Agreement, under the current laws and regulations of the United States or Canada or any political subdivision thereof (each, a “Taxing Jurisdiction”), will not be subject to withholding taxes or any similar duties, levies, deductions, or charges collected by means of withholding under the current laws and regulations of the Taxing Jurisdiction (and without the necessity of obtaining any governmental authorization in the Taxing Jurisdiction), except to the extent such withholding taxes or similar duties, levies, deductions, or charges (i) were imposed due to a connection of such Underwriter with the Taxing Jurisdiction other than connections arising from such Underwriter having executed, delivered, become party to, performed its obligations under, received payments under or enforced this Agreement; (ii) would not have been imposed but for the failure of such Underwriter to comply with any reasonable certification, identification or other reporting requirements concerning the nationality, residence, identity or connection with the Taxing Jurisdiction of such Underwriter if such compliance is required or imposed by law as a precondition to an exemption from, or reduction in, such withholding taxes or similar duties,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levies, deductions, or charges; or (iii) were income, franchise, or other similar taxes, in each case imposed on the overall net income of any Underwriter as a result of such Underwriter being organized under the laws of, or having its principal office located in the Taxing Jurisdiction, and assuming that (i) the Underwriter does not receive such payment in respect of services rendered in Canada as contemplated by subsection 105(1) of the regulations to the Income Tax Act (Canada) (“Tax Act”) and (ii) such payments are reasonable in the circumstances and are (x) payable in respect of services performed in the ordinary course of business carried on by the Underwriter that includes the performance of such services for a fee, and further provided that the payor deals with the Underwriter at arm’s length for purposes of the Tax Act, or (y) payable in satisfaction of a specific expense incurred by the Underwriter for the performance of a service that was for the benefit of the payer; </w:t>
      </w:r>
    </w:p>
    <w:p>
      <w:pPr>
        <w:pStyle w:val="TextBody"/>
        <w:bidi w:val="0"/>
        <w:spacing w:before="240" w:after="0"/>
        <w:jc w:val="left"/>
        <w:rPr>
          <w:rFonts w:ascii="Times New Roman" w:hAnsi="Times New Roman"/>
          <w:sz w:val="24"/>
        </w:rPr>
      </w:pPr>
      <w:r>
        <w:rPr>
          <w:rFonts w:ascii="Times New Roman" w:hAnsi="Times New Roman"/>
          <w:sz w:val="24"/>
        </w:rPr>
        <w:t xml:space="preserve">(ee) TR Finance is not a resident of Canada for purposes of the Tax Act; </w:t>
      </w:r>
    </w:p>
    <w:p>
      <w:pPr>
        <w:pStyle w:val="TextBody"/>
        <w:bidi w:val="0"/>
        <w:spacing w:before="240" w:after="0"/>
        <w:jc w:val="left"/>
        <w:rPr>
          <w:rFonts w:ascii="Times New Roman" w:hAnsi="Times New Roman"/>
          <w:sz w:val="24"/>
        </w:rPr>
      </w:pPr>
      <w:r>
        <w:rPr>
          <w:rFonts w:ascii="Times New Roman" w:hAnsi="Times New Roman"/>
          <w:sz w:val="24"/>
        </w:rPr>
        <w:t xml:space="preserve">(ff) (i) Each employee benefit plan, within the meaning of Section 3(3) of the Employee Retirement Income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or “endangered status” or “critical status” (within the meaning of Section 305 of ERISA); (v) no “reportable event” (within the meaning of Section 4043(c) of ERISA) has occurred or is reasonably expected to occur; (vi) each Plan that is intended to be qualified under Section 401(a) of the Code is so qualified and, to the knowledge of the Company, nothing has occurred, whether by action or by failure to act, which would cause the loss of such qualification and (vii)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except in each case with respect to the events or conditions set forth in clauses (i) through (vii) hereof, as would not, individually or in the aggregate, have a Material Adverse Effect; </w:t>
      </w:r>
    </w:p>
    <w:p>
      <w:pPr>
        <w:pStyle w:val="TextBody"/>
        <w:bidi w:val="0"/>
        <w:spacing w:before="240" w:after="0"/>
        <w:jc w:val="left"/>
        <w:rPr>
          <w:rFonts w:ascii="Times New Roman" w:hAnsi="Times New Roman"/>
          <w:sz w:val="24"/>
        </w:rPr>
      </w:pPr>
      <w:r>
        <w:rPr>
          <w:rFonts w:ascii="Times New Roman" w:hAnsi="Times New Roman"/>
          <w:sz w:val="24"/>
        </w:rPr>
        <w:t xml:space="preserve">(gg) No labor disturbance by or dispute with employees of the Company or any of its subsidiaries exists or, to the best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(hh) The Company (or its subsidiaries) have insurance covering properties, operations, personnel and businesses of the Company and its subsidiaries, including business interruption insurance, which insurance is in amounts and insures against such losses and risks as are adequate to protect the Company and its subsidiaries and their respective businesses; and, except as would not have a Material Adverse Effect,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240" w:after="0"/>
        <w:jc w:val="left"/>
        <w:rPr>
          <w:rFonts w:ascii="Times New Roman" w:hAnsi="Times New Roman"/>
          <w:sz w:val="24"/>
        </w:rPr>
      </w:pPr>
      <w:r>
        <w:rPr>
          <w:rFonts w:ascii="Times New Roman" w:hAnsi="Times New Roman"/>
          <w:sz w:val="24"/>
        </w:rPr>
        <w:t xml:space="preserve">(ii) The Company and its significant subsidiaries possess all licenses, sub-licenses, certificates, permits and other authorizations issued by, and have made all declarations and filings with, the appropriate federal, state, provincial, territorial, local or foreign governmental or regulatory authorities that are necessary for the ownership or lease of their respective properties or the conduct of their respective businesses as described in the Time of Sale Information, the Prospectus, the Canadian Final Prospectus and the Canadian Offering Memorandum, except where the failure to possess or make the same would not, individually or in the aggregate, have a Material Adverse Effect; and except as described in the Time of Sale Information, the Prospectus, the Canadian Final Prospectus and the Canadian Offering Memorandum, and except as would not have a Material Adverse Effect, neither the Company nor any of its subsidiaries has received notice of any revocation or modification of any such license, sub-license, certificate, permit or authorization or has any reason to believe that any such license, certificate, permit or authorization will not be renewed in the ordinary course; </w:t>
      </w:r>
    </w:p>
    <w:p>
      <w:pPr>
        <w:pStyle w:val="TextBody"/>
        <w:bidi w:val="0"/>
        <w:spacing w:before="240" w:after="0"/>
        <w:jc w:val="left"/>
        <w:rPr>
          <w:rFonts w:ascii="Times New Roman" w:hAnsi="Times New Roman"/>
          <w:sz w:val="24"/>
        </w:rPr>
      </w:pPr>
      <w:r>
        <w:rPr>
          <w:rFonts w:ascii="Times New Roman" w:hAnsi="Times New Roman"/>
          <w:sz w:val="24"/>
        </w:rPr>
        <w:t xml:space="preserve">(jj) None of TR Finance, the Company, the other Guarantors or any of their directors, officers, employees or agents has taken, directly or indirectly, any action designed to or that would constitute or that might reasonably be expected to cause or result in, under the Exchange Act or otherwise, stabilization or manipulation of the price of any security of the Company to facilitate the Offering; </w:t>
      </w:r>
    </w:p>
    <w:p>
      <w:pPr>
        <w:pStyle w:val="TextBody"/>
        <w:bidi w:val="0"/>
        <w:spacing w:before="240" w:after="0"/>
        <w:jc w:val="left"/>
        <w:rPr>
          <w:rFonts w:ascii="Times New Roman" w:hAnsi="Times New Roman"/>
          <w:sz w:val="24"/>
        </w:rPr>
      </w:pPr>
      <w:r>
        <w:rPr>
          <w:rFonts w:ascii="Times New Roman" w:hAnsi="Times New Roman"/>
          <w:sz w:val="24"/>
        </w:rPr>
        <w:t xml:space="preserve">(kk) Neither the Company nor any of its subsidiaries nor, to the knowledge of the Company, any director, officer, employee, agent, affiliate or other person associated with or acting on behalf of the Company or any of its subsidiaries has within the last five years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the Corruption of Foreign Public Officials Act (Canada)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influence payment, kickback or other unlawful or improper payment or benefit. The Company and its subsidiaries have instituted, and maintain and enforce, policies and procedures designed to promote and ensure compliance with all applicable anti-bribery and anti-corruption laws; </w:t>
      </w:r>
    </w:p>
    <w:p>
      <w:pPr>
        <w:pStyle w:val="TextBody"/>
        <w:bidi w:val="0"/>
        <w:spacing w:before="240" w:after="0"/>
        <w:jc w:val="left"/>
        <w:rPr>
          <w:rFonts w:ascii="Times New Roman" w:hAnsi="Times New Roman"/>
          <w:sz w:val="24"/>
        </w:rPr>
      </w:pPr>
      <w:r>
        <w:rPr>
          <w:rFonts w:ascii="Times New Roman" w:hAnsi="Times New Roman"/>
          <w:sz w:val="24"/>
        </w:rPr>
        <w:t xml:space="preserve">(ll) The operations of the Company and its subsidiaries are and have been conducted at all times in compliance with applicable financial recordkeeping and reporting requirements, including those of the Currency and Foreign Transactions Reporting Act of 1970, as amended, the Criminal Code (Canada), the Proceeds of Crime (Money Laundering) and Terrorist Financing Act (Canada), and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 </w:t>
      </w:r>
    </w:p>
    <w:p>
      <w:pPr>
        <w:pStyle w:val="TextBody"/>
        <w:bidi w:val="0"/>
        <w:spacing w:before="240" w:after="0"/>
        <w:jc w:val="left"/>
        <w:rPr>
          <w:rFonts w:ascii="Times New Roman" w:hAnsi="Times New Roman"/>
          <w:sz w:val="24"/>
        </w:rPr>
      </w:pPr>
      <w:r>
        <w:rPr>
          <w:rFonts w:ascii="Times New Roman" w:hAnsi="Times New Roman"/>
          <w:sz w:val="24"/>
        </w:rPr>
        <w:t xml:space="preserve">(mm) Neither the Company nor any of its subsidiaries, nor, to the knowledge of the Company, any directors, officers, employees, agent, or affiliate or other person associated with or acting on behalf of the Company or any of its subsidiaries is currently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or pursuant to the U.S. Iran Sanctions Act, as amended), Global Affairs Canada, Public Safety Canada, the United Nations Security Council, the European Union, the United Kingdom, or other relevant sanctions authority (collectively, “Sanctions”), nor is the Company or any of its subsidiaries located, organized or resident in a country or territory that is the target of comprehensive Sanctions, including the Crimea Region of Ukraine, the so-called Donetsk People’s Republic, the so-called Luhansk People’s Republic, the “non-government controlled” regions of Kherson and Zaporizhzhia of Ukraine, Cuba, Iran and North Korea (each, a “Sanctioned Country”); and since April 24, 2019, the Company and its subsidiaries have not knowingly engaged in and are not now knowingly engaged in any dealings or transactions with any person that at the time of the dealing or transaction is or was the target of Sanctions or with any Sanctioned Country, except for dealings or transactions involving news and journalistic activities which are authorized, licensed or exempt under applicable laws and regulations. The representations and warranties given under this Section 3(mm) shall not apply to any party insofar as such representation or warranty would result in a violation or conflict with the Foreign Extraterritorial Measures (United States) Order, 1992; </w:t>
      </w:r>
    </w:p>
    <w:p>
      <w:pPr>
        <w:pStyle w:val="TextBody"/>
        <w:bidi w:val="0"/>
        <w:spacing w:before="240" w:after="0"/>
        <w:jc w:val="left"/>
        <w:rPr>
          <w:rFonts w:ascii="Times New Roman" w:hAnsi="Times New Roman"/>
          <w:sz w:val="24"/>
        </w:rPr>
      </w:pPr>
      <w:r>
        <w:rPr>
          <w:rFonts w:ascii="Times New Roman" w:hAnsi="Times New Roman"/>
          <w:sz w:val="24"/>
        </w:rPr>
        <w:t xml:space="preserve">(nn) No person has the right to require the Company or any of its subsidiaries to register any securities for sale under the Securities Act, or file a prospectus under Canadian Securities Laws, by reason of the filing of the Prospectus with the Commission, filing the Canadian Final Prospectus with the Reviewing Authority, or the issuance of the Notes or the Guarantees and the consummation of the Offering; </w:t>
      </w:r>
    </w:p>
    <w:p>
      <w:pPr>
        <w:pStyle w:val="TextBody"/>
        <w:bidi w:val="0"/>
        <w:spacing w:before="240" w:after="0"/>
        <w:jc w:val="left"/>
        <w:rPr>
          <w:rFonts w:ascii="Times New Roman" w:hAnsi="Times New Roman"/>
          <w:sz w:val="24"/>
        </w:rPr>
      </w:pPr>
      <w:r>
        <w:rPr>
          <w:rFonts w:ascii="Times New Roman" w:hAnsi="Times New Roman"/>
          <w:sz w:val="24"/>
        </w:rPr>
        <w:t xml:space="preserve">(oo) The making or consummation of the Offering, the consummation of the other transactions contemplated by this Agreement and the Offer Materials or the issuance and delivery of the Securities, as described in the Time of Sale Information, the Prospectus, the Canadian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Final Prospectus and the Canadian Offering Memorandum, will not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4"/>
        </w:rPr>
      </w:pPr>
      <w:r>
        <w:rPr>
          <w:rFonts w:ascii="Times New Roman" w:hAnsi="Times New Roman"/>
          <w:sz w:val="24"/>
        </w:rPr>
        <w:t xml:space="preserve">(pp) No forward-looking statement (within the meaning of Section 27A of the Securities Act and Section 21E of the Exchange Act) and no forward-looking information (within the meaning of National Instrument 51-102 – Continuous Disclosure Obligations) included or incorporated by reference in the Time of Sale Information, the Prospectus, the Canadian Final Prospectus and the Canadian Offering Memorandum, as applicable, has been made or reaffirmed without a reasonable basis or has been disclosed other than in good faith; </w:t>
      </w:r>
    </w:p>
    <w:p>
      <w:pPr>
        <w:pStyle w:val="TextBody"/>
        <w:bidi w:val="0"/>
        <w:spacing w:before="240" w:after="0"/>
        <w:jc w:val="left"/>
        <w:rPr>
          <w:rFonts w:ascii="Times New Roman" w:hAnsi="Times New Roman"/>
          <w:sz w:val="24"/>
        </w:rPr>
      </w:pPr>
      <w:r>
        <w:rPr>
          <w:rFonts w:ascii="Times New Roman" w:hAnsi="Times New Roman"/>
          <w:sz w:val="24"/>
        </w:rPr>
        <w:t xml:space="preserve">(qq) Nothing has come to the attention of the Company that has caused the Company or the Guarantors to believe that the industry statistical and market-related data included or incorporated by reference in the Time of Sale Information, the Prospectus, the Canadian Final Prospectus and the Canadian Offering Memorandum, is not based on or derived from sources that are reliable and accurate in all material respects; </w:t>
      </w:r>
    </w:p>
    <w:p>
      <w:pPr>
        <w:pStyle w:val="TextBody"/>
        <w:bidi w:val="0"/>
        <w:spacing w:before="240" w:after="0"/>
        <w:jc w:val="left"/>
        <w:rPr>
          <w:rFonts w:ascii="Times New Roman" w:hAnsi="Times New Roman"/>
          <w:sz w:val="24"/>
        </w:rPr>
      </w:pPr>
      <w:r>
        <w:rPr>
          <w:rFonts w:ascii="Times New Roman" w:hAnsi="Times New Roman"/>
          <w:sz w:val="24"/>
        </w:rPr>
        <w:t xml:space="preserve">(rr) None of TR Finance, the Company or the other Guarantors is an “ineligible issuer” as defined under the Securities Act, at the times specified in the Securities Act in connection with the issuance of the Securities and the Offering. TR Finance has paid the registration fee for the issuance of the Securities pursuant to the Offering in accordance with Rule 457 under the Securities Act; </w:t>
      </w:r>
    </w:p>
    <w:p>
      <w:pPr>
        <w:pStyle w:val="TextBody"/>
        <w:bidi w:val="0"/>
        <w:spacing w:before="240" w:after="0"/>
        <w:jc w:val="left"/>
        <w:rPr>
          <w:rFonts w:ascii="Times New Roman" w:hAnsi="Times New Roman"/>
          <w:sz w:val="24"/>
        </w:rPr>
      </w:pPr>
      <w:r>
        <w:rPr>
          <w:rFonts w:ascii="Times New Roman" w:hAnsi="Times New Roman"/>
          <w:sz w:val="24"/>
        </w:rPr>
        <w:t xml:space="preserve">(ss) There is and has been no failure on the part of either the Company or its directors or officers, in their capacities as such, to comply with any provision of the Sarbanes-Oxley Act of 2002 and the rules and regulations promulgated in connection therewith (the “Sarbanes-Oxley Act”), including Section 402 related to loans and Sections 302 and 906 related to certifications; </w:t>
      </w:r>
    </w:p>
    <w:p>
      <w:pPr>
        <w:pStyle w:val="TextBody"/>
        <w:bidi w:val="0"/>
        <w:spacing w:before="240" w:after="0"/>
        <w:jc w:val="left"/>
        <w:rPr>
          <w:rFonts w:ascii="Times New Roman" w:hAnsi="Times New Roman"/>
          <w:sz w:val="24"/>
        </w:rPr>
      </w:pPr>
      <w:r>
        <w:rPr>
          <w:rFonts w:ascii="Times New Roman" w:hAnsi="Times New Roman"/>
          <w:sz w:val="24"/>
        </w:rPr>
        <w:t xml:space="preserve">(tt) The Company maintains an effective system of “disclosure controls and procedures” (as defined in Rule 13a-15(e) of the Exchange Act) that is designed to ensure that information required to be disclosed by the Company regarding it or its subsidiaries, in the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management of the Company as appropriate to allow timely decisions regarding required disclosure. The Company and its subsidiaries have carried out evaluations of the effectiveness of their disclosure controls and procedures as required by Rule 13a-15 of the Exchange Act and Canadian Securities Laws, respectively; </w:t>
      </w:r>
    </w:p>
    <w:p>
      <w:pPr>
        <w:pStyle w:val="TextBody"/>
        <w:bidi w:val="0"/>
        <w:spacing w:before="240" w:after="0"/>
        <w:jc w:val="left"/>
        <w:rPr>
          <w:rFonts w:ascii="Times New Roman" w:hAnsi="Times New Roman"/>
          <w:sz w:val="24"/>
        </w:rPr>
      </w:pPr>
      <w:r>
        <w:rPr>
          <w:rFonts w:ascii="Times New Roman" w:hAnsi="Times New Roman"/>
          <w:sz w:val="24"/>
        </w:rPr>
        <w:t xml:space="preserve">(uu) The Company, on a consolidated basis, maintains a system of “internal control over financial reporting” (as defined in Rule 13a-15(f) of the Exchange Act) that complies with the requirements of the Exchange Act and Canadian Securities Laws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IFRS, including, but not limited to, internal accounting controls sufficient to provide reasonable assurance that (i) transactions are executed in accordance with management’s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general or specific authorizations; (ii) transactions are recorded as necessary to permit preparation of financial statements in accordance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(v) interactive data in eXtensible Business Reporting Language included or incorporated by reference in the Time of Sale Information, the Prospectus and the Canadian Final Prospectus, is prepared in accordance with the Commission’s rules and guidelines applicable thereto. Except as disclosed in the Time of Sale Information, the Prospectus, the Canadian Final Prospectus and the Canadian Offering Memorandum, there are no material weaknesses or significant deficiencies in the internal controls of the Company; </w:t>
      </w:r>
    </w:p>
    <w:p>
      <w:pPr>
        <w:pStyle w:val="TextBody"/>
        <w:bidi w:val="0"/>
        <w:spacing w:before="240" w:after="0"/>
        <w:jc w:val="left"/>
        <w:rPr>
          <w:rFonts w:ascii="Times New Roman" w:hAnsi="Times New Roman"/>
          <w:sz w:val="24"/>
        </w:rPr>
      </w:pPr>
      <w:r>
        <w:rPr>
          <w:rFonts w:ascii="Times New Roman" w:hAnsi="Times New Roman"/>
          <w:sz w:val="24"/>
        </w:rPr>
        <w:t xml:space="preserve">(vv) The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to the knowledge of the Company,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(i) no breaches, violations, outages or unauthorized uses of or accesses to same, except for those that have been remedied without cost or liability or the duty to notify any other person, and (ii) nor any incidents under internal review or investigations relating to the same, except where such breach, violation, outage, unauthorized use or access, or incidents under internal review or investigation relating to the same, would not be reasonably expected to have, individually or in the aggregate, a Material Adverse Effect. The Company and its subsidiaries are presently in material compliance with all applicable laws or statutes and all judgments, orders, rules and regulations of any court or arbitrator or governmental or regulatory authority having jurisdiction over the Company and its subsidiaries,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240" w:after="0"/>
        <w:jc w:val="left"/>
        <w:rPr>
          <w:rFonts w:ascii="Times New Roman" w:hAnsi="Times New Roman"/>
          <w:sz w:val="24"/>
        </w:rPr>
      </w:pPr>
      <w:r>
        <w:rPr>
          <w:rFonts w:ascii="Times New Roman" w:hAnsi="Times New Roman"/>
          <w:sz w:val="24"/>
        </w:rPr>
        <w:t xml:space="preserve">Any certificate signed by any officer of TR Finance, the Company or any other Guarantor and delivered to you or your counsel in connection with the Offering shall be deemed a representation and warranty by TR Finance, the Company or such Guarantor, as applicable, as to matters covered thereby, to you. </w:t>
      </w:r>
    </w:p>
    <w:p>
      <w:pPr>
        <w:pStyle w:val="TextBody"/>
        <w:bidi w:val="0"/>
        <w:spacing w:before="240" w:after="0"/>
        <w:jc w:val="left"/>
        <w:rPr>
          <w:rFonts w:ascii="Times New Roman" w:hAnsi="Times New Roman"/>
          <w:sz w:val="24"/>
        </w:rPr>
      </w:pPr>
      <w:r>
        <w:rPr>
          <w:rFonts w:ascii="Times New Roman" w:hAnsi="Times New Roman"/>
          <w:sz w:val="24"/>
        </w:rPr>
        <w:t>4.  </w:t>
      </w:r>
      <w:r>
        <w:rPr>
          <w:rFonts w:ascii="Times New Roman" w:hAnsi="Times New Roman"/>
          <w:sz w:val="24"/>
          <w:u w:val="single"/>
        </w:rPr>
        <w:t>Further Agreements of TR Finance, the Company and the other Guarantors</w:t>
      </w:r>
      <w:r>
        <w:rPr>
          <w:rFonts w:ascii="Times New Roman" w:hAnsi="Times New Roman"/>
          <w:sz w:val="24"/>
        </w:rPr>
        <w:t xml:space="preserve">. Each of TR Finance, the Company and the other Guarantors jointly and severally covenants and agrees with each Underwriter that: </w:t>
      </w:r>
    </w:p>
    <w:p>
      <w:pPr>
        <w:pStyle w:val="TextBody"/>
        <w:bidi w:val="0"/>
        <w:spacing w:before="240" w:after="0"/>
        <w:jc w:val="left"/>
        <w:rPr>
          <w:rFonts w:ascii="Times New Roman" w:hAnsi="Times New Roman"/>
          <w:sz w:val="24"/>
        </w:rPr>
      </w:pPr>
      <w:r>
        <w:rPr>
          <w:rFonts w:ascii="Times New Roman" w:hAnsi="Times New Roman"/>
          <w:sz w:val="24"/>
        </w:rPr>
        <w:t>(a) </w:t>
      </w:r>
      <w:r>
        <w:rPr>
          <w:rFonts w:ascii="Times New Roman" w:hAnsi="Times New Roman"/>
          <w:i/>
          <w:sz w:val="24"/>
        </w:rPr>
        <w:t>Required Filings</w:t>
      </w:r>
      <w:r>
        <w:rPr>
          <w:rFonts w:ascii="Times New Roman" w:hAnsi="Times New Roman"/>
          <w:sz w:val="24"/>
        </w:rPr>
        <w:t xml:space="preserve">. Prior to the termination of the Offering, neither TR Finance nor the Company will file any amendment to the Registration Statement or supplement (including the Prospectus, Canadian Base Prospectus, Canadian Final Prospectus or any Preliminary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Prospectus) unless TR Finance has furnished to the Representatives a copy for its review prior to filing and will not file any such proposed amendment or supplement to which the Representatives reasonably object. TR Finance and the Company will prepare the Canadian Final Prospectus (consisting of a supplement to the Canadian Base Prospectus) in accordance with the requirements of Canadian Securities Laws and a supplement to the Base Prospectus consisting of the supplement to the Canadian Base Prospectus modified as required or permitted by Form F-10 or Form F-3, in each case in a form approved by the Representatives and (i) TR Finance will file such Canadian Final Prospectus with the Qualifying Authorities pursuant to the Canadian Securities Laws not later than the close of business on the second Business Day following the execution and delivery of this Agreement or, if applicable, such earlier time as may be required by Canadian Securities Laws, and (ii) TR Finance and the Company will file such supplement to the Base Prospectus with the Commission pursuant to Rule 424(b) or General Instruction II.L. of Form F-10, as applicable, not later than the Commission’s close of business on the next Business Day following such filing with the Qualifying Authorities or, if applicable, such earlier time as may be required by such Rule 424(b) or General Instruction II.L. of Form F-10 or as may be required by Canadian Securities Laws; to make no further amendment or supplement to the Registration Statement, the Base Prospectus, Canadian Final Prospectus, the Preliminary Prospectus or the Canadian Offering Memorandum after the date of this Agreement and prior to the Closing Date unless such amendment or supplement is approved by the Representatives after reasonable notice thereof (which approval shall not be unreasonably withheld); to advise the Representatives promptly of any such amendment or supplement relating to, or affecting, the Securities after such Closing Date and furnish the Representatives with copies thereof, to file promptly with the Qualifying Authorities all necessary marketing materials required to be filed under Canadian Securities Laws and all documents required to be filed by TR Finance and the Company with the Qualifying Authorities that are deemed to be incorporated by reference into the Canadian Final Prospectus and the Base Prospectus and with the Commission all reports and any definitive proxy or information statements required to be filed by TR Finance or the Company with the Commission pursuant to Section 13(a), 13(c) or 15(d) of the Exchange Act, in each case, for so long as the delivery of a prospectus is required in connection with the offering or sale of such Securities, and during such same period to advise the Representatives, promptly after it receives notice thereof, of the time when any amendment to the Canadian Base Prospectus, the Canadian Final Prospectus, the Base Prospectus or the Registration Statement has been filed or becomes effective or any supplement to the Canadian Base Prospectus, the Base Prospectus, the Canadian Final Prospectus, the Prospectus or any amended prospectus has been filed with the Qualifying Authorities or the Commission, of the issuance by any Qualifying Authority or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any Qualifying Authority or the Commission for the amending or supplementing of the Canadian Base Prospectus, the Base Prospectus, the Registration Statement, the Canadian Final Prospectus, the Prospectus or for additional information relating to the Securities, the Canadian Base Prospectus, the Base Prospectus, the Registration Statement, the Canadian Final Prospectus or the Prospectus; and, in the event of the issuance of any such stop order or of any such order preventing or suspending the use of any prospectus relating to the Securities or suspending any such qualification, to use promptly its best efforts to obtain its withdrawal.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(b) </w:t>
      </w:r>
      <w:r>
        <w:rPr>
          <w:rFonts w:ascii="Times New Roman" w:hAnsi="Times New Roman"/>
          <w:i/>
          <w:sz w:val="24"/>
        </w:rPr>
        <w:t>Delivery of Copies</w:t>
      </w:r>
      <w:r>
        <w:rPr>
          <w:rFonts w:ascii="Times New Roman" w:hAnsi="Times New Roman"/>
          <w:sz w:val="24"/>
        </w:rPr>
        <w:t>. TR Finance will deliver, without charge, (i) to the Representatives, upon request, two signed copies of the Registration Statement and the Canadian Final Prospectus, each as originally filed and each amendment thereto, in each case including all exhibits and consents filed therewith and documents incorporated by reference therein; and (ii) to each Underwriter (A) a conformed copy of the Registration Statement and the Canadian Final Prospectus, each as originally filed and each amendment thereto, in each case including all exhibits and consents filed therewith and (B) during the Prospectus Delivery Period (as defined below), as many copies of the Prospectus, the Canadian Final Prospectus and the Canadian Offering Memorandum (including all amendments and supplements thereto and documents incorporated by reference therein) and each Issuer Free Writing Prospectus as the Representatives may reasonably request. As used herein, the term “</w:t>
      </w:r>
      <w:r>
        <w:rPr>
          <w:rFonts w:ascii="Times New Roman" w:hAnsi="Times New Roman"/>
          <w:sz w:val="24"/>
          <w:u w:val="single"/>
        </w:rPr>
        <w:t>Prospectus Delivery Period</w:t>
      </w:r>
      <w:r>
        <w:rPr>
          <w:rFonts w:ascii="Times New Roman" w:hAnsi="Times New Roman"/>
          <w:sz w:val="24"/>
        </w:rPr>
        <w:t xml:space="preserve">” means such period of time after the first date of the public offering of the Securities as in the opinion of counsel for the Underwriters a prospectus relating to the Securities is required to be delivered under the Securities Act or under Canadian Securities Law (or required to be delivered but for Rule 172 under the Securities Act) in connection with sales of the Securities by any Underwriter or dealer. </w:t>
      </w:r>
    </w:p>
    <w:p>
      <w:pPr>
        <w:pStyle w:val="TextBody"/>
        <w:bidi w:val="0"/>
        <w:spacing w:before="240" w:after="0"/>
        <w:jc w:val="left"/>
        <w:rPr>
          <w:rFonts w:ascii="Times New Roman" w:hAnsi="Times New Roman"/>
          <w:sz w:val="24"/>
        </w:rPr>
      </w:pPr>
      <w:r>
        <w:rPr>
          <w:rFonts w:ascii="Times New Roman" w:hAnsi="Times New Roman"/>
          <w:sz w:val="24"/>
        </w:rPr>
        <w:t>(c) </w:t>
      </w:r>
      <w:r>
        <w:rPr>
          <w:rFonts w:ascii="Times New Roman" w:hAnsi="Times New Roman"/>
          <w:i/>
          <w:sz w:val="24"/>
        </w:rPr>
        <w:t>Amendments or Supplements; Issuer Free Writing Prospectuses</w:t>
      </w:r>
      <w:r>
        <w:rPr>
          <w:rFonts w:ascii="Times New Roman" w:hAnsi="Times New Roman"/>
          <w:sz w:val="24"/>
        </w:rPr>
        <w:t xml:space="preserve">. During the Prospectus Delivery Period, before making, preparing, using, authorizing, approving, referring to or filing any Issuer Free Writing Prospectus, and before filing any amendment or supplement to the Registration Statement, the Prospectus or the Canadian Final Prospectus, TR Finance will furnish to the Representatives and counsel for the Underwriters a copy of the proposed Issuer Free Writing Prospectus, amendment or supplement for review and, except as required by applicable law, will not make, prepare, use, authorize, approve, refer to or file any such Issuer Free Writing Prospectus or file any such proposed amendment or supplement to which the Representatives reasonably object. </w:t>
      </w:r>
    </w:p>
    <w:p>
      <w:pPr>
        <w:pStyle w:val="TextBody"/>
        <w:bidi w:val="0"/>
        <w:spacing w:before="240" w:after="0"/>
        <w:jc w:val="left"/>
        <w:rPr>
          <w:rFonts w:ascii="Times New Roman" w:hAnsi="Times New Roman"/>
          <w:sz w:val="24"/>
        </w:rPr>
      </w:pPr>
      <w:r>
        <w:rPr>
          <w:rFonts w:ascii="Times New Roman" w:hAnsi="Times New Roman"/>
          <w:sz w:val="24"/>
        </w:rPr>
        <w:t>(d) </w:t>
      </w:r>
      <w:r>
        <w:rPr>
          <w:rFonts w:ascii="Times New Roman" w:hAnsi="Times New Roman"/>
          <w:i/>
          <w:sz w:val="24"/>
        </w:rPr>
        <w:t>Notice to the Representatives</w:t>
      </w:r>
      <w:r>
        <w:rPr>
          <w:rFonts w:ascii="Times New Roman" w:hAnsi="Times New Roman"/>
          <w:sz w:val="24"/>
        </w:rPr>
        <w:t xml:space="preserve">. TR Finance will advise the Representatives promptly, and confirm such advice in writing, (i) when any amendment to the Registration Statement has become effective; (ii) when any supplement to the Prospectus or the Canadian Final Prospectus or any amendment to the Prospectus or the Canadian Final Prospectus or any Issuer Free Writing Prospectus has been filed; (iii) of any request by the Commission, the Reviewing Authority or any Other Agency for any amendment to the Registration Statement or any amendment or supplement to the Prospectus or the Canadian Final Prospectus or the receipt of any comments from the Commission, the Reviewing Authority or any Other Agency relating to the Registration Statement or any other request by the Commission, the Reviewing Authority or any Other Agency for any additional information; (iv) of the receipt by TR Finance or the Company of any order of the Commission, the Reviewing Authority or any Other Agency suspending the effectiveness of the Registration Statement or preventing or suspending the use of any Preliminary Prospectus, the Canadian Base Prospectus, any of the Time of Sale Information, the Prospectus, the Canadian Final Prospectus or the Canadian Offering Memorandum or the initiation or threatening of any proceeding for that purpose or pursuant to Section 8A of the Securities Act; (v) of the occurrence of any event within the Prospectus Delivery Period as a result of which the Prospectus, the Canadian Final Prospectus, the Canadian Offering Memorandum, the Time of Sale Information or any Issuer Free Writing Prospectus as then amended or supplemented would include any untrue statement of a material fact or omit to state a material fact required to be stated therein or necessary in order to make the statements therein,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in the light of the circumstances existing when the Prospectus, the Canadian Final Prospectus, the Canadian Offering Memorandum, the Time of Sale Information or any such Issuer Free Writing Prospectus is delivered to a purchaser, not misleading; (vi) of the receipt by TR Finance or the Company of any notice of objection of the Commission to the use of the Registration Statement or any posteffective amendment thereto pursuant to Rule 401(g)(2) under the Securities Act; and (vii) of the receipt by TR Finance or the Company of any notice with respect to any suspension of the qualification of the Securities for offer and sale in any jurisdiction or the initiation or threatening of any proceeding for such purpose; and TR Finance and the Company will use commercially reasonable efforts to prevent the issuance of any such order suspending the effectiveness of the Registration Statement, preventing or suspending the use of any Preliminary Prospectus, Canadian Base Prospectus, any Time of Sale Information, the Prospectus, the Canadian Final Prospectus or the Canadian Offering Memorandum or suspending any such qualification of the Securities and, if any such order is issued, will use commercially reasonable efforts to obtain as soon as possible the withdrawal thereof. </w:t>
      </w:r>
    </w:p>
    <w:p>
      <w:pPr>
        <w:pStyle w:val="TextBody"/>
        <w:bidi w:val="0"/>
        <w:spacing w:before="240" w:after="0"/>
        <w:jc w:val="left"/>
        <w:rPr>
          <w:rFonts w:ascii="Times New Roman" w:hAnsi="Times New Roman"/>
          <w:sz w:val="24"/>
        </w:rPr>
      </w:pPr>
      <w:r>
        <w:rPr>
          <w:rFonts w:ascii="Times New Roman" w:hAnsi="Times New Roman"/>
          <w:sz w:val="24"/>
        </w:rPr>
        <w:t>(e) </w:t>
      </w:r>
      <w:r>
        <w:rPr>
          <w:rFonts w:ascii="Times New Roman" w:hAnsi="Times New Roman"/>
          <w:i/>
          <w:sz w:val="24"/>
        </w:rPr>
        <w:t>Time of Sale Information</w:t>
      </w:r>
      <w:r>
        <w:rPr>
          <w:rFonts w:ascii="Times New Roman" w:hAnsi="Times New Roman"/>
          <w:sz w:val="24"/>
        </w:rPr>
        <w:t xml:space="preserve">. If at any time prior to the Closing Date (i) any event shall occur or condition shall exist as a result of which the Time of Sale Information or the Canadian Base Prospectus,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or the Canadian Base Prospectus to comply with law, TR Finance will immediately notify the Underwriters thereof and promptly prepare and, subject to paragraph (c) above, file with the Commission and the Qualifying Authorities (to the extent required) and furnish to the Underwriters and to such dealers as the Representatives may designate, such amendments or supplements to the Time of Sale Information or the Canadian Base Prospectus (or any document to be filed with the Commission or the Qualifying Authorities and incorporated by reference) as may be necessary so that the statements in the Time of Sale Information or the Canadian Base Prospectus, as so amended or supplemented (including such documents to be incorporated by reference therein), will not, in the light of the circumstances under which they were made, be misleading or so that the Time of Sale Information or the Canadian Base Prospectus will comply with law. </w:t>
      </w:r>
    </w:p>
    <w:p>
      <w:pPr>
        <w:pStyle w:val="TextBody"/>
        <w:bidi w:val="0"/>
        <w:spacing w:before="240" w:after="0"/>
        <w:jc w:val="left"/>
        <w:rPr>
          <w:rFonts w:ascii="Times New Roman" w:hAnsi="Times New Roman"/>
          <w:sz w:val="24"/>
        </w:rPr>
      </w:pPr>
      <w:r>
        <w:rPr>
          <w:rFonts w:ascii="Times New Roman" w:hAnsi="Times New Roman"/>
          <w:sz w:val="24"/>
        </w:rPr>
        <w:t>(f) </w:t>
      </w:r>
      <w:r>
        <w:rPr>
          <w:rFonts w:ascii="Times New Roman" w:hAnsi="Times New Roman"/>
          <w:i/>
          <w:sz w:val="24"/>
        </w:rPr>
        <w:t>Ongoing Compliance</w:t>
      </w:r>
      <w:r>
        <w:rPr>
          <w:rFonts w:ascii="Times New Roman" w:hAnsi="Times New Roman"/>
          <w:sz w:val="24"/>
        </w:rPr>
        <w:t xml:space="preserve">. If during the Prospectus Delivery Period (i) any event shall occur or condition shall exist as a result of which the Prospectus, the Canadian Final Prospectus or the Canadian Offering Memorandum, as then amended or supplemented, would include any untrue statement of a material fact or omit to state any material fact required to be stated therein or necessary in order to make the statements therein, in the light of the circumstances existing when the Prospectus, the Canadian Final Prospectus or the Canadian Offering Memorandum is delivered to a purchaser, not misleading or (ii) it is necessary to amend or supplement the Prospectus, the Canadian Final Prospectus or the Canadian Offering Memorandum to comply with law, TR Finance will immediately notify the Underwriters thereof and forthwith prepare and, subject to paragraph (c) above, file with the Commission or the Qualifying Authorities and furnish to the Underwriters and to such dealers as the Representatives may designate, such amendments or supplements to the Prospectus, the Canadian Final Prospectus or the Canadian Offering Memorandum (or any document to be filed with the Commission or the Qualifying Authorities and incorporated by reference) as may be necessary so that the statements in the Prospectus, the Canadian Final Prospectus or the Canadian Offering Memorandum, as so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amended or supplemented (including such documents to be incorporated by reference therein), will not, in the light of the circumstances existing when the Prospectus, the Canadian Final Prospectus or the Canadian Offering Memorandum is delivered to a purchaser, be misleading or so that the Prospectus, the Canadian Final Prospectus or the Canadian Offering Memorandum will comply with law. </w:t>
      </w:r>
    </w:p>
    <w:p>
      <w:pPr>
        <w:pStyle w:val="TextBody"/>
        <w:bidi w:val="0"/>
        <w:spacing w:before="240" w:after="0"/>
        <w:jc w:val="left"/>
        <w:rPr>
          <w:rFonts w:ascii="Times New Roman" w:hAnsi="Times New Roman"/>
          <w:sz w:val="24"/>
        </w:rPr>
      </w:pPr>
      <w:r>
        <w:rPr>
          <w:rFonts w:ascii="Times New Roman" w:hAnsi="Times New Roman"/>
          <w:sz w:val="24"/>
        </w:rPr>
        <w:t>(g) </w:t>
      </w:r>
      <w:r>
        <w:rPr>
          <w:rFonts w:ascii="Times New Roman" w:hAnsi="Times New Roman"/>
          <w:i/>
          <w:sz w:val="24"/>
        </w:rPr>
        <w:t>Blue Sky Compliance</w:t>
      </w:r>
      <w:r>
        <w:rPr>
          <w:rFonts w:ascii="Times New Roman" w:hAnsi="Times New Roman"/>
          <w:sz w:val="24"/>
        </w:rPr>
        <w:t xml:space="preserve">. TR Finance and the Company will, with cooperation from the Representatives and the counsel for the Underwriters, qualify the Securities for offer and sale under the securities or Blue Sky laws of such jurisdictions as the Representatives shall reasonably request and will continue such qualifications in effect so long as required for the offering and sale of the Securities but in no event longer than 180 days from the Closing Date; </w:t>
      </w:r>
      <w:r>
        <w:rPr>
          <w:rFonts w:ascii="Times New Roman" w:hAnsi="Times New Roman"/>
          <w:i/>
          <w:sz w:val="24"/>
        </w:rPr>
        <w:t>provided</w:t>
      </w:r>
      <w:r>
        <w:rPr>
          <w:rFonts w:ascii="Times New Roman" w:hAnsi="Times New Roman"/>
          <w:sz w:val="24"/>
        </w:rPr>
        <w:t xml:space="preserve"> that none of TR Finance, the Company or any of the other Guarantors shall be required to (i) qualify as a foreign corporation or other entity or as a dealer in securities in any such jurisdiction where it would not otherwise be required to so qualify, (ii) execute or file any general consent to service of process in any such jurisdiction or take any other action that would subject itself to general service of process in such jurisdiction or (iii) subject itself to taxation in any such jurisdiction if it is not otherwise so subject. </w:t>
      </w:r>
    </w:p>
    <w:p>
      <w:pPr>
        <w:pStyle w:val="TextBody"/>
        <w:bidi w:val="0"/>
        <w:spacing w:before="240" w:after="0"/>
        <w:jc w:val="left"/>
        <w:rPr>
          <w:rFonts w:ascii="Times New Roman" w:hAnsi="Times New Roman"/>
          <w:sz w:val="24"/>
        </w:rPr>
      </w:pPr>
      <w:r>
        <w:rPr>
          <w:rFonts w:ascii="Times New Roman" w:hAnsi="Times New Roman"/>
          <w:sz w:val="24"/>
        </w:rPr>
        <w:t>(h) </w:t>
      </w:r>
      <w:r>
        <w:rPr>
          <w:rFonts w:ascii="Times New Roman" w:hAnsi="Times New Roman"/>
          <w:i/>
          <w:sz w:val="24"/>
        </w:rPr>
        <w:t>Earning Statement</w:t>
      </w:r>
      <w:r>
        <w:rPr>
          <w:rFonts w:ascii="Times New Roman" w:hAnsi="Times New Roman"/>
          <w:sz w:val="24"/>
        </w:rPr>
        <w:t xml:space="preserve">. TR Finance and the Company will make generally available to its security holders and the Representatives as soon as practicable an earning statement (which need not be audited)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p>
    <w:p>
      <w:pPr>
        <w:pStyle w:val="TextBody"/>
        <w:bidi w:val="0"/>
        <w:spacing w:before="240" w:after="0"/>
        <w:jc w:val="left"/>
        <w:rPr>
          <w:rFonts w:ascii="Times New Roman" w:hAnsi="Times New Roman"/>
          <w:sz w:val="24"/>
        </w:rPr>
      </w:pPr>
      <w:r>
        <w:rPr>
          <w:rFonts w:ascii="Times New Roman" w:hAnsi="Times New Roman"/>
          <w:sz w:val="24"/>
        </w:rPr>
        <w:t>(i) </w:t>
      </w:r>
      <w:r>
        <w:rPr>
          <w:rFonts w:ascii="Times New Roman" w:hAnsi="Times New Roman"/>
          <w:i/>
          <w:sz w:val="24"/>
        </w:rPr>
        <w:t>Clear Market</w:t>
      </w:r>
      <w:r>
        <w:rPr>
          <w:rFonts w:ascii="Times New Roman" w:hAnsi="Times New Roman"/>
          <w:sz w:val="24"/>
        </w:rPr>
        <w:t xml:space="preserve">. During the period from the date hereof through and including the Closing Date, except for the contemplated offering on a private placement basis in Canada of up to C$1,000,000,000 of senior unsecured notes disclosed in the Time of Sale Information and commercial paper issued by the Company and TR Finance, TR Finance, the Company and each of the other Guarantors will not, without the prior written consent of the Representatives, offer, sell, contract to sell or otherwise dispose of any senior debt securities issued or guaranteed by TR Finance, the Company or any of the other Guarantors and having a tenor of more than one year. </w:t>
      </w:r>
    </w:p>
    <w:p>
      <w:pPr>
        <w:pStyle w:val="TextBody"/>
        <w:bidi w:val="0"/>
        <w:spacing w:before="240" w:after="0"/>
        <w:jc w:val="left"/>
        <w:rPr>
          <w:rFonts w:ascii="Times New Roman" w:hAnsi="Times New Roman"/>
          <w:sz w:val="24"/>
        </w:rPr>
      </w:pPr>
      <w:r>
        <w:rPr>
          <w:rFonts w:ascii="Times New Roman" w:hAnsi="Times New Roman"/>
          <w:sz w:val="24"/>
        </w:rPr>
        <w:t>(j) </w:t>
      </w:r>
      <w:r>
        <w:rPr>
          <w:rFonts w:ascii="Times New Roman" w:hAnsi="Times New Roman"/>
          <w:i/>
          <w:sz w:val="24"/>
        </w:rPr>
        <w:t>Use of Proceeds</w:t>
      </w:r>
      <w:r>
        <w:rPr>
          <w:rFonts w:ascii="Times New Roman" w:hAnsi="Times New Roman"/>
          <w:sz w:val="24"/>
        </w:rPr>
        <w:t xml:space="preserve">. TR Finance and the Company will apply the net proceeds from the sale of the Securities as described in the Registration Statement, the Time of Sale Information, the Prospectus and the Canadian Final Prospectus under the heading “Use of Proceeds.” </w:t>
      </w:r>
    </w:p>
    <w:p>
      <w:pPr>
        <w:pStyle w:val="TextBody"/>
        <w:bidi w:val="0"/>
        <w:spacing w:before="240" w:after="0"/>
        <w:jc w:val="left"/>
        <w:rPr>
          <w:rFonts w:ascii="Times New Roman" w:hAnsi="Times New Roman"/>
          <w:sz w:val="24"/>
        </w:rPr>
      </w:pPr>
      <w:r>
        <w:rPr>
          <w:rFonts w:ascii="Times New Roman" w:hAnsi="Times New Roman"/>
          <w:sz w:val="24"/>
        </w:rPr>
        <w:t>(k) </w:t>
      </w:r>
      <w:r>
        <w:rPr>
          <w:rFonts w:ascii="Times New Roman" w:hAnsi="Times New Roman"/>
          <w:i/>
          <w:sz w:val="24"/>
        </w:rPr>
        <w:t>No Stabilization</w:t>
      </w:r>
      <w:r>
        <w:rPr>
          <w:rFonts w:ascii="Times New Roman" w:hAnsi="Times New Roman"/>
          <w:sz w:val="24"/>
        </w:rPr>
        <w:t xml:space="preserve">. None of TR Finance, the Company or any of the other Guarantors will take, directly or indirectly, any action designed to or that could reasonably be expected to cause or result in any stabilization or manipulation of the price of the Securities. </w:t>
      </w:r>
    </w:p>
    <w:p>
      <w:pPr>
        <w:pStyle w:val="TextBody"/>
        <w:bidi w:val="0"/>
        <w:spacing w:before="240" w:after="0"/>
        <w:jc w:val="left"/>
        <w:rPr>
          <w:rFonts w:ascii="Times New Roman" w:hAnsi="Times New Roman"/>
          <w:sz w:val="24"/>
        </w:rPr>
      </w:pPr>
      <w:r>
        <w:rPr>
          <w:rFonts w:ascii="Times New Roman" w:hAnsi="Times New Roman"/>
          <w:sz w:val="24"/>
        </w:rPr>
        <w:t xml:space="preserve">(l) Record Retention. TR Finance will, pursuant to reasonable procedures developed in good faith, retain copies of each Issuer Free Writing Prospectus that is not filed with the Commission in accordance with Rule 433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(m) The Company will advise you promptly upon (i) the occurrence of any downgrading or (ii) its or TR Finance’s receipt of notice of (A) any downgrading, (B) any intended or potential downgrading or (C) any surveillance or review or any changed outlook that does not indicate an improvement in the rating accorded to the Securities or any securities of, or guaranteed by, the Company or TR Finance by any “nationally recognized statistical rating organization,” as such term is defined in Section 3(a)(62) of the Exchange Act or any “designated rating organization.” As such term is defined in National Instrument 25-101 – Designated Rating Organizations. </w:t>
      </w:r>
    </w:p>
    <w:p>
      <w:pPr>
        <w:pStyle w:val="TextBody"/>
        <w:bidi w:val="0"/>
        <w:spacing w:before="240" w:after="0"/>
        <w:jc w:val="left"/>
        <w:rPr>
          <w:rFonts w:ascii="Times New Roman" w:hAnsi="Times New Roman"/>
          <w:sz w:val="24"/>
        </w:rPr>
      </w:pPr>
      <w:r>
        <w:rPr>
          <w:rFonts w:ascii="Times New Roman" w:hAnsi="Times New Roman"/>
          <w:sz w:val="24"/>
        </w:rPr>
        <w:t xml:space="preserve">(n) TR Finance, the Company and the other Guarantors will comply with the Securities Act, the Exchange Act and Canadian Securities Laws, as applicable, in conducting the Offering and the issuance of the Securities pursuant thereto as contemplated in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(o) TR Finance, the Company and each of the other Guarantors agree to pay any amounts owed to the Underwriters under this Agreement free and clear of, and without withholding or deduction for or on account of, any present or future taxes, levies, imposts, assessments, duties or other governmental charges (hereinafter “Taxes”) imposed or levied by or on behalf of any Taxing Jurisdiction (as defined herein) unless TR Finance, the Company or any such Guarantor, as the case may be, is required to withhold or deduct such Taxes by applicable law or by the interpretation or administration thereof. If the Company or such Guarantor, as the case may be, is so required to withhold or deduct any amount for or on account of any Taxes imposed or levied by or on behalf of any Taxing Jurisdiction from any payment to any Underwriter under this Agreement, the Company or such Guarantor, as the case may be, shall pay to such Underwriter such additional amounts (“</w:t>
      </w:r>
      <w:r>
        <w:rPr>
          <w:rFonts w:ascii="Times New Roman" w:hAnsi="Times New Roman"/>
          <w:sz w:val="24"/>
          <w:u w:val="single"/>
        </w:rPr>
        <w:t>Additional Amounts</w:t>
      </w:r>
      <w:r>
        <w:rPr>
          <w:rFonts w:ascii="Times New Roman" w:hAnsi="Times New Roman"/>
          <w:sz w:val="24"/>
        </w:rPr>
        <w:t xml:space="preserve">”) as may be necessary so that the net amount received by such Underwriter after such withholding or deduction (including such deductions and withholdings applicable to Additional Amounts) will not be less than the amount that would have been received by such Underwriter if such Taxes had not been withheld or deducted, provided that no Additional Amounts will be payable with respect to Taxes that (i) were imposed other than by withholding from payments under this Agreement; (ii) were imposed due to a connection of such Underwriter with the Taxing Jurisdiction other than connections arising from such Underwriter having executed, delivered, become party to, performed its obligations under, received payments under or enforced this Agreement; (iii) would not have been imposed but for the failure of such Underwriter to comply with any reasonable certification, identification or other reporting requirements concerning the nationality, residence, identity or connection with the Taxing Jurisdiction of such Underwriter if such compliance is required or imposed by law as a precondition to an exemption from, or reduction in, such Taxes; (iv) were income, franchise or other similar Taxes, in each case imposed on the overall net income of any Underwriter as a result of such Underwriter being organized under the laws of, or having its principal office located in the Taxing Jurisdiction; or (v) were imposed in respect of services rendered in Canada as contemplated by subsection 105(1) of the regulations to the Tax Act or in respect of a “management or administration fee or charge” (as defined in subsection 212(4) of the Tax Act) as contemplated by paragraph 212(1)(a) of the Tax Act. TR Finance, the Company and each of the other Guarantors, jointly and severally, further agree to indemnify and hold harmless the Underwriters against any documentary, stamp, sales, transaction or similar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issue tax, including any interest and penalties, on the creation, issue and sale of the Securities, and on the execution, delivery, performance and enforcement of the Transaction Documents. </w:t>
      </w:r>
    </w:p>
    <w:p>
      <w:pPr>
        <w:pStyle w:val="TextBody"/>
        <w:bidi w:val="0"/>
        <w:spacing w:before="240" w:after="0"/>
        <w:jc w:val="left"/>
        <w:rPr>
          <w:rFonts w:ascii="Times New Roman" w:hAnsi="Times New Roman"/>
          <w:sz w:val="24"/>
        </w:rPr>
      </w:pPr>
      <w:r>
        <w:rPr>
          <w:rFonts w:ascii="Times New Roman" w:hAnsi="Times New Roman"/>
          <w:sz w:val="24"/>
        </w:rPr>
        <w:t>5.  </w:t>
      </w:r>
      <w:r>
        <w:rPr>
          <w:rFonts w:ascii="Times New Roman" w:hAnsi="Times New Roman"/>
          <w:sz w:val="24"/>
          <w:u w:val="single"/>
        </w:rPr>
        <w:t>Certain Agreements of the Underwriters</w:t>
      </w:r>
      <w:r>
        <w:rPr>
          <w:rFonts w:ascii="Times New Roman" w:hAnsi="Times New Roman"/>
          <w:sz w:val="24"/>
        </w:rPr>
        <w:t xml:space="preserve">. Each Underwriter hereby severally represents and agrees that: </w:t>
      </w:r>
    </w:p>
    <w:p>
      <w:pPr>
        <w:pStyle w:val="TextBody"/>
        <w:bidi w:val="0"/>
        <w:spacing w:before="240" w:after="0"/>
        <w:jc w:val="left"/>
        <w:rPr>
          <w:rFonts w:ascii="Times New Roman" w:hAnsi="Times New Roman"/>
          <w:sz w:val="24"/>
        </w:rPr>
      </w:pPr>
      <w:r>
        <w:rPr>
          <w:rFonts w:ascii="Times New Roman" w:hAnsi="Times New Roman"/>
          <w:sz w:val="24"/>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TR Finance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Securities Act, (ii) any Issuer Free Writing Prospectus listed on Annex A or prepared pursuant to Section 4(c) above (including any electronic road show), or (iii) any free writing prospectus prepared by such Underwriter and approved by TR Finance in advance in writing. </w:t>
      </w:r>
    </w:p>
    <w:p>
      <w:pPr>
        <w:pStyle w:val="TextBody"/>
        <w:bidi w:val="0"/>
        <w:spacing w:before="240" w:after="0"/>
        <w:jc w:val="left"/>
        <w:rPr>
          <w:rFonts w:ascii="Times New Roman" w:hAnsi="Times New Roman"/>
          <w:sz w:val="24"/>
        </w:rPr>
      </w:pPr>
      <w:r>
        <w:rPr>
          <w:rFonts w:ascii="Times New Roman" w:hAnsi="Times New Roman"/>
          <w:sz w:val="24"/>
        </w:rPr>
        <w:t xml:space="preserve">(b) It is not subject to any pending proceeding under Section 8A of the Securities Act with respect to the Offering (and will promptly notify TR Finance if any such proceeding against it is initiated during the Prospectus Delivery Period). </w:t>
      </w:r>
    </w:p>
    <w:p>
      <w:pPr>
        <w:pStyle w:val="TextBody"/>
        <w:bidi w:val="0"/>
        <w:spacing w:before="240" w:after="0"/>
        <w:jc w:val="left"/>
        <w:rPr>
          <w:rFonts w:ascii="Times New Roman" w:hAnsi="Times New Roman"/>
          <w:sz w:val="24"/>
        </w:rPr>
      </w:pPr>
      <w:r>
        <w:rPr>
          <w:rFonts w:ascii="Times New Roman" w:hAnsi="Times New Roman"/>
          <w:sz w:val="24"/>
        </w:rPr>
        <w:t xml:space="preserve">(c) It has not offered or sold, directly or indirectly, and that it will not, directly or indirectly, order, sell or deliver, any of the Notes in or from Canada or to any resident of Canada; provided that the Underwriters may, in their discretion, resell such Notes to any of their Canadian investment dealer affiliates. Each Underwriter further agrees that it will include a comparable provision in any sub-underwriting, banking group or selling group agreement or similar arrangement with respect to the Notes that may be entered into by such Underwriter. </w:t>
      </w:r>
    </w:p>
    <w:p>
      <w:pPr>
        <w:pStyle w:val="TextBody"/>
        <w:bidi w:val="0"/>
        <w:spacing w:before="240" w:after="0"/>
        <w:jc w:val="left"/>
        <w:rPr>
          <w:rFonts w:ascii="Times New Roman" w:hAnsi="Times New Roman"/>
          <w:sz w:val="24"/>
        </w:rPr>
      </w:pPr>
      <w:r>
        <w:rPr>
          <w:rFonts w:ascii="Times New Roman" w:hAnsi="Times New Roman"/>
          <w:sz w:val="24"/>
        </w:rPr>
        <w:t xml:space="preserve">(d) Any offer or sale by any Canadian investment dealer affiliate of the Underwriters of the Notes, as contemplated in Section 5(c) above, purchased by it hereunder in Canada or to any resident of Canada shall only be effected on a private placement basis in accordance with applicable exemptions under the applicable securities laws in the relevant jurisdictions including that any such Canadian investment dealer affiliate (i) will not offer or sell the Notes purchased by it hereunder in Canada except in the Qualifying Canadian Jurisdictions and in each case will only do so in accordance with applicable securities laws in the relevant Qualifying Canadian Jurisdiction; and (ii) with respect to the Qualifying Canadian Jurisdictions, represents and agrees that (A) it has not offered, sold, distributed or delivered, and that it will not offer, sell, distribute or deliver, any Notes purchased by it hereunder, directly or indirectly in the Qualifying Canadian Jurisdictions or to any person that is resident in any Qualifying Canadian Jurisdictions for the purposes of securities laws applicable therein (including any corporation or other entity organized under the laws of any jurisdiction in Canada), except to persons who are not individuals, who are “permitted clients” as defined under National Instrument 31-103 – Registration Requirements, Exemptions and Ongoing Registrant Obligations and who are “accredited investors” as defined under National Instrument 45-106 – Prospectus Exemptions (NI 45-106) or Section 73.3(1) of the Securities Act (Ontario), as applicable, under the “accredited investor exemption” as defined in NI 45-106; and (B) neither it nor its Canadian investment dealer affiliate will distribute or deliver the Registration Statement, the Preliminary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Prospectus, the Canadian Base Prospectus, the Prospectus or the Canadian Final Prospectus or any other offering material relating to the Notes purchased by it hereunder, in the Qualifying Canadian Jurisdictions in contravention of the securities laws or regulations of the Qualifying Canadian Jurisdictions; provided that the Canadian investment dealer affiliates shall be permitted to use the Canadian Preliminary Offering Memorandum and the Canadian Final Offering Memorandum in connection with the offer and sale of the Notes in the Qualifying Canadian Jurisdictions. </w:t>
      </w:r>
    </w:p>
    <w:p>
      <w:pPr>
        <w:pStyle w:val="TextBody"/>
        <w:bidi w:val="0"/>
        <w:spacing w:before="240" w:after="0"/>
        <w:jc w:val="left"/>
        <w:rPr>
          <w:rFonts w:ascii="Times New Roman" w:hAnsi="Times New Roman"/>
          <w:sz w:val="24"/>
        </w:rPr>
      </w:pPr>
      <w:r>
        <w:rPr>
          <w:rFonts w:ascii="Times New Roman" w:hAnsi="Times New Roman"/>
          <w:sz w:val="24"/>
        </w:rPr>
        <w:t xml:space="preserve">(e) It and any applicable Canadian investment dealer affiliate who purchases Notes as contemplated in Section 5(c) above, have taken or will take reasonable steps to confirm that each purchaser of Notes in the Qualifying Canadian Jurisdictions is not an individual and meets the terms and conditions of the “accredited investor exemption” as defined in NI 45-106, will obtain, as necessary, and retain relevant information and documentation to evidence the steps taken to verify compliance with the exemption and provide to TR Finance as soon as reasonably practicable upon request all such information or documentation as TR Finance may reasonably request for the purpose of complying with a request from a securities regulator in the Qualifying Canadian Jurisdictions (including identifying whether the purchaser is purchasing for its own account and what category of “accredited investor” the purchaser falls under). </w:t>
      </w:r>
    </w:p>
    <w:p>
      <w:pPr>
        <w:pStyle w:val="TextBody"/>
        <w:bidi w:val="0"/>
        <w:spacing w:before="240" w:after="0"/>
        <w:jc w:val="left"/>
        <w:rPr>
          <w:rFonts w:ascii="Times New Roman" w:hAnsi="Times New Roman"/>
          <w:sz w:val="24"/>
        </w:rPr>
      </w:pPr>
      <w:r>
        <w:rPr>
          <w:rFonts w:ascii="Times New Roman" w:hAnsi="Times New Roman"/>
          <w:sz w:val="24"/>
        </w:rPr>
        <w:t xml:space="preserve">(f) It will deliver to TR Finance, as soon as practicable and, in any event, in sufficient time to allow TR Finance to comply with Canadian Securities Laws, all information respecting the Canadian purchasers of the Notes as required for the filing of all documents required to be filed by TR Finance in connection with the sale of the Notes pursuant to the Offering, including reports of exempt distribution on Form 45-106F1 pursuant to NI 45-106 and any equivalent form in any Qualifying Canadian Jurisdiction. </w:t>
      </w:r>
    </w:p>
    <w:p>
      <w:pPr>
        <w:pStyle w:val="TextBody"/>
        <w:bidi w:val="0"/>
        <w:spacing w:before="240" w:after="0"/>
        <w:jc w:val="left"/>
        <w:rPr>
          <w:rFonts w:ascii="Times New Roman" w:hAnsi="Times New Roman"/>
          <w:sz w:val="24"/>
        </w:rPr>
      </w:pPr>
      <w:r>
        <w:rPr>
          <w:rFonts w:ascii="Times New Roman" w:hAnsi="Times New Roman"/>
          <w:sz w:val="24"/>
        </w:rPr>
        <w:t xml:space="preserve">(g) None of the payments to be made to the Underwriters under this Agreement shall be for services rendered in Canada by or on behalf of their Underwriters or their affiliates. </w:t>
      </w:r>
    </w:p>
    <w:p>
      <w:pPr>
        <w:pStyle w:val="TextBody"/>
        <w:bidi w:val="0"/>
        <w:spacing w:before="240" w:after="0"/>
        <w:jc w:val="left"/>
        <w:rPr>
          <w:rFonts w:ascii="Times New Roman" w:hAnsi="Times New Roman"/>
          <w:sz w:val="24"/>
        </w:rPr>
      </w:pPr>
      <w:r>
        <w:rPr>
          <w:rFonts w:ascii="Times New Roman" w:hAnsi="Times New Roman"/>
          <w:sz w:val="24"/>
        </w:rPr>
        <w:t>6.  </w:t>
      </w:r>
      <w:r>
        <w:rPr>
          <w:rFonts w:ascii="Times New Roman" w:hAnsi="Times New Roman"/>
          <w:sz w:val="24"/>
          <w:u w:val="single"/>
        </w:rPr>
        <w:t>Conditions of Underwriters’ Obligations</w:t>
      </w:r>
      <w:r>
        <w:rPr>
          <w:rFonts w:ascii="Times New Roman" w:hAnsi="Times New Roman"/>
          <w:sz w:val="24"/>
        </w:rPr>
        <w:t xml:space="preserve">. The obligation of each Underwriter to purchase Securities on the Closing Date as provided herein is subject to the performance by TR Finance, the Company and the other Guarantors of their respective covenants and other obligations hereunder and to the following additional conditions: </w:t>
      </w:r>
    </w:p>
    <w:p>
      <w:pPr>
        <w:pStyle w:val="TextBody"/>
        <w:bidi w:val="0"/>
        <w:spacing w:before="240" w:after="0"/>
        <w:jc w:val="left"/>
        <w:rPr>
          <w:rFonts w:ascii="Times New Roman" w:hAnsi="Times New Roman"/>
          <w:sz w:val="24"/>
        </w:rPr>
      </w:pPr>
      <w:r>
        <w:rPr>
          <w:rFonts w:ascii="Times New Roman" w:hAnsi="Times New Roman"/>
          <w:sz w:val="24"/>
        </w:rPr>
        <w:t>(a) </w:t>
      </w:r>
      <w:r>
        <w:rPr>
          <w:rFonts w:ascii="Times New Roman" w:hAnsi="Times New Roman"/>
          <w:i/>
          <w:sz w:val="24"/>
        </w:rPr>
        <w:t>Registration Compliance; No Stop Order</w:t>
      </w:r>
      <w:r>
        <w:rPr>
          <w:rFonts w:ascii="Times New Roman" w:hAnsi="Times New Roman"/>
          <w:sz w:val="24"/>
        </w:rPr>
        <w:t xml:space="preserve">. No order suspending the effectiveness of the Registration Statement or any part thereof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the Canadian Final Prospectus shall have been timely filed with the Qualifying Authorities and no order suspending the distribution of the Securities has been issued by the Reviewing Authority or any Qualifying Authority and no proceeding for that purpose has been initiated or, to the best of the Company’s and TR Finance’s knowledge, threatened by the Reviewing Authority or any Qualifying Authority; and all requests by the Commission or the Reviewing Authority for additional information shall have been complied with to the reasonable satisfaction of the Representatives.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(b) Representations and Warranties. The representations and warranties of TR Finance, the Company and the other Guarantors contained herein shall be true and correct in on the date hereof and on and as of the Closing Date; and the statements of TR Finance, the Company and the other Guarantors and their respective officers, in each case, made in any certificates delivered pursuant to this Agreement shall be true and correct on and as of the Closing Date. </w:t>
      </w:r>
    </w:p>
    <w:p>
      <w:pPr>
        <w:pStyle w:val="TextBody"/>
        <w:bidi w:val="0"/>
        <w:spacing w:before="240" w:after="0"/>
        <w:jc w:val="left"/>
        <w:rPr>
          <w:rFonts w:ascii="Times New Roman" w:hAnsi="Times New Roman"/>
          <w:sz w:val="24"/>
        </w:rPr>
      </w:pPr>
      <w:r>
        <w:rPr>
          <w:rFonts w:ascii="Times New Roman" w:hAnsi="Times New Roman"/>
          <w:sz w:val="24"/>
        </w:rPr>
        <w:t xml:space="preserve">(c) No Downgrade. Subsequent to the earlier of (A) the Time of Sale and (B) the execution and delivery of this Agreement, (i) no downgrading shall have occurred in the rating accorded the Securities or any other debt securities or preferred stock issued or guaranteed by TR Finance or any of the Guarantors by any “nationally recognized statistical rating organization,” as such term is defined under Section 3(a)(62) of the Exchange Act, or any “designated rating organization,” as such term is defined in National Instrument 25-101 – Designated Rating Organizations, and (ii) no such organization shall have publicly announced that it is under surveillance or review, or has changed its outlook with respect to, its rating of the Securities or of any other debt securities or preferred stock of or guaranteed by TR Finance or any of the Guarantors (other than an announcement with positive implications of a possible upgrading). </w:t>
      </w:r>
    </w:p>
    <w:p>
      <w:pPr>
        <w:pStyle w:val="TextBody"/>
        <w:bidi w:val="0"/>
        <w:spacing w:before="240" w:after="0"/>
        <w:jc w:val="left"/>
        <w:rPr>
          <w:rFonts w:ascii="Times New Roman" w:hAnsi="Times New Roman"/>
          <w:sz w:val="24"/>
        </w:rPr>
      </w:pPr>
      <w:r>
        <w:rPr>
          <w:rFonts w:ascii="Times New Roman" w:hAnsi="Times New Roman"/>
          <w:sz w:val="24"/>
        </w:rPr>
        <w:t xml:space="preserve">(d) No Material Adverse Change. No event or condition of a type described in Section 3(n) hereof shall have occurred or shall exist, which event or condition is not described in the Time of Sale Information (excluding any amendment or supplement thereto), the Prospectus (excluding any amendment or supplement thereto), the Canadian Final Prospectus (excluding any amendment or supplement thereto) and the Canadian Offering Memorandum (excluding any amendment or supplement thereto) and the effect of which in the judgment of the Representatives is so material and adverse as to make it impracticable or inadvisable to proceed with the offering, sale or delivery of the Securities on the terms and in the manner contemplated by this Agreement,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 xml:space="preserve">(e) Officer’s Certificate. The Representatives shall have received on and as of the Closing Date a certificate from the chief financial officer of the Company (in his capacity as such) and that is in form and substance reasonably satisfactory to the Representatives (i) confirming that, to the knowledge of such officer, the representations set forth in Sections 3(b) and 3(d) hereof are true and correct, (ii) confirming that the other representations and warranties of TR Finance, the Company and the other Guarantors in this Agreement are true and correct and that each of TR Finance, the Company and the other Guarantors have complied with all agreements and satisfied all conditions on its or their part to be performed or satisfied hereunder at or prior to the Closing Date and (iii) to the effect set forth in paragraphs (a) and (d) above. </w:t>
      </w:r>
    </w:p>
    <w:p>
      <w:pPr>
        <w:pStyle w:val="TextBody"/>
        <w:bidi w:val="0"/>
        <w:spacing w:before="240" w:after="0"/>
        <w:jc w:val="left"/>
        <w:rPr>
          <w:rFonts w:ascii="Times New Roman" w:hAnsi="Times New Roman"/>
          <w:sz w:val="24"/>
        </w:rPr>
      </w:pPr>
      <w:r>
        <w:rPr>
          <w:rFonts w:ascii="Times New Roman" w:hAnsi="Times New Roman"/>
          <w:sz w:val="24"/>
        </w:rPr>
        <w:t xml:space="preserve">(f) Comfort Letters. On the date hereof and on the Closing Date, PwC shall have furnished to the Representatives, at the request of the Company, letters, dated the respective dates of delivery thereof and addressed to the Underwriters, in form and substance reasonably satisfactory to the Underwriters, containing statements and information of the type customarily included in accountants’ “comfort letters” to underwriters with respect to the Company financial statements and certain financial information contained or incorporated by reference in the Registration Statement, the Time of Sale Information, the Prospectus and the Canadian Final Prospectus; provided that the letters delivered on the date hereof and on the Closing Date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use a “cut-off” date no more than three business days prior to the date hereof and to the Closing Date, respectively. </w:t>
      </w:r>
    </w:p>
    <w:p>
      <w:pPr>
        <w:pStyle w:val="TextBody"/>
        <w:bidi w:val="0"/>
        <w:spacing w:before="240" w:after="0"/>
        <w:jc w:val="left"/>
        <w:rPr>
          <w:rFonts w:ascii="Times New Roman" w:hAnsi="Times New Roman"/>
          <w:sz w:val="24"/>
        </w:rPr>
      </w:pPr>
      <w:r>
        <w:rPr>
          <w:rFonts w:ascii="Times New Roman" w:hAnsi="Times New Roman"/>
          <w:sz w:val="24"/>
        </w:rPr>
        <w:t xml:space="preserve">(g) Opinion of Alberta, Ontario and Quebec (and the laws of Canada applicable therein) and New York Counsel for TR Finance, the Company and the other Guarantors. Torys LLP, Alberta, Ontario and Quebec (and the laws of Canada applicable therein) and New York counsel for TR Finance, the Company and the other Guarantors, shall have furnished to the Representatives its written opinion, dated the Closing Date and addressed to the Underwriters, in form and substance reasonably satisfactory to the Representatives, including as to the laws of Alberta, Ontario and Quebec, as applicable (and the laws of Canada applicable therein). </w:t>
      </w:r>
    </w:p>
    <w:p>
      <w:pPr>
        <w:pStyle w:val="TextBody"/>
        <w:bidi w:val="0"/>
        <w:spacing w:before="240" w:after="0"/>
        <w:jc w:val="left"/>
        <w:rPr>
          <w:rFonts w:ascii="Times New Roman" w:hAnsi="Times New Roman"/>
          <w:sz w:val="24"/>
        </w:rPr>
      </w:pPr>
      <w:r>
        <w:rPr>
          <w:rFonts w:ascii="Times New Roman" w:hAnsi="Times New Roman"/>
          <w:sz w:val="24"/>
        </w:rPr>
        <w:t xml:space="preserve">(h) 10b-5 Statement of New York Counsel for TR Finance, the Company and the other Guarantors. Torys LLP, New York counsel for TR Finance, the Company and the other Guarantors, shall have furnished to the Representatives its 10b-5 statement, dated the Closing Date and addressed to the Underwriters, in form and substance reasonably satisfactory to the Representatives. </w:t>
      </w:r>
    </w:p>
    <w:p>
      <w:pPr>
        <w:pStyle w:val="TextBody"/>
        <w:bidi w:val="0"/>
        <w:spacing w:before="240" w:after="0"/>
        <w:jc w:val="left"/>
        <w:rPr>
          <w:rFonts w:ascii="Times New Roman" w:hAnsi="Times New Roman"/>
          <w:sz w:val="24"/>
        </w:rPr>
      </w:pPr>
      <w:r>
        <w:rPr>
          <w:rFonts w:ascii="Times New Roman" w:hAnsi="Times New Roman"/>
          <w:sz w:val="24"/>
        </w:rPr>
        <w:t xml:space="preserve">(i) Opinion of Special Minnesota Counsel for West Publishing Corporation. Fredrikson &amp; Byron, P.A., special Minnesota counsel for West Publishing Corporation, shall have furnished to the Representatives its written opinion, dated the Closing Date and addressed to the Underwriters, in form and substance reasonably satisfactory to the Representatives. </w:t>
      </w:r>
    </w:p>
    <w:p>
      <w:pPr>
        <w:pStyle w:val="TextBody"/>
        <w:bidi w:val="0"/>
        <w:spacing w:before="240" w:after="0"/>
        <w:jc w:val="left"/>
        <w:rPr>
          <w:rFonts w:ascii="Times New Roman" w:hAnsi="Times New Roman"/>
          <w:sz w:val="24"/>
        </w:rPr>
      </w:pPr>
      <w:r>
        <w:rPr>
          <w:rFonts w:ascii="Times New Roman" w:hAnsi="Times New Roman"/>
          <w:sz w:val="24"/>
        </w:rPr>
        <w:t xml:space="preserve">(j) Opinion of Special Texas Counsel for Thomson Reuters (Tax &amp; Accounting) Inc. Morgan, Lewis &amp; Bockius LLP, special Texas counsel for Thomson Reuters (Tax &amp; Accounting) Inc., shall have furnished to the Representatives its written opinion, dated the Closing Date and addressed to the Underwriters, in form and substance reasonable satisfactory to the Representatives. </w:t>
      </w:r>
    </w:p>
    <w:p>
      <w:pPr>
        <w:pStyle w:val="TextBody"/>
        <w:bidi w:val="0"/>
        <w:spacing w:before="240" w:after="0"/>
        <w:jc w:val="left"/>
        <w:rPr>
          <w:rFonts w:ascii="Times New Roman" w:hAnsi="Times New Roman"/>
          <w:sz w:val="24"/>
        </w:rPr>
      </w:pPr>
      <w:r>
        <w:rPr>
          <w:rFonts w:ascii="Times New Roman" w:hAnsi="Times New Roman"/>
          <w:sz w:val="24"/>
        </w:rPr>
        <w:t xml:space="preserve">(k) Opinion of Special Counsel to TR Finance, the Company and the Guarantors. As the Representatives and their counsel may reasonably request, if applicable, special counsel to TR Finance, the Company and the Guarantors licensed to practice law in the Qualifying Canadian Jurisdictions other than Alberta, Ontario and Quebec shall have furnished to the Representatives its written opinion, dated the Closing Date and addressed to the Underwriters, in form and substance reasonably satisfactory to the Representatives. </w:t>
      </w:r>
    </w:p>
    <w:p>
      <w:pPr>
        <w:pStyle w:val="TextBody"/>
        <w:bidi w:val="0"/>
        <w:spacing w:before="240" w:after="0"/>
        <w:jc w:val="left"/>
        <w:rPr>
          <w:rFonts w:ascii="Times New Roman" w:hAnsi="Times New Roman"/>
          <w:sz w:val="24"/>
        </w:rPr>
      </w:pPr>
      <w:r>
        <w:rPr>
          <w:rFonts w:ascii="Times New Roman" w:hAnsi="Times New Roman"/>
          <w:sz w:val="24"/>
        </w:rPr>
        <w:t xml:space="preserve">(l) Opinion and 10b-5 Statement of Counsel for the Underwriters. The Representatives shall have received on and as of the Closing Date an opinion and 10b-5 statement of Cravath, Swaine &amp; Moore LLP, United States counsel for the Underwriters, and an opinion of Blake, Cassels &amp; Graydon LLP, Ontario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240" w:after="0"/>
        <w:jc w:val="left"/>
        <w:rPr>
          <w:rFonts w:ascii="Times New Roman" w:hAnsi="Times New Roman"/>
          <w:sz w:val="24"/>
        </w:rPr>
      </w:pPr>
      <w:r>
        <w:rPr>
          <w:rFonts w:ascii="Times New Roman" w:hAnsi="Times New Roman"/>
          <w:sz w:val="24"/>
        </w:rPr>
        <w:t xml:space="preserve">(m) No Legal Impediment to Issuance.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shall have been issued that would, as of the Closing Date, prevent the issuance or sale of the Securities. </w:t>
      </w:r>
    </w:p>
    <w:p>
      <w:pPr>
        <w:pStyle w:val="TextBody"/>
        <w:bidi w:val="0"/>
        <w:spacing w:before="240" w:after="0"/>
        <w:jc w:val="left"/>
        <w:rPr>
          <w:rFonts w:ascii="Times New Roman" w:hAnsi="Times New Roman"/>
          <w:sz w:val="24"/>
        </w:rPr>
      </w:pPr>
      <w:r>
        <w:rPr>
          <w:rFonts w:ascii="Times New Roman" w:hAnsi="Times New Roman"/>
          <w:sz w:val="24"/>
        </w:rPr>
        <w:t xml:space="preserve">(n) Good Standing. The Representatives shall have received on and as of, or as near as practicably possible to, the Closing Date reasonably satisfactory evidence of the good standing of TR Finance, the Company and the other Guarantors,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240" w:after="0"/>
        <w:jc w:val="left"/>
        <w:rPr>
          <w:rFonts w:ascii="Times New Roman" w:hAnsi="Times New Roman"/>
          <w:sz w:val="24"/>
        </w:rPr>
      </w:pPr>
      <w:r>
        <w:rPr>
          <w:rFonts w:ascii="Times New Roman" w:hAnsi="Times New Roman"/>
          <w:sz w:val="24"/>
        </w:rPr>
        <w:t xml:space="preserve">(o) DTC Eligibility. The Notes shall be eligible for clearance and settlement through DTC. </w:t>
      </w:r>
    </w:p>
    <w:p>
      <w:pPr>
        <w:pStyle w:val="TextBody"/>
        <w:bidi w:val="0"/>
        <w:spacing w:before="240" w:after="0"/>
        <w:jc w:val="left"/>
        <w:rPr>
          <w:rFonts w:ascii="Times New Roman" w:hAnsi="Times New Roman"/>
          <w:sz w:val="24"/>
        </w:rPr>
      </w:pPr>
      <w:r>
        <w:rPr>
          <w:rFonts w:ascii="Times New Roman" w:hAnsi="Times New Roman"/>
          <w:sz w:val="24"/>
        </w:rPr>
        <w:t xml:space="preserve">(p) Chief Financial Officer’s Certificate. The Representatives shall have received on and as of the date hereof and on and as of the Closing Date, a certificate of the Chief Financial Officer of the Company, substantially in the form attached as Exhibit A. </w:t>
      </w:r>
    </w:p>
    <w:p>
      <w:pPr>
        <w:pStyle w:val="TextBody"/>
        <w:bidi w:val="0"/>
        <w:spacing w:before="240" w:after="0"/>
        <w:jc w:val="left"/>
        <w:rPr>
          <w:rFonts w:ascii="Times New Roman" w:hAnsi="Times New Roman"/>
          <w:sz w:val="24"/>
        </w:rPr>
      </w:pPr>
      <w:r>
        <w:rPr>
          <w:rFonts w:ascii="Times New Roman" w:hAnsi="Times New Roman"/>
          <w:sz w:val="24"/>
        </w:rPr>
        <w:t xml:space="preserve">(q) Supplemental Indenture. At the Closing Date, each of TR Finance, the Company and the other Guarantors shall have entered into the Supplemental Indenture in form and substance reasonably satisfactory to the Underwriters, and the Underwriters shall have received executed copies thereof. </w:t>
      </w:r>
    </w:p>
    <w:p>
      <w:pPr>
        <w:pStyle w:val="TextBody"/>
        <w:bidi w:val="0"/>
        <w:spacing w:before="240" w:after="0"/>
        <w:jc w:val="left"/>
        <w:rPr>
          <w:rFonts w:ascii="Times New Roman" w:hAnsi="Times New Roman"/>
          <w:sz w:val="24"/>
        </w:rPr>
      </w:pPr>
      <w:r>
        <w:rPr>
          <w:rFonts w:ascii="Times New Roman" w:hAnsi="Times New Roman"/>
          <w:sz w:val="24"/>
        </w:rPr>
        <w:t xml:space="preserve">(r) Additional Documents. On or prior to the Closing Date, TR Finance, the Company and the other Guarantors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4"/>
        </w:rPr>
      </w:pPr>
      <w:r>
        <w:rPr>
          <w:rFonts w:ascii="Times New Roman" w:hAnsi="Times New Roman"/>
          <w:sz w:val="24"/>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4"/>
        </w:rPr>
      </w:pPr>
      <w:r>
        <w:rPr>
          <w:rFonts w:ascii="Times New Roman" w:hAnsi="Times New Roman"/>
          <w:sz w:val="24"/>
        </w:rPr>
        <w:t>7.  </w:t>
      </w:r>
      <w:r>
        <w:rPr>
          <w:rFonts w:ascii="Times New Roman" w:hAnsi="Times New Roman"/>
          <w:sz w:val="24"/>
          <w:u w:val="single"/>
        </w:rPr>
        <w:t>Indemnification and Contribution</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w:t>
      </w:r>
      <w:r>
        <w:rPr>
          <w:rFonts w:ascii="Times New Roman" w:hAnsi="Times New Roman"/>
          <w:i/>
          <w:sz w:val="24"/>
        </w:rPr>
        <w:t>Indemnification of the Underwriters</w:t>
      </w:r>
      <w:r>
        <w:rPr>
          <w:rFonts w:ascii="Times New Roman" w:hAnsi="Times New Roman"/>
          <w:sz w:val="24"/>
        </w:rPr>
        <w:t xml:space="preserve">. TR Finance, the Company and each of the other Guarantors agree, jointly and severally,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actual out-of-pocket legal fees and other reasonable and actual out-of-pocket expenses incurred in connection with any suit, action or proceeding or any claim asserted, as such fees and expenses are incurred), joint or several, to which they or any of them may become subject under the Securities Act, the Exchange Act, Canadian Securities Laws or other federal, state or provincial statutory law or regulation, at common law or otherwise, insofar as such losses, claims, damages or liabilities (or actions in respect thereof) arise out of, or are based upon, (i) any untrue statement or alleged untrue statement of a material fact contained in the Registration Statement for the registration of the Securities as originally filed or in any amendment thereto, or caused by any omission or alleged omission to state therein a material fact required to be stated therein or necessary in order to make the statements therein not misleading; </w:t>
      </w:r>
      <w:r>
        <w:rPr>
          <w:rFonts w:ascii="Times New Roman" w:hAnsi="Times New Roman"/>
          <w:i/>
          <w:sz w:val="24"/>
        </w:rPr>
        <w:t>provided</w:t>
      </w:r>
      <w:r>
        <w:rPr>
          <w:rFonts w:ascii="Times New Roman" w:hAnsi="Times New Roman"/>
          <w:sz w:val="24"/>
        </w:rPr>
        <w:t xml:space="preserve"> that TR Finance, the Company and the other Guarantors will not be liable in any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case to the extent that any such loss, claim, damage or liability arises out of or is based upon any such untrue statement or alleged untrue statement or omission or alleged omission made therein in reliance upon and in conformity with written information furnished to TR Finance or the Company by or on behalf of any Underwriter through the Representatives specifically for inclusion therein, it being understood and agreed that the only such information furnished by or on behalf of any Underwriter consists of the information described as such in Section 7(b) hereof, or (ii) any untrue statement or alleged untrue statement of a material fact or any “misrepresentation” (as such term is defined under applicable Canadian Securities Laws) contained in any Preliminary Prospectus, the Canadian Base Prospectus, the Prospectus, the Canadian Final Prospectus, the Canadian Offering Memorandum or any other Offer Materials (or any amendment or supplement thereto), or any omission or alleged omission to state therein a material fact necessary in order to make the statements therein, in the light of the circumstances under which they were made, not misleading; </w:t>
      </w:r>
      <w:r>
        <w:rPr>
          <w:rFonts w:ascii="Times New Roman" w:hAnsi="Times New Roman"/>
          <w:i/>
          <w:sz w:val="24"/>
        </w:rPr>
        <w:t>provided</w:t>
      </w:r>
      <w:r>
        <w:rPr>
          <w:rFonts w:ascii="Times New Roman" w:hAnsi="Times New Roman"/>
          <w:sz w:val="24"/>
        </w:rPr>
        <w:t xml:space="preserve"> that TR Finance, the Company and the other Guarantors will not be liable in any such case to the extent that any such loss, claim, damage or liability arises out of or is based upon any such untrue statement or alleged untrue statement, any “misrepresentation” (as such term is defined under applicable Canadian Securities Laws) or omission made therein in reliance upon and in conformity with written information furnished to TR Finance or the Company by or on behalf of any Underwriter through the Representatives specifically for inclusion therein, it being understood and agreed that the only such information furnished by or on behalf of any Underwriter consists of the information described as such in Section 7(b) hereof. </w:t>
      </w:r>
    </w:p>
    <w:p>
      <w:pPr>
        <w:pStyle w:val="TextBody"/>
        <w:bidi w:val="0"/>
        <w:spacing w:before="240" w:after="0"/>
        <w:jc w:val="left"/>
        <w:rPr>
          <w:rFonts w:ascii="Times New Roman" w:hAnsi="Times New Roman"/>
          <w:sz w:val="24"/>
        </w:rPr>
      </w:pPr>
      <w:r>
        <w:rPr>
          <w:rFonts w:ascii="Times New Roman" w:hAnsi="Times New Roman"/>
          <w:sz w:val="24"/>
        </w:rPr>
        <w:t>(b) </w:t>
      </w:r>
      <w:r>
        <w:rPr>
          <w:rFonts w:ascii="Times New Roman" w:hAnsi="Times New Roman"/>
          <w:i/>
          <w:sz w:val="24"/>
        </w:rPr>
        <w:t>Indemnification of TR Finance, the Company and the other Guarantors</w:t>
      </w:r>
      <w:r>
        <w:rPr>
          <w:rFonts w:ascii="Times New Roman" w:hAnsi="Times New Roman"/>
          <w:sz w:val="24"/>
        </w:rPr>
        <w:t xml:space="preserve">. Each Underwriter agrees, severally and not jointly, to indemnify and hold harmless (i) each of TR Finance, the Company and the other Guarantors, (ii) each of their respective directors and officers who signed the Registration Statement and (iii) each person, if any, who controls TR Finance, the Company or any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TR Finance in writing by such Underwriter through the Representatives expressly for use in the documents referred to in the foregoing indemnity, it being understood and agreed that the only such information consists of the following: the sixth paragraph (relating to concessions and discounts), the first sentence of the seventh paragraph, the eleventh paragraph (relating to stabilization) and the twelfth paragraph in the section entitled “Underwriting” in the Prospectus and the Canadian Final Prospectus. </w:t>
      </w:r>
    </w:p>
    <w:p>
      <w:pPr>
        <w:pStyle w:val="TextBody"/>
        <w:bidi w:val="0"/>
        <w:spacing w:before="240" w:after="0"/>
        <w:jc w:val="left"/>
        <w:rPr>
          <w:rFonts w:ascii="Times New Roman" w:hAnsi="Times New Roman"/>
          <w:sz w:val="24"/>
        </w:rPr>
      </w:pPr>
      <w:r>
        <w:rPr>
          <w:rFonts w:ascii="Times New Roman" w:hAnsi="Times New Roman"/>
          <w:sz w:val="24"/>
        </w:rPr>
        <w:t>(c) </w:t>
      </w:r>
      <w:r>
        <w:rPr>
          <w:rFonts w:ascii="Times New Roman" w:hAnsi="Times New Roman"/>
          <w:i/>
          <w:sz w:val="24"/>
        </w:rPr>
        <w:t>Notice and Procedures</w:t>
      </w:r>
      <w:r>
        <w:rPr>
          <w:rFonts w:ascii="Times New Roman" w:hAnsi="Times New Roman"/>
          <w:sz w:val="24"/>
        </w:rPr>
        <w:t>.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 w:hAnsi="Times New Roman"/>
          <w:sz w:val="24"/>
          <w:u w:val="single"/>
        </w:rPr>
        <w:t>Indemnified Person</w:t>
      </w:r>
      <w:r>
        <w:rPr>
          <w:rFonts w:ascii="Times New Roman" w:hAnsi="Times New Roman"/>
          <w:sz w:val="24"/>
        </w:rPr>
        <w:t>”) shall promptly notify the person against whom such indemnification may be sought (the “</w:t>
      </w:r>
      <w:r>
        <w:rPr>
          <w:rFonts w:ascii="Times New Roman" w:hAnsi="Times New Roman"/>
          <w:sz w:val="24"/>
          <w:u w:val="single"/>
        </w:rPr>
        <w:t>Indemnifying Person</w:t>
      </w:r>
      <w:r>
        <w:rPr>
          <w:rFonts w:ascii="Times New Roman" w:hAnsi="Times New Roman"/>
          <w:sz w:val="24"/>
        </w:rPr>
        <w:t xml:space="preserve">”) in writing; </w:t>
      </w:r>
      <w:r>
        <w:rPr>
          <w:rFonts w:ascii="Times New Roman" w:hAnsi="Times New Roman"/>
          <w:i/>
          <w:sz w:val="24"/>
        </w:rPr>
        <w:t xml:space="preserve">provided </w:t>
      </w:r>
      <w:r>
        <w:rPr>
          <w:rFonts w:ascii="Times New Roman" w:hAnsi="Times New Roman"/>
          <w:sz w:val="24"/>
        </w:rPr>
        <w:t xml:space="preserve">that the failure to notify the Indemnifying Person shall not relieve it from any liability that it may have under paragraphs (a) and (b) above except to the extent that it has been materially prejudiced (through the forfeiture of substantive rights or defenses) by such failure; and </w:t>
      </w:r>
      <w:r>
        <w:rPr>
          <w:rFonts w:ascii="Times New Roman" w:hAnsi="Times New Roman"/>
          <w:i/>
          <w:sz w:val="24"/>
        </w:rPr>
        <w:t>provided</w:t>
      </w:r>
      <w:r>
        <w:rPr>
          <w:rFonts w:ascii="Times New Roman" w:hAnsi="Times New Roman"/>
          <w:sz w:val="24"/>
        </w:rPr>
        <w:t xml:space="preserve">, </w:t>
      </w:r>
      <w:r>
        <w:rPr>
          <w:rFonts w:ascii="Times New Roman" w:hAnsi="Times New Roman"/>
          <w:i/>
          <w:sz w:val="24"/>
        </w:rPr>
        <w:t>further</w:t>
      </w:r>
      <w:r>
        <w:rPr>
          <w:rFonts w:ascii="Times New Roman" w:hAnsi="Times New Roman"/>
          <w:sz w:val="24"/>
        </w:rPr>
        <w:t xml:space="preserve">, that the failure to notify the Indemnifying Person shall not relieve it from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liability that it may have to an Indemnified Person other than under paragraphs (a) and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(which consent shall not be unreasonably withheld, conditioned or delayed) be counsel to the Indemnifying Person) to represent the Indemnified Person and any others entitled to indemnification pursuant to this </w:t>
      </w:r>
      <w:r>
        <w:rPr>
          <w:rFonts w:ascii="Times New Roman" w:hAnsi="Times New Roman"/>
          <w:sz w:val="24"/>
          <w:u w:val="single"/>
        </w:rPr>
        <w:t>Section 7</w:t>
      </w:r>
      <w:r>
        <w:rPr>
          <w:rFonts w:ascii="Times New Roman" w:hAnsi="Times New Roman"/>
          <w:sz w:val="24"/>
        </w:rPr>
        <w:t xml:space="preserve"> that the Indemnifying Person may designate in such proceeding and shall pay the fees and expenses of such proceeding and shall pay the fees and expenses of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in which case in these clauses (i) through (iv), the Indemnifying Person’s obligations shall be for reasonable and actual outside counsel fees and expenses.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any Underwriter, its affiliates, directors and officers and any control persons of such Underwriter shall be designated in writing by the Representatives and any such separate firm for TR Finance, the Company and the other Guarantors, each of their respective directors, each of their respective officers who signed the Registration Statement and any control persons of the foregoing shall be designated in writing by TR Finance. The Indemnifying Person shall not be liable for any settlement of any proceeding effected without its written consent, but if settled with such consent or if there be a final judgment,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4"/>
        </w:rPr>
      </w:pPr>
      <w:r>
        <w:rPr>
          <w:rFonts w:ascii="Times New Roman" w:hAnsi="Times New Roman"/>
          <w:sz w:val="24"/>
        </w:rPr>
        <w:t>(d) </w:t>
      </w:r>
      <w:r>
        <w:rPr>
          <w:rFonts w:ascii="Times New Roman" w:hAnsi="Times New Roman"/>
          <w:i/>
          <w:sz w:val="24"/>
        </w:rPr>
        <w:t>Contribution</w:t>
      </w:r>
      <w:r>
        <w:rPr>
          <w:rFonts w:ascii="Times New Roman" w:hAnsi="Times New Roman"/>
          <w:sz w:val="24"/>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in such proportion as is appropriate to reflect the relative benefits received by TR Finance,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and the other Guarantors, as applicable, on the one hand and the Underwriters on the other from the Offering and also to reflect the relative fault of TR Finance, the Company and the other Guarantors on the one hand and the Underwriters on the other, as well as any other relevant equitable considerations. The relative benefits received by TR Finance, the Company and the other Guarantors, as applicable, on the one hand and the Underwriters on the other shall be deemed to be in the same respective proportions as the net proceeds (before deducting expenses) received by TR Finance, the Company and the other Guarantors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TR Finance, the Company and the other Guarantors, as applicable, on the one hand and the Underwriters on the other shall be determined by reference to, among other things, whether the untrue or alleged untrue statement of a material fact or the omission or alleged omission to state a material fact relates to information supplied by TR Finance, the Company and the other Guarantors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4"/>
        </w:rPr>
      </w:pPr>
      <w:r>
        <w:rPr>
          <w:rFonts w:ascii="Times New Roman" w:hAnsi="Times New Roman"/>
          <w:sz w:val="24"/>
        </w:rPr>
        <w:t>(e) </w:t>
      </w:r>
      <w:r>
        <w:rPr>
          <w:rFonts w:ascii="Times New Roman" w:hAnsi="Times New Roman"/>
          <w:i/>
          <w:sz w:val="24"/>
        </w:rPr>
        <w:t>Limitation on Liability</w:t>
      </w:r>
      <w:r>
        <w:rPr>
          <w:rFonts w:ascii="Times New Roman" w:hAnsi="Times New Roman"/>
          <w:sz w:val="24"/>
        </w:rPr>
        <w:t xml:space="preserve">. TR Finance, the Company, the other Guarantors and the Underwriters agree that it would not be just and equitable if contribution pursuant to this Section 7 were determined by pro rata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w:t>
      </w:r>
      <w:r>
        <w:rPr>
          <w:rFonts w:ascii="Times New Roman" w:hAnsi="Times New Roman"/>
          <w:sz w:val="24"/>
          <w:u w:val="single"/>
        </w:rPr>
        <w:t>Section 7</w:t>
      </w:r>
      <w:r>
        <w:rPr>
          <w:rFonts w:ascii="Times New Roman" w:hAnsi="Times New Roman"/>
          <w:sz w:val="24"/>
        </w:rPr>
        <w:t xml:space="preserve">, in no event shall any Underwriter be required to contribute any amount in excess of the amount by which the total underwriting discounts and commissions received by such Underwriter with respect to the Offering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w:t>
      </w:r>
      <w:r>
        <w:rPr>
          <w:rFonts w:ascii="Times New Roman" w:hAnsi="Times New Roman"/>
          <w:sz w:val="24"/>
          <w:u w:val="single"/>
        </w:rPr>
        <w:t>Section 7</w:t>
      </w:r>
      <w:r>
        <w:rPr>
          <w:rFonts w:ascii="Times New Roman" w:hAnsi="Times New Roman"/>
          <w:sz w:val="24"/>
        </w:rPr>
        <w:t xml:space="preserve"> are several in proportion to their respective purchase obligation hereunder and not joint. </w:t>
      </w:r>
    </w:p>
    <w:p>
      <w:pPr>
        <w:pStyle w:val="TextBody"/>
        <w:bidi w:val="0"/>
        <w:spacing w:before="240" w:after="0"/>
        <w:jc w:val="left"/>
        <w:rPr>
          <w:rFonts w:ascii="Times New Roman" w:hAnsi="Times New Roman"/>
          <w:sz w:val="24"/>
        </w:rPr>
      </w:pPr>
      <w:r>
        <w:rPr>
          <w:rFonts w:ascii="Times New Roman" w:hAnsi="Times New Roman"/>
          <w:sz w:val="24"/>
        </w:rPr>
        <w:t>(f) </w:t>
      </w:r>
      <w:r>
        <w:rPr>
          <w:rFonts w:ascii="Times New Roman" w:hAnsi="Times New Roman"/>
          <w:i/>
          <w:sz w:val="24"/>
        </w:rPr>
        <w:t>Non-Exclusive Remedies</w:t>
      </w:r>
      <w:r>
        <w:rPr>
          <w:rFonts w:ascii="Times New Roman" w:hAnsi="Times New Roman"/>
          <w:sz w:val="24"/>
        </w:rPr>
        <w:t xml:space="preserve">. The remedies provided for in this </w:t>
      </w:r>
      <w:r>
        <w:rPr>
          <w:rFonts w:ascii="Times New Roman" w:hAnsi="Times New Roman"/>
          <w:sz w:val="24"/>
          <w:u w:val="single"/>
        </w:rPr>
        <w:t>Section 7</w:t>
      </w:r>
      <w:r>
        <w:rPr>
          <w:rFonts w:ascii="Times New Roman" w:hAnsi="Times New Roman"/>
          <w:sz w:val="24"/>
        </w:rPr>
        <w:t xml:space="preserv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4"/>
        </w:rPr>
      </w:pPr>
      <w:r>
        <w:rPr>
          <w:rFonts w:ascii="Times New Roman" w:hAnsi="Times New Roman"/>
          <w:sz w:val="24"/>
        </w:rPr>
        <w:t>8.  </w:t>
      </w:r>
      <w:r>
        <w:rPr>
          <w:rFonts w:ascii="Times New Roman" w:hAnsi="Times New Roman"/>
          <w:sz w:val="24"/>
          <w:u w:val="single"/>
        </w:rPr>
        <w:t>Effectiveness of Agreement</w:t>
      </w:r>
      <w:r>
        <w:rPr>
          <w:rFonts w:ascii="Times New Roman" w:hAnsi="Times New Roman"/>
          <w:sz w:val="24"/>
        </w:rPr>
        <w:t xml:space="preserve">. This Agreement shall become effective upon the execution and delivery of a counterpart hereof by each of the parties hereto. </w:t>
      </w:r>
    </w:p>
    <w:p>
      <w:pPr>
        <w:pStyle w:val="TextBody"/>
        <w:bidi w:val="0"/>
        <w:spacing w:before="240" w:after="0"/>
        <w:jc w:val="left"/>
        <w:rPr>
          <w:rFonts w:ascii="Times New Roman" w:hAnsi="Times New Roman"/>
          <w:sz w:val="24"/>
        </w:rPr>
      </w:pPr>
      <w:r>
        <w:rPr>
          <w:rFonts w:ascii="Times New Roman" w:hAnsi="Times New Roman"/>
          <w:sz w:val="24"/>
        </w:rPr>
        <w:t>9.  </w:t>
      </w:r>
      <w:r>
        <w:rPr>
          <w:rFonts w:ascii="Times New Roman" w:hAnsi="Times New Roman"/>
          <w:sz w:val="24"/>
          <w:u w:val="single"/>
        </w:rPr>
        <w:t>Termination</w:t>
      </w:r>
      <w:r>
        <w:rPr>
          <w:rFonts w:ascii="Times New Roman" w:hAnsi="Times New Roman"/>
          <w:sz w:val="24"/>
        </w:rPr>
        <w:t xml:space="preserve">. This Agreement may be terminated in the sole discretion of the Representatives, by written notice to TR Finance, if after the execution and delivery of this Agreement and prior to the Closing Date (i) trading generally shall have been suspended or materially limited on the Nasdaq Stock Market LLC, the Toronto Stock Exchange, the New York Stock Exchange or the over-the-counter market; (ii) trading of any securities issued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guaranteed by TR Finance, the Company or any of the Guarantors shall have been suspended on any exchange or in any over-the-counter market; (iii) a general moratorium on commercial banking activities shall have been declared by U.S. federal or New York State authorities or Canadian authorities; (iv) there shall have occurred any outbreak or escalation of hostilities or any change in financial markets or any calamity or crisis, either within or outside the United States and Canada, that, in the reasonable judgment of the Representatives, is material and adverse and makes it impracticable or inadvisable to proceed with the Offering; or (v) other than as set forth in the Registration Statement, the Time of Sale Information, the Prospectus, the Canadian Final Prospectus and the Canadian Offering Memorandum, the occurrence of any change in the financial condition, business, properties, assets, prospects or results of operations of the Company and its subsidiaries, taken as a whole, that, in the reasonable judgment of the Representatives, is material and adverse and makes it impracticable or inadvisable to proceed with the offering, sale or delivery of the Securities on the terms and in the manner contemplated by this Agreement, the Time of Sale Information, the Prospectus, the Canadian Final Prospectus and the Canadian Offering Memorandum. </w:t>
      </w:r>
    </w:p>
    <w:p>
      <w:pPr>
        <w:pStyle w:val="TextBody"/>
        <w:bidi w:val="0"/>
        <w:spacing w:before="240" w:after="0"/>
        <w:jc w:val="left"/>
        <w:rPr>
          <w:rFonts w:ascii="Times New Roman" w:hAnsi="Times New Roman"/>
          <w:sz w:val="24"/>
        </w:rPr>
      </w:pPr>
      <w:r>
        <w:rPr>
          <w:rFonts w:ascii="Times New Roman" w:hAnsi="Times New Roman"/>
          <w:sz w:val="24"/>
        </w:rPr>
        <w:t>10. </w:t>
      </w:r>
      <w:r>
        <w:rPr>
          <w:rFonts w:ascii="Times New Roman" w:hAnsi="Times New Roman"/>
          <w:sz w:val="24"/>
          <w:u w:val="single"/>
        </w:rPr>
        <w:t>Default by One or More of the Underwriters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(a) If one or more of the Underwriters shall fail at the Closing Date to purchase any of the Notes which it or they are obligated to purchase under this Agreement (the “</w:t>
      </w:r>
      <w:r>
        <w:rPr>
          <w:rFonts w:ascii="Times New Roman" w:hAnsi="Times New Roman"/>
          <w:sz w:val="24"/>
          <w:u w:val="single"/>
        </w:rPr>
        <w:t>Defaulted Notes</w:t>
      </w:r>
      <w:r>
        <w:rPr>
          <w:rFonts w:ascii="Times New Roman" w:hAnsi="Times New Roman"/>
          <w:sz w:val="24"/>
        </w:rPr>
        <w:t xml:space="preserve">”), then the non-defaulting Underwriters shall have the right, within 24 hours thereafter, to make arrangements for one or more of the non-defaulting Underwriters, or any other Underwriters, to purchase all, but not less than all, of such Defaulted Notes, as the case may be, in such amounts as may be agreed upon and upon the terms herein set forth; if, however, the non-defaulting Underwriters shall not have completed such arrangements within such 24-hour period, then: </w:t>
      </w:r>
    </w:p>
    <w:p>
      <w:pPr>
        <w:pStyle w:val="TextBody"/>
        <w:bidi w:val="0"/>
        <w:spacing w:before="240" w:after="0"/>
        <w:jc w:val="left"/>
        <w:rPr>
          <w:rFonts w:ascii="Times New Roman" w:hAnsi="Times New Roman"/>
          <w:sz w:val="24"/>
        </w:rPr>
      </w:pPr>
      <w:r>
        <w:rPr>
          <w:rFonts w:ascii="Times New Roman" w:hAnsi="Times New Roman"/>
          <w:sz w:val="24"/>
        </w:rPr>
        <w:t xml:space="preserve">(i) if the aggregate principal amount of Defaulted Notes does not exceed 10% of the aggregate principal amounts of the Notes, to be purchased on such date pursuant to this Agreement, the non-defaulting Underwriters shall be obligated, severally and not jointly, to purchase the full amount thereof in the proportions that their respective underwriting obligations under this Agreement bear to the purchase obligations of all non-defaulting Underwriters of such Notes; or </w:t>
      </w:r>
    </w:p>
    <w:p>
      <w:pPr>
        <w:pStyle w:val="TextBody"/>
        <w:bidi w:val="0"/>
        <w:spacing w:before="240" w:after="0"/>
        <w:jc w:val="left"/>
        <w:rPr>
          <w:rFonts w:ascii="Times New Roman" w:hAnsi="Times New Roman"/>
          <w:sz w:val="24"/>
        </w:rPr>
      </w:pPr>
      <w:r>
        <w:rPr>
          <w:rFonts w:ascii="Times New Roman" w:hAnsi="Times New Roman"/>
          <w:sz w:val="24"/>
        </w:rPr>
        <w:t xml:space="preserve">(ii) if the aggregate principal amount of Defaulted Notes exceeds 10% of the aggregate principal amounts of the Notes to be purchased on such date pursuant to this Agreement, this Agreement shall terminate without liability on the part of any non-defaulting Underwriter. </w:t>
      </w:r>
    </w:p>
    <w:p>
      <w:pPr>
        <w:pStyle w:val="TextBody"/>
        <w:bidi w:val="0"/>
        <w:spacing w:before="240" w:after="0"/>
        <w:jc w:val="left"/>
        <w:rPr>
          <w:rFonts w:ascii="Times New Roman" w:hAnsi="Times New Roman"/>
          <w:sz w:val="24"/>
        </w:rPr>
      </w:pPr>
      <w:r>
        <w:rPr>
          <w:rFonts w:ascii="Times New Roman" w:hAnsi="Times New Roman"/>
          <w:sz w:val="24"/>
        </w:rPr>
        <w:t xml:space="preserve">(b) No action taken pursuant to this </w:t>
      </w:r>
      <w:r>
        <w:rPr>
          <w:rFonts w:ascii="Times New Roman" w:hAnsi="Times New Roman"/>
          <w:sz w:val="24"/>
          <w:u w:val="single"/>
        </w:rPr>
        <w:t>Section 10</w:t>
      </w:r>
      <w:r>
        <w:rPr>
          <w:rFonts w:ascii="Times New Roman" w:hAnsi="Times New Roman"/>
          <w:sz w:val="24"/>
        </w:rPr>
        <w:t xml:space="preserve"> shall relieve any defaulting Underwriter from liability in respect of its default. In the event of any such default which does not result in a termination of this Agreement, the non-defaulting Underwriters and TR Finance shall have the right to postpone the Closing Date for a period not exceeding seven days in order to effect any required changes in the Prospectus, the Canadian Final Prospectus and the Canadian Offering Memorandum or in any other documents or arrangement.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11. </w:t>
      </w:r>
      <w:r>
        <w:rPr>
          <w:rFonts w:ascii="Times New Roman" w:hAnsi="Times New Roman"/>
          <w:sz w:val="24"/>
          <w:u w:val="single"/>
        </w:rPr>
        <w:t>Payment of Expenses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(a) Whether or not the Transactions are consummated or this Agreement is terminated, TR Finance, the Company and each of the other Guarantors jointly and severally agree to pay or cause to be paid all reasonable costs and expenses incident to the performance of its obligations hereunder, including without limitation, (i) the costs incident to the authorization, issuance, sale, preparation and delivery of the Securities and any taxes payable in that connection; (ii) the fees, disbursements and expenses of TR Finance’s and the Company’s counsel and accountants in connection with the filing with respect to the Securities under Canadian Securities Laws, the registration of the Securities under the Securities Act and any listing of the Securities on a stock exchange, and all other expenses in connection with the preparation, printing and filing in the Qualifying Provinces and the United States of America, as may be applicable, of the Registration Statement, the Preliminary Prospectus, the Prospectus, the Canadian Final Prospectus and the Canadian Offering Memorandum (including all exhibits, amendments and supplements thereto) and any other Offer Materials, and the mailing and delivering of copies thereof to the Underwriters; (iii) the costs of reproducing and distributing each of the Transaction Documents; (iv) the fees and expenses incurred in connection with the registration or qualification and determination of eligibility for investment of the Securities under the laws of such jurisdictions or blue sky laws of the several states of the United States as the Representatives may designate and the preparation, printing and distribution of a Blue Sky memorandum (including the reasonable fees and expenses of counsel for the Underwriters related thereto, up to $10,000); (v) any fees charged by rating agencies for rating the Securities; (vi) the fees and expenses of the Trustee and any paying agent (including related fees and expenses of any outside counsel to such parties); (vii) all expenses and application fees incurred in connection with any filing with, and clearance of the Offering by the Financial Industry Regulatory Authority, Inc.; (viii) all expenses and application fees incurred in connection with the approval of the Notes for book-entry transfer by DTC and (ix) the filing of any report of exempt distribution on Form 45-106F1, including applicable filing fees. Neither TR Finance nor the Company shall be obligated to pay any expenses incurred in connection with any “road show” presentation to potential investors (including investor meetings, ground transportation, conference calls, NetRoadshow and document processing). None of TR Finance, the Company or any of the other Guarantor shall be obligated in any manner to pay or reimburse any expenses or other costs of any of the Underwriters, other than as set forth in clauses (iv) and (vii) of this paragraph, paragraph (b) of this Section and pursuant to </w:t>
      </w:r>
      <w:r>
        <w:rPr>
          <w:rFonts w:ascii="Times New Roman" w:hAnsi="Times New Roman"/>
          <w:sz w:val="24"/>
          <w:u w:val="single"/>
        </w:rPr>
        <w:t>Section 7</w:t>
      </w:r>
      <w:r>
        <w:rPr>
          <w:rFonts w:ascii="Times New Roman" w:hAnsi="Times New Roman"/>
          <w:sz w:val="24"/>
        </w:rPr>
        <w:t xml:space="preserve">, including, but not limited to, the costs and expenses of the Underwriters’ legal counsel or any costs incurred by the Underwriters. </w:t>
      </w:r>
    </w:p>
    <w:p>
      <w:pPr>
        <w:pStyle w:val="TextBody"/>
        <w:bidi w:val="0"/>
        <w:spacing w:before="240" w:after="0"/>
        <w:jc w:val="left"/>
        <w:rPr>
          <w:rFonts w:ascii="Times New Roman" w:hAnsi="Times New Roman"/>
          <w:sz w:val="24"/>
        </w:rPr>
      </w:pPr>
      <w:r>
        <w:rPr>
          <w:rFonts w:ascii="Times New Roman" w:hAnsi="Times New Roman"/>
          <w:sz w:val="24"/>
        </w:rPr>
        <w:t xml:space="preserve">(b) If (i) this Agreement is terminated pursuant to </w:t>
      </w:r>
      <w:r>
        <w:rPr>
          <w:rFonts w:ascii="Times New Roman" w:hAnsi="Times New Roman"/>
          <w:sz w:val="24"/>
          <w:u w:val="single"/>
        </w:rPr>
        <w:t>Section 9</w:t>
      </w:r>
      <w:r>
        <w:rPr>
          <w:rFonts w:ascii="Times New Roman" w:hAnsi="Times New Roman"/>
          <w:sz w:val="24"/>
        </w:rPr>
        <w:t xml:space="preserve"> (other than clauses (i), (iii) and (iv) of </w:t>
      </w:r>
      <w:r>
        <w:rPr>
          <w:rFonts w:ascii="Times New Roman" w:hAnsi="Times New Roman"/>
          <w:sz w:val="24"/>
          <w:u w:val="single"/>
        </w:rPr>
        <w:t>Section 9</w:t>
      </w:r>
      <w:r>
        <w:rPr>
          <w:rFonts w:ascii="Times New Roman" w:hAnsi="Times New Roman"/>
          <w:sz w:val="24"/>
        </w:rPr>
        <w:t xml:space="preserve">), (ii) TR Finance for any reason fails to tender the Securities for delivery to the Underwriters or (iii) the Underwriters decline to purchase the Securities for any reason permitted under this Agreement, TR Finance agrees to reimburse the Underwriters for all reasonable and actual out-of-pocket costs and expenses (including the fees and expenses of its outside counsel) reasonably incurred by the Underwriters in connection with this Agreement and the Offering but TR Finance shall then be under no further liability to any Underwriter except as provided in </w:t>
      </w:r>
      <w:r>
        <w:rPr>
          <w:rFonts w:ascii="Times New Roman" w:hAnsi="Times New Roman"/>
          <w:sz w:val="24"/>
          <w:u w:val="single"/>
        </w:rPr>
        <w:t>Section 7</w:t>
      </w:r>
      <w:r>
        <w:rPr>
          <w:rFonts w:ascii="Times New Roman" w:hAnsi="Times New Roman"/>
          <w:sz w:val="24"/>
        </w:rPr>
        <w:t xml:space="preserv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12. </w:t>
      </w:r>
      <w:r>
        <w:rPr>
          <w:rFonts w:ascii="Times New Roman" w:hAnsi="Times New Roman"/>
          <w:sz w:val="24"/>
          <w:u w:val="single"/>
        </w:rPr>
        <w:t>Persons Entitled to Benefit of Agreement</w:t>
      </w:r>
      <w:r>
        <w:rPr>
          <w:rFonts w:ascii="Times New Roman" w:hAnsi="Times New Roman"/>
          <w:sz w:val="24"/>
        </w:rPr>
        <w:t xml:space="preserve">. This Agreement shall inure to the benefit of and be binding upon the parties hereto and their respective successors and the officers and directors and any controlling persons referred to herein, and the affiliates of any Underwriter referred to in </w:t>
      </w:r>
      <w:r>
        <w:rPr>
          <w:rFonts w:ascii="Times New Roman" w:hAnsi="Times New Roman"/>
          <w:sz w:val="24"/>
          <w:u w:val="single"/>
        </w:rPr>
        <w:t>Section 7</w:t>
      </w:r>
      <w:r>
        <w:rPr>
          <w:rFonts w:ascii="Times New Roman" w:hAnsi="Times New Roman"/>
          <w:sz w:val="24"/>
        </w:rPr>
        <w:t xml:space="preserve"> hereof. Nothing in this Agreement is intended or shall be construed to give any other person any legal or equitable right, remedy or claim under or in respect of this Agreement or any provision contained herein. No purchaser of Securities from an Underwriter shall be deemed to be a successor merely by reason of such purchase. </w:t>
      </w:r>
    </w:p>
    <w:p>
      <w:pPr>
        <w:pStyle w:val="TextBody"/>
        <w:bidi w:val="0"/>
        <w:spacing w:before="240" w:after="0"/>
        <w:jc w:val="left"/>
        <w:rPr>
          <w:rFonts w:ascii="Times New Roman" w:hAnsi="Times New Roman"/>
          <w:sz w:val="24"/>
        </w:rPr>
      </w:pPr>
      <w:r>
        <w:rPr>
          <w:rFonts w:ascii="Times New Roman" w:hAnsi="Times New Roman"/>
          <w:sz w:val="24"/>
        </w:rPr>
        <w:t>13. </w:t>
      </w:r>
      <w:r>
        <w:rPr>
          <w:rFonts w:ascii="Times New Roman" w:hAnsi="Times New Roman"/>
          <w:sz w:val="24"/>
          <w:u w:val="single"/>
        </w:rPr>
        <w:t>Survival</w:t>
      </w:r>
      <w:r>
        <w:rPr>
          <w:rFonts w:ascii="Times New Roman" w:hAnsi="Times New Roman"/>
          <w:sz w:val="24"/>
        </w:rPr>
        <w:t xml:space="preserve">. The respective indemnities, rights of contribution, representations, warranties and agreements, as applicable, of TR Finance, the Company, the other Guarantors and the Underwriters contained in this Agreement or made by or on behalf of TR Finance, the Company, the other Guarantors or the Underwriters pursuant to this Agreement or any certificate delivered pursuant hereto shall survive the delivery of and payment for the Securities and shall remain in full force and effect, regardless of any investigation made by or on behalf of TR Finance, the Company, the other Guarantors or the Underwriters. The respective representations, agreements, covenants, indemnities and other statements set forth in </w:t>
      </w:r>
      <w:r>
        <w:rPr>
          <w:rFonts w:ascii="Times New Roman" w:hAnsi="Times New Roman"/>
          <w:sz w:val="24"/>
          <w:u w:val="single"/>
        </w:rPr>
        <w:t>Sections 7</w:t>
      </w:r>
      <w:r>
        <w:rPr>
          <w:rFonts w:ascii="Times New Roman" w:hAnsi="Times New Roman"/>
          <w:sz w:val="24"/>
        </w:rPr>
        <w:t xml:space="preserve"> and </w:t>
      </w:r>
      <w:r>
        <w:rPr>
          <w:rFonts w:ascii="Times New Roman" w:hAnsi="Times New Roman"/>
          <w:sz w:val="24"/>
          <w:u w:val="single"/>
        </w:rPr>
        <w:t>11</w:t>
      </w:r>
      <w:r>
        <w:rPr>
          <w:rFonts w:ascii="Times New Roman" w:hAnsi="Times New Roman"/>
          <w:sz w:val="24"/>
        </w:rPr>
        <w:t xml:space="preserve"> shall survive the termination of this Agreement, regardless of any termination or cancellation of this Agreement. </w:t>
      </w:r>
    </w:p>
    <w:p>
      <w:pPr>
        <w:pStyle w:val="TextBody"/>
        <w:bidi w:val="0"/>
        <w:spacing w:before="240" w:after="0"/>
        <w:jc w:val="left"/>
        <w:rPr>
          <w:rFonts w:ascii="Times New Roman" w:hAnsi="Times New Roman"/>
          <w:sz w:val="24"/>
        </w:rPr>
      </w:pPr>
      <w:r>
        <w:rPr>
          <w:rFonts w:ascii="Times New Roman" w:hAnsi="Times New Roman"/>
          <w:sz w:val="24"/>
        </w:rPr>
        <w:t>14. </w:t>
      </w:r>
      <w:r>
        <w:rPr>
          <w:rFonts w:ascii="Times New Roman" w:hAnsi="Times New Roman"/>
          <w:sz w:val="24"/>
          <w:u w:val="single"/>
        </w:rPr>
        <w:t>Certain Defined Terms</w:t>
      </w:r>
      <w:r>
        <w:rPr>
          <w:rFonts w:ascii="Times New Roman" w:hAnsi="Times New Roman"/>
          <w:sz w:val="24"/>
        </w:rPr>
        <w:t>. For purposes of this Agreement, (a) except where otherwise expressly provided, the term “</w:t>
      </w:r>
      <w:r>
        <w:rPr>
          <w:rFonts w:ascii="Times New Roman" w:hAnsi="Times New Roman"/>
          <w:sz w:val="24"/>
          <w:u w:val="single"/>
        </w:rPr>
        <w:t>affiliate</w:t>
      </w:r>
      <w:r>
        <w:rPr>
          <w:rFonts w:ascii="Times New Roman" w:hAnsi="Times New Roman"/>
          <w:sz w:val="24"/>
        </w:rPr>
        <w:t>” has the meaning set forth in Rule 405 under the Securities Act; and (b) the term “</w:t>
      </w:r>
      <w:r>
        <w:rPr>
          <w:rFonts w:ascii="Times New Roman" w:hAnsi="Times New Roman"/>
          <w:sz w:val="24"/>
          <w:u w:val="single"/>
        </w:rPr>
        <w:t>business day</w:t>
      </w:r>
      <w:r>
        <w:rPr>
          <w:rFonts w:ascii="Times New Roman" w:hAnsi="Times New Roman"/>
          <w:sz w:val="24"/>
        </w:rPr>
        <w:t xml:space="preserve">” means any day other than a day on which banks are permitted or required to be closed in New York City. </w:t>
      </w:r>
    </w:p>
    <w:p>
      <w:pPr>
        <w:pStyle w:val="TextBody"/>
        <w:bidi w:val="0"/>
        <w:spacing w:before="240" w:after="0"/>
        <w:jc w:val="left"/>
        <w:rPr>
          <w:rFonts w:ascii="Times New Roman" w:hAnsi="Times New Roman"/>
          <w:sz w:val="24"/>
        </w:rPr>
      </w:pPr>
      <w:r>
        <w:rPr>
          <w:rFonts w:ascii="Times New Roman" w:hAnsi="Times New Roman"/>
          <w:sz w:val="24"/>
        </w:rPr>
        <w:t>15. </w:t>
      </w:r>
      <w:r>
        <w:rPr>
          <w:rFonts w:ascii="Times New Roman" w:hAnsi="Times New Roman"/>
          <w:sz w:val="24"/>
          <w:u w:val="single"/>
        </w:rPr>
        <w:t>Miscellaneous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(a) </w:t>
      </w:r>
      <w:r>
        <w:rPr>
          <w:rFonts w:ascii="Times New Roman" w:hAnsi="Times New Roman"/>
          <w:i/>
          <w:sz w:val="24"/>
        </w:rPr>
        <w:t>Notices</w:t>
      </w:r>
      <w:r>
        <w:rPr>
          <w:rFonts w:ascii="Times New Roman" w:hAnsi="Times New Roman"/>
          <w:sz w:val="24"/>
        </w:rPr>
        <w:t xml:space="preserve">. All notices and other communications hereunder shall be in writing and shall be deemed to have been duly given if mailed or transmitted and confirmed by any standard form of telecommunication to the applicable party at the addresses indicated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813"/>
        <w:gridCol w:w="8066"/>
      </w:tblGrid>
      <w:tr>
        <w:trPr/>
        <w:tc>
          <w:tcPr>
            <w:tcW w:w="1326" w:type="dxa"/>
            <w:tcBorders/>
            <w:vAlign w:val="center"/>
          </w:tcPr>
          <w:p>
            <w:pPr>
              <w:pStyle w:val="TableContents"/>
              <w:bidi w:val="0"/>
              <w:spacing w:before="0" w:after="283"/>
              <w:jc w:val="left"/>
              <w:rPr/>
            </w:pPr>
            <w:r>
              <w:rPr/>
              <w:t> </w:t>
            </w:r>
          </w:p>
        </w:tc>
        <w:tc>
          <w:tcPr>
            <w:tcW w:w="813" w:type="dxa"/>
            <w:tcBorders/>
          </w:tcPr>
          <w:p>
            <w:pPr>
              <w:pStyle w:val="TableContents"/>
              <w:bidi w:val="0"/>
              <w:spacing w:before="0" w:after="283"/>
              <w:jc w:val="left"/>
              <w:rPr/>
            </w:pPr>
            <w:r>
              <w:rPr/>
              <w:t>(i)</w:t>
            </w:r>
          </w:p>
        </w:tc>
        <w:tc>
          <w:tcPr>
            <w:tcW w:w="8066"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Notices to the Underwriters shall be given to RBC Capital Markets, LLC, BofA Securities, Inc., Barclays Capital Inc. and Mizuho Securities USA LLC: </w:t>
            </w:r>
          </w:p>
        </w:tc>
      </w:tr>
    </w:tbl>
    <w:p>
      <w:pPr>
        <w:pStyle w:val="TextBody"/>
        <w:bidi w:val="0"/>
        <w:spacing w:before="240" w:after="0"/>
        <w:jc w:val="left"/>
        <w:rPr>
          <w:rFonts w:ascii="Times New Roman" w:hAnsi="Times New Roman"/>
          <w:sz w:val="24"/>
        </w:rPr>
      </w:pPr>
      <w:r>
        <w:rPr>
          <w:rFonts w:ascii="Times New Roman" w:hAnsi="Times New Roman"/>
          <w:sz w:val="24"/>
        </w:rPr>
        <w:t xml:space="preserve">RBC Capital Markets, LLC </w:t>
      </w:r>
    </w:p>
    <w:p>
      <w:pPr>
        <w:pStyle w:val="TextBody"/>
        <w:bidi w:val="0"/>
        <w:spacing w:before="0" w:after="0"/>
        <w:jc w:val="left"/>
        <w:rPr>
          <w:rFonts w:ascii="Times New Roman" w:hAnsi="Times New Roman"/>
          <w:sz w:val="24"/>
        </w:rPr>
      </w:pPr>
      <w:r>
        <w:rPr>
          <w:rFonts w:ascii="Times New Roman" w:hAnsi="Times New Roman"/>
          <w:sz w:val="24"/>
        </w:rPr>
        <w:t xml:space="preserve">Brookfield Place </w:t>
      </w:r>
    </w:p>
    <w:p>
      <w:pPr>
        <w:pStyle w:val="TextBody"/>
        <w:bidi w:val="0"/>
        <w:spacing w:before="0" w:after="0"/>
        <w:jc w:val="left"/>
        <w:rPr>
          <w:rFonts w:ascii="Times New Roman" w:hAnsi="Times New Roman"/>
          <w:sz w:val="24"/>
        </w:rPr>
      </w:pPr>
      <w:r>
        <w:rPr>
          <w:rFonts w:ascii="Times New Roman" w:hAnsi="Times New Roman"/>
          <w:sz w:val="24"/>
        </w:rPr>
        <w:t xml:space="preserve">200 Vesey Street, 8th Floor </w:t>
      </w:r>
    </w:p>
    <w:p>
      <w:pPr>
        <w:pStyle w:val="TextBody"/>
        <w:bidi w:val="0"/>
        <w:spacing w:before="0" w:after="0"/>
        <w:jc w:val="left"/>
        <w:rPr>
          <w:rFonts w:ascii="Times New Roman" w:hAnsi="Times New Roman"/>
          <w:sz w:val="24"/>
        </w:rPr>
      </w:pPr>
      <w:r>
        <w:rPr>
          <w:rFonts w:ascii="Times New Roman" w:hAnsi="Times New Roman"/>
          <w:sz w:val="24"/>
        </w:rPr>
        <w:t xml:space="preserve">New York, NY 10281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0" w:after="0"/>
        <w:jc w:val="left"/>
        <w:rPr>
          <w:rFonts w:ascii="Times New Roman" w:hAnsi="Times New Roman"/>
          <w:sz w:val="24"/>
        </w:rPr>
      </w:pPr>
      <w:r>
        <w:rPr>
          <w:rFonts w:ascii="Times New Roman" w:hAnsi="Times New Roman"/>
          <w:sz w:val="24"/>
        </w:rPr>
        <w:t xml:space="preserve">Attention: DCM Transaction Management/Scott Primrose </w:t>
      </w:r>
    </w:p>
    <w:p>
      <w:pPr>
        <w:pStyle w:val="TextBody"/>
        <w:bidi w:val="0"/>
        <w:spacing w:before="240" w:after="0"/>
        <w:jc w:val="left"/>
        <w:rPr>
          <w:rFonts w:ascii="Times New Roman" w:hAnsi="Times New Roman"/>
          <w:sz w:val="24"/>
        </w:rPr>
      </w:pPr>
      <w:r>
        <w:rPr>
          <w:rFonts w:ascii="Times New Roman" w:hAnsi="Times New Roman"/>
          <w:sz w:val="24"/>
        </w:rPr>
        <w:t xml:space="preserve">BofA Securities, Inc. </w:t>
      </w:r>
    </w:p>
    <w:p>
      <w:pPr>
        <w:pStyle w:val="TextBody"/>
        <w:bidi w:val="0"/>
        <w:spacing w:before="0" w:after="0"/>
        <w:jc w:val="left"/>
        <w:rPr>
          <w:rFonts w:ascii="Times New Roman" w:hAnsi="Times New Roman"/>
          <w:sz w:val="24"/>
        </w:rPr>
      </w:pPr>
      <w:r>
        <w:rPr>
          <w:rFonts w:ascii="Times New Roman" w:hAnsi="Times New Roman"/>
          <w:sz w:val="24"/>
        </w:rPr>
        <w:t xml:space="preserve">114 West 47th Street     </w:t>
      </w:r>
    </w:p>
    <w:p>
      <w:pPr>
        <w:pStyle w:val="TextBody"/>
        <w:bidi w:val="0"/>
        <w:spacing w:before="0" w:after="0"/>
        <w:jc w:val="left"/>
        <w:rPr>
          <w:rFonts w:ascii="Times New Roman" w:hAnsi="Times New Roman"/>
          <w:sz w:val="24"/>
        </w:rPr>
      </w:pPr>
      <w:r>
        <w:rPr>
          <w:rFonts w:ascii="Times New Roman" w:hAnsi="Times New Roman"/>
          <w:sz w:val="24"/>
        </w:rPr>
        <w:t xml:space="preserve">NY8-114-07-01     </w:t>
      </w:r>
    </w:p>
    <w:p>
      <w:pPr>
        <w:pStyle w:val="TextBody"/>
        <w:bidi w:val="0"/>
        <w:spacing w:before="0" w:after="0"/>
        <w:jc w:val="left"/>
        <w:rPr>
          <w:rFonts w:ascii="Times New Roman" w:hAnsi="Times New Roman"/>
          <w:sz w:val="24"/>
        </w:rPr>
      </w:pPr>
      <w:r>
        <w:rPr>
          <w:rFonts w:ascii="Times New Roman" w:hAnsi="Times New Roman"/>
          <w:sz w:val="24"/>
        </w:rPr>
        <w:t xml:space="preserve">New York, NY 10036  </w:t>
      </w:r>
    </w:p>
    <w:p>
      <w:pPr>
        <w:pStyle w:val="TextBody"/>
        <w:bidi w:val="0"/>
        <w:spacing w:before="0" w:after="0"/>
        <w:jc w:val="left"/>
        <w:rPr>
          <w:rFonts w:ascii="Times New Roman" w:hAnsi="Times New Roman"/>
          <w:sz w:val="24"/>
        </w:rPr>
      </w:pPr>
      <w:r>
        <w:rPr>
          <w:rFonts w:ascii="Times New Roman" w:hAnsi="Times New Roman"/>
          <w:sz w:val="24"/>
        </w:rPr>
        <w:t xml:space="preserve">Attention: High Grade Transaction Management/Legal     </w:t>
      </w:r>
    </w:p>
    <w:p>
      <w:pPr>
        <w:pStyle w:val="TextBody"/>
        <w:bidi w:val="0"/>
        <w:spacing w:before="0" w:after="0"/>
        <w:jc w:val="left"/>
        <w:rPr>
          <w:rFonts w:ascii="Times New Roman" w:hAnsi="Times New Roman"/>
          <w:sz w:val="24"/>
        </w:rPr>
      </w:pPr>
      <w:r>
        <w:rPr>
          <w:rFonts w:ascii="Times New Roman" w:hAnsi="Times New Roman"/>
          <w:sz w:val="24"/>
        </w:rPr>
        <w:t xml:space="preserve">Facsimile: [Redacted]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Barclays Capital Inc. </w:t>
      </w:r>
    </w:p>
    <w:p>
      <w:pPr>
        <w:pStyle w:val="TextBody"/>
        <w:bidi w:val="0"/>
        <w:spacing w:before="0" w:after="0"/>
        <w:jc w:val="left"/>
        <w:rPr>
          <w:rFonts w:ascii="Times New Roman" w:hAnsi="Times New Roman"/>
          <w:sz w:val="24"/>
        </w:rPr>
      </w:pPr>
      <w:r>
        <w:rPr>
          <w:rFonts w:ascii="Times New Roman" w:hAnsi="Times New Roman"/>
          <w:sz w:val="24"/>
        </w:rPr>
        <w:t xml:space="preserve">745 Seventh Avenue </w:t>
      </w:r>
    </w:p>
    <w:p>
      <w:pPr>
        <w:pStyle w:val="TextBody"/>
        <w:bidi w:val="0"/>
        <w:spacing w:before="0" w:after="0"/>
        <w:jc w:val="left"/>
        <w:rPr>
          <w:rFonts w:ascii="Times New Roman" w:hAnsi="Times New Roman"/>
          <w:sz w:val="24"/>
        </w:rPr>
      </w:pPr>
      <w:r>
        <w:rPr>
          <w:rFonts w:ascii="Times New Roman" w:hAnsi="Times New Roman"/>
          <w:sz w:val="24"/>
        </w:rPr>
        <w:t xml:space="preserve">New York, NY 10019 </w:t>
      </w:r>
    </w:p>
    <w:p>
      <w:pPr>
        <w:pStyle w:val="TextBody"/>
        <w:bidi w:val="0"/>
        <w:spacing w:before="0" w:after="0"/>
        <w:jc w:val="left"/>
        <w:rPr>
          <w:rFonts w:ascii="Times New Roman" w:hAnsi="Times New Roman"/>
          <w:sz w:val="24"/>
        </w:rPr>
      </w:pPr>
      <w:r>
        <w:rPr>
          <w:rFonts w:ascii="Times New Roman" w:hAnsi="Times New Roman"/>
          <w:sz w:val="24"/>
        </w:rPr>
        <w:t xml:space="preserve">Attention: Syndicate Registration </w:t>
      </w:r>
    </w:p>
    <w:p>
      <w:pPr>
        <w:pStyle w:val="TextBody"/>
        <w:bidi w:val="0"/>
        <w:spacing w:before="0" w:after="0"/>
        <w:jc w:val="left"/>
        <w:rPr>
          <w:rFonts w:ascii="Times New Roman" w:hAnsi="Times New Roman"/>
          <w:sz w:val="24"/>
        </w:rPr>
      </w:pPr>
      <w:r>
        <w:rPr>
          <w:rFonts w:ascii="Times New Roman" w:hAnsi="Times New Roman"/>
          <w:sz w:val="24"/>
        </w:rPr>
        <w:t xml:space="preserve">Facsimile: [Redacted]  </w:t>
      </w:r>
    </w:p>
    <w:p>
      <w:pPr>
        <w:pStyle w:val="TextBody"/>
        <w:bidi w:val="0"/>
        <w:spacing w:before="240" w:after="0"/>
        <w:jc w:val="left"/>
        <w:rPr>
          <w:rFonts w:ascii="Times New Roman" w:hAnsi="Times New Roman"/>
          <w:sz w:val="24"/>
        </w:rPr>
      </w:pPr>
      <w:r>
        <w:rPr>
          <w:rFonts w:ascii="Times New Roman" w:hAnsi="Times New Roman"/>
          <w:sz w:val="24"/>
        </w:rPr>
        <w:t xml:space="preserve">Mizuho Securities USA LLC </w:t>
      </w:r>
    </w:p>
    <w:p>
      <w:pPr>
        <w:pStyle w:val="TextBody"/>
        <w:bidi w:val="0"/>
        <w:spacing w:before="0" w:after="0"/>
        <w:jc w:val="left"/>
        <w:rPr>
          <w:rFonts w:ascii="Times New Roman" w:hAnsi="Times New Roman"/>
          <w:sz w:val="24"/>
        </w:rPr>
      </w:pPr>
      <w:r>
        <w:rPr>
          <w:rFonts w:ascii="Times New Roman" w:hAnsi="Times New Roman"/>
          <w:sz w:val="24"/>
        </w:rPr>
        <w:t xml:space="preserve">1271 Avenue of the Americas </w:t>
      </w:r>
    </w:p>
    <w:p>
      <w:pPr>
        <w:pStyle w:val="TextBody"/>
        <w:bidi w:val="0"/>
        <w:spacing w:before="0" w:after="0"/>
        <w:jc w:val="left"/>
        <w:rPr>
          <w:rFonts w:ascii="Times New Roman" w:hAnsi="Times New Roman"/>
          <w:sz w:val="24"/>
        </w:rPr>
      </w:pPr>
      <w:r>
        <w:rPr>
          <w:rFonts w:ascii="Times New Roman" w:hAnsi="Times New Roman"/>
          <w:sz w:val="24"/>
        </w:rPr>
        <w:t xml:space="preserve">New York, NY 10020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0" w:after="0"/>
        <w:jc w:val="left"/>
        <w:rPr>
          <w:rFonts w:ascii="Times New Roman" w:hAnsi="Times New Roman"/>
          <w:sz w:val="24"/>
        </w:rPr>
      </w:pPr>
      <w:r>
        <w:rPr>
          <w:rFonts w:ascii="Times New Roman" w:hAnsi="Times New Roman"/>
          <w:sz w:val="24"/>
        </w:rPr>
        <w:t xml:space="preserve">Attention: DCM/Debt Capital Markets </w:t>
      </w:r>
    </w:p>
    <w:p>
      <w:pPr>
        <w:pStyle w:val="TextBody"/>
        <w:bidi w:val="0"/>
        <w:spacing w:before="240" w:after="0"/>
        <w:jc w:val="left"/>
        <w:rPr>
          <w:rFonts w:ascii="Times New Roman" w:hAnsi="Times New Roman"/>
          <w:sz w:val="24"/>
        </w:rPr>
      </w:pPr>
      <w:r>
        <w:rPr>
          <w:rFonts w:ascii="Times New Roman" w:hAnsi="Times New Roman"/>
          <w:sz w:val="24"/>
        </w:rPr>
        <w:t xml:space="preserve">with a copy to: </w:t>
      </w:r>
    </w:p>
    <w:p>
      <w:pPr>
        <w:pStyle w:val="TextBody"/>
        <w:bidi w:val="0"/>
        <w:spacing w:before="240" w:after="0"/>
        <w:jc w:val="left"/>
        <w:rPr>
          <w:rFonts w:ascii="Times New Roman" w:hAnsi="Times New Roman"/>
          <w:sz w:val="24"/>
        </w:rPr>
      </w:pPr>
      <w:r>
        <w:rPr>
          <w:rFonts w:ascii="Times New Roman" w:hAnsi="Times New Roman"/>
          <w:sz w:val="24"/>
        </w:rPr>
        <w:t xml:space="preserve">Cravath, Swaine &amp; Moore LLP </w:t>
      </w:r>
    </w:p>
    <w:p>
      <w:pPr>
        <w:pStyle w:val="TextBody"/>
        <w:bidi w:val="0"/>
        <w:spacing w:before="0" w:after="0"/>
        <w:jc w:val="left"/>
        <w:rPr>
          <w:rFonts w:ascii="Times New Roman" w:hAnsi="Times New Roman"/>
          <w:sz w:val="24"/>
        </w:rPr>
      </w:pPr>
      <w:r>
        <w:rPr>
          <w:rFonts w:ascii="Times New Roman" w:hAnsi="Times New Roman"/>
          <w:sz w:val="24"/>
        </w:rPr>
        <w:t xml:space="preserve">Two Manhattan West </w:t>
      </w:r>
    </w:p>
    <w:p>
      <w:pPr>
        <w:pStyle w:val="TextBody"/>
        <w:bidi w:val="0"/>
        <w:spacing w:before="0" w:after="0"/>
        <w:jc w:val="left"/>
        <w:rPr>
          <w:rFonts w:ascii="Times New Roman" w:hAnsi="Times New Roman"/>
          <w:sz w:val="24"/>
        </w:rPr>
      </w:pPr>
      <w:r>
        <w:rPr>
          <w:rFonts w:ascii="Times New Roman" w:hAnsi="Times New Roman"/>
          <w:sz w:val="24"/>
        </w:rPr>
        <w:t xml:space="preserve">375 Ninth Avenue </w:t>
      </w:r>
    </w:p>
    <w:p>
      <w:pPr>
        <w:pStyle w:val="TextBody"/>
        <w:bidi w:val="0"/>
        <w:spacing w:before="0" w:after="0"/>
        <w:jc w:val="left"/>
        <w:rPr>
          <w:rFonts w:ascii="Times New Roman" w:hAnsi="Times New Roman"/>
          <w:sz w:val="24"/>
        </w:rPr>
      </w:pPr>
      <w:r>
        <w:rPr>
          <w:rFonts w:ascii="Times New Roman" w:hAnsi="Times New Roman"/>
          <w:sz w:val="24"/>
        </w:rPr>
        <w:t xml:space="preserve">New York, NY 10001 </w:t>
      </w:r>
    </w:p>
    <w:p>
      <w:pPr>
        <w:pStyle w:val="TextBody"/>
        <w:bidi w:val="0"/>
        <w:spacing w:before="0" w:after="0"/>
        <w:jc w:val="left"/>
        <w:rPr>
          <w:rFonts w:ascii="Times New Roman" w:hAnsi="Times New Roman"/>
          <w:sz w:val="24"/>
        </w:rPr>
      </w:pPr>
      <w:r>
        <w:rPr>
          <w:rFonts w:ascii="Times New Roman" w:hAnsi="Times New Roman"/>
          <w:sz w:val="24"/>
        </w:rPr>
        <w:t xml:space="preserve">Telecopy No.: [Redacted] </w:t>
      </w:r>
    </w:p>
    <w:p>
      <w:pPr>
        <w:pStyle w:val="TextBody"/>
        <w:bidi w:val="0"/>
        <w:spacing w:before="0" w:after="0"/>
        <w:jc w:val="left"/>
        <w:rPr>
          <w:rFonts w:ascii="Times New Roman" w:hAnsi="Times New Roman"/>
          <w:sz w:val="24"/>
        </w:rPr>
      </w:pPr>
      <w:r>
        <w:rPr>
          <w:rFonts w:ascii="Times New Roman" w:hAnsi="Times New Roman"/>
          <w:sz w:val="24"/>
        </w:rPr>
        <w:t xml:space="preserve">Attention: Douglas Dolan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816"/>
        <w:gridCol w:w="8065"/>
      </w:tblGrid>
      <w:tr>
        <w:trPr/>
        <w:tc>
          <w:tcPr>
            <w:tcW w:w="1324"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(ii)</w:t>
            </w:r>
          </w:p>
        </w:tc>
        <w:tc>
          <w:tcPr>
            <w:tcW w:w="8065"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If to TR Finance, the Company and any other Guarantor: </w:t>
            </w:r>
          </w:p>
        </w:tc>
      </w:tr>
    </w:tbl>
    <w:p>
      <w:pPr>
        <w:pStyle w:val="TextBody"/>
        <w:bidi w:val="0"/>
        <w:spacing w:before="240" w:after="0"/>
        <w:jc w:val="left"/>
        <w:rPr>
          <w:rFonts w:ascii="Times New Roman" w:hAnsi="Times New Roman"/>
          <w:sz w:val="24"/>
        </w:rPr>
      </w:pPr>
      <w:r>
        <w:rPr>
          <w:rFonts w:ascii="Times New Roman" w:hAnsi="Times New Roman"/>
          <w:sz w:val="24"/>
        </w:rPr>
        <w:t xml:space="preserve">Thomson Reuters Corporation </w:t>
      </w:r>
    </w:p>
    <w:p>
      <w:pPr>
        <w:pStyle w:val="TextBody"/>
        <w:bidi w:val="0"/>
        <w:spacing w:before="0" w:after="0"/>
        <w:jc w:val="left"/>
        <w:rPr>
          <w:rFonts w:ascii="Times New Roman" w:hAnsi="Times New Roman"/>
          <w:sz w:val="24"/>
        </w:rPr>
      </w:pPr>
      <w:r>
        <w:rPr>
          <w:rFonts w:ascii="Times New Roman" w:hAnsi="Times New Roman"/>
          <w:sz w:val="24"/>
        </w:rPr>
        <w:t xml:space="preserve">19 Duncan Street </w:t>
      </w:r>
    </w:p>
    <w:p>
      <w:pPr>
        <w:pStyle w:val="TextBody"/>
        <w:bidi w:val="0"/>
        <w:spacing w:before="0" w:after="0"/>
        <w:jc w:val="left"/>
        <w:rPr>
          <w:rFonts w:ascii="Times New Roman" w:hAnsi="Times New Roman"/>
          <w:sz w:val="24"/>
        </w:rPr>
      </w:pPr>
      <w:r>
        <w:rPr>
          <w:rFonts w:ascii="Times New Roman" w:hAnsi="Times New Roman"/>
          <w:sz w:val="24"/>
        </w:rPr>
        <w:t xml:space="preserve">Toronto, ON M5H 3H1 Canada </w:t>
      </w:r>
    </w:p>
    <w:p>
      <w:pPr>
        <w:pStyle w:val="TextBody"/>
        <w:bidi w:val="0"/>
        <w:spacing w:before="0" w:after="0"/>
        <w:jc w:val="left"/>
        <w:rPr>
          <w:rFonts w:ascii="Times New Roman" w:hAnsi="Times New Roman"/>
          <w:sz w:val="24"/>
        </w:rPr>
      </w:pPr>
      <w:r>
        <w:rPr>
          <w:rFonts w:ascii="Times New Roman" w:hAnsi="Times New Roman"/>
          <w:sz w:val="24"/>
        </w:rPr>
        <w:t xml:space="preserve">Attention: Chad MacLean, Treasurer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240" w:after="0"/>
        <w:jc w:val="left"/>
        <w:rPr>
          <w:rFonts w:ascii="Times New Roman" w:hAnsi="Times New Roman"/>
          <w:sz w:val="24"/>
        </w:rPr>
      </w:pPr>
      <w:r>
        <w:rPr>
          <w:rFonts w:ascii="Times New Roman" w:hAnsi="Times New Roman"/>
          <w:sz w:val="24"/>
        </w:rPr>
        <w:t xml:space="preserve">with a copy to: </w:t>
      </w:r>
    </w:p>
    <w:p>
      <w:pPr>
        <w:pStyle w:val="TextBody"/>
        <w:bidi w:val="0"/>
        <w:spacing w:before="240" w:after="0"/>
        <w:jc w:val="left"/>
        <w:rPr>
          <w:rFonts w:ascii="Times New Roman" w:hAnsi="Times New Roman"/>
          <w:sz w:val="24"/>
        </w:rPr>
      </w:pPr>
      <w:r>
        <w:rPr>
          <w:rFonts w:ascii="Times New Roman" w:hAnsi="Times New Roman"/>
          <w:sz w:val="24"/>
        </w:rPr>
        <w:t xml:space="preserve">Thomson Reuters Corporation </w:t>
      </w:r>
    </w:p>
    <w:p>
      <w:pPr>
        <w:pStyle w:val="TextBody"/>
        <w:bidi w:val="0"/>
        <w:spacing w:before="0" w:after="0"/>
        <w:jc w:val="left"/>
        <w:rPr>
          <w:rFonts w:ascii="Times New Roman" w:hAnsi="Times New Roman"/>
          <w:sz w:val="24"/>
        </w:rPr>
      </w:pPr>
      <w:r>
        <w:rPr>
          <w:rFonts w:ascii="Times New Roman" w:hAnsi="Times New Roman"/>
          <w:sz w:val="24"/>
        </w:rPr>
        <w:t xml:space="preserve">19 Duncan Street </w:t>
      </w:r>
    </w:p>
    <w:p>
      <w:pPr>
        <w:pStyle w:val="TextBody"/>
        <w:bidi w:val="0"/>
        <w:spacing w:before="0" w:after="0"/>
        <w:jc w:val="left"/>
        <w:rPr>
          <w:rFonts w:ascii="Times New Roman" w:hAnsi="Times New Roman"/>
          <w:sz w:val="24"/>
        </w:rPr>
      </w:pPr>
      <w:r>
        <w:rPr>
          <w:rFonts w:ascii="Times New Roman" w:hAnsi="Times New Roman"/>
          <w:sz w:val="24"/>
        </w:rPr>
        <w:t xml:space="preserve">Toronto, ON M5H 3H1 Canada </w:t>
      </w:r>
    </w:p>
    <w:p>
      <w:pPr>
        <w:pStyle w:val="TextBody"/>
        <w:bidi w:val="0"/>
        <w:spacing w:before="0" w:after="0"/>
        <w:jc w:val="left"/>
        <w:rPr>
          <w:rFonts w:ascii="Times New Roman" w:hAnsi="Times New Roman"/>
          <w:sz w:val="24"/>
        </w:rPr>
      </w:pPr>
      <w:r>
        <w:rPr>
          <w:rFonts w:ascii="Times New Roman" w:hAnsi="Times New Roman"/>
          <w:sz w:val="24"/>
        </w:rPr>
        <w:t xml:space="preserve">Attention: Jennifer Ruddick, Deputy General Counsel, Corporate &amp; Securities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240" w:after="0"/>
        <w:jc w:val="left"/>
        <w:rPr>
          <w:rFonts w:ascii="Times New Roman" w:hAnsi="Times New Roman"/>
          <w:sz w:val="24"/>
        </w:rPr>
      </w:pPr>
      <w:r>
        <w:rPr>
          <w:rFonts w:ascii="Times New Roman" w:hAnsi="Times New Roman"/>
          <w:sz w:val="24"/>
        </w:rPr>
        <w:t xml:space="preserve">and </w:t>
      </w:r>
    </w:p>
    <w:p>
      <w:pPr>
        <w:pStyle w:val="TextBody"/>
        <w:bidi w:val="0"/>
        <w:spacing w:before="240" w:after="0"/>
        <w:jc w:val="left"/>
        <w:rPr>
          <w:rFonts w:ascii="Times New Roman" w:hAnsi="Times New Roman"/>
          <w:sz w:val="24"/>
        </w:rPr>
      </w:pPr>
      <w:r>
        <w:rPr>
          <w:rFonts w:ascii="Times New Roman" w:hAnsi="Times New Roman"/>
          <w:sz w:val="24"/>
        </w:rPr>
        <w:t xml:space="preserve">TR Finance LLC </w:t>
      </w:r>
    </w:p>
    <w:p>
      <w:pPr>
        <w:pStyle w:val="TextBody"/>
        <w:bidi w:val="0"/>
        <w:spacing w:before="0" w:after="0"/>
        <w:jc w:val="left"/>
        <w:rPr>
          <w:rFonts w:ascii="Times New Roman" w:hAnsi="Times New Roman"/>
          <w:sz w:val="24"/>
        </w:rPr>
      </w:pPr>
      <w:r>
        <w:rPr>
          <w:rFonts w:ascii="Times New Roman" w:hAnsi="Times New Roman"/>
          <w:sz w:val="24"/>
        </w:rPr>
        <w:t xml:space="preserve">Thomson Reuters Applications Inc. </w:t>
      </w:r>
    </w:p>
    <w:p>
      <w:pPr>
        <w:pStyle w:val="TextBody"/>
        <w:bidi w:val="0"/>
        <w:spacing w:before="0" w:after="0"/>
        <w:jc w:val="left"/>
        <w:rPr>
          <w:rFonts w:ascii="Times New Roman" w:hAnsi="Times New Roman"/>
          <w:sz w:val="24"/>
        </w:rPr>
      </w:pPr>
      <w:r>
        <w:rPr>
          <w:rFonts w:ascii="Times New Roman" w:hAnsi="Times New Roman"/>
          <w:sz w:val="24"/>
        </w:rPr>
        <w:t xml:space="preserve">Thomson Reuters (Tax &amp; Accounting) Inc. </w:t>
      </w:r>
    </w:p>
    <w:p>
      <w:pPr>
        <w:pStyle w:val="TextBody"/>
        <w:bidi w:val="0"/>
        <w:spacing w:before="0" w:after="0"/>
        <w:jc w:val="left"/>
        <w:rPr>
          <w:rFonts w:ascii="Times New Roman" w:hAnsi="Times New Roman"/>
          <w:sz w:val="24"/>
        </w:rPr>
      </w:pPr>
      <w:r>
        <w:rPr>
          <w:rFonts w:ascii="Times New Roman" w:hAnsi="Times New Roman"/>
          <w:sz w:val="24"/>
        </w:rPr>
        <w:t xml:space="preserve">West Publishing Corporation </w:t>
      </w:r>
    </w:p>
    <w:p>
      <w:pPr>
        <w:pStyle w:val="TextBody"/>
        <w:bidi w:val="0"/>
        <w:spacing w:before="0" w:after="0"/>
        <w:jc w:val="left"/>
        <w:rPr>
          <w:rFonts w:ascii="Times New Roman" w:hAnsi="Times New Roman"/>
          <w:sz w:val="24"/>
        </w:rPr>
      </w:pPr>
      <w:r>
        <w:rPr>
          <w:rFonts w:ascii="Times New Roman" w:hAnsi="Times New Roman"/>
          <w:sz w:val="24"/>
        </w:rPr>
        <w:t xml:space="preserve">c/o </w:t>
      </w:r>
    </w:p>
    <w:p>
      <w:pPr>
        <w:pStyle w:val="TextBody"/>
        <w:bidi w:val="0"/>
        <w:spacing w:before="0" w:after="0"/>
        <w:jc w:val="left"/>
        <w:rPr>
          <w:rFonts w:ascii="Times New Roman" w:hAnsi="Times New Roman"/>
          <w:sz w:val="24"/>
        </w:rPr>
      </w:pPr>
      <w:r>
        <w:rPr>
          <w:rFonts w:ascii="Times New Roman" w:hAnsi="Times New Roman"/>
          <w:sz w:val="24"/>
        </w:rPr>
        <w:t xml:space="preserve">Thomson Reuters Holdings Inc. </w:t>
      </w:r>
    </w:p>
    <w:p>
      <w:pPr>
        <w:pStyle w:val="TextBody"/>
        <w:bidi w:val="0"/>
        <w:spacing w:before="0" w:after="0"/>
        <w:jc w:val="left"/>
        <w:rPr>
          <w:rFonts w:ascii="Times New Roman" w:hAnsi="Times New Roman"/>
          <w:sz w:val="24"/>
        </w:rPr>
      </w:pPr>
      <w:r>
        <w:rPr>
          <w:rFonts w:ascii="Times New Roman" w:hAnsi="Times New Roman"/>
          <w:sz w:val="24"/>
        </w:rPr>
        <w:t xml:space="preserve">3 Times Square </w:t>
      </w:r>
    </w:p>
    <w:p>
      <w:pPr>
        <w:pStyle w:val="TextBody"/>
        <w:bidi w:val="0"/>
        <w:spacing w:before="0" w:after="0"/>
        <w:jc w:val="left"/>
        <w:rPr>
          <w:rFonts w:ascii="Times New Roman" w:hAnsi="Times New Roman"/>
          <w:sz w:val="24"/>
        </w:rPr>
      </w:pPr>
      <w:r>
        <w:rPr>
          <w:rFonts w:ascii="Times New Roman" w:hAnsi="Times New Roman"/>
          <w:sz w:val="24"/>
        </w:rPr>
        <w:t xml:space="preserve">New York, New York 10036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Attention: Jennifer Ruddick, Deputy General Counsel, Corporate &amp; Securities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240" w:after="0"/>
        <w:jc w:val="left"/>
        <w:rPr>
          <w:rFonts w:ascii="Times New Roman" w:hAnsi="Times New Roman"/>
          <w:sz w:val="24"/>
        </w:rPr>
      </w:pPr>
      <w:r>
        <w:rPr>
          <w:rFonts w:ascii="Times New Roman" w:hAnsi="Times New Roman"/>
          <w:sz w:val="24"/>
        </w:rPr>
        <w:t xml:space="preserve">and </w:t>
      </w:r>
    </w:p>
    <w:p>
      <w:pPr>
        <w:pStyle w:val="TextBody"/>
        <w:bidi w:val="0"/>
        <w:spacing w:before="240" w:after="0"/>
        <w:jc w:val="left"/>
        <w:rPr>
          <w:rFonts w:ascii="Times New Roman" w:hAnsi="Times New Roman"/>
          <w:sz w:val="24"/>
        </w:rPr>
      </w:pPr>
      <w:r>
        <w:rPr>
          <w:rFonts w:ascii="Times New Roman" w:hAnsi="Times New Roman"/>
          <w:sz w:val="24"/>
        </w:rPr>
        <w:t xml:space="preserve">Torys LLP </w:t>
      </w:r>
    </w:p>
    <w:p>
      <w:pPr>
        <w:pStyle w:val="TextBody"/>
        <w:bidi w:val="0"/>
        <w:spacing w:before="0" w:after="0"/>
        <w:jc w:val="left"/>
        <w:rPr>
          <w:rFonts w:ascii="Times New Roman" w:hAnsi="Times New Roman"/>
          <w:sz w:val="24"/>
        </w:rPr>
      </w:pPr>
      <w:r>
        <w:rPr>
          <w:rFonts w:ascii="Times New Roman" w:hAnsi="Times New Roman"/>
          <w:sz w:val="24"/>
        </w:rPr>
        <w:t xml:space="preserve">79 Wellington St. W., 30th Floor </w:t>
      </w:r>
    </w:p>
    <w:p>
      <w:pPr>
        <w:pStyle w:val="TextBody"/>
        <w:bidi w:val="0"/>
        <w:spacing w:before="0" w:after="0"/>
        <w:jc w:val="left"/>
        <w:rPr>
          <w:rFonts w:ascii="Times New Roman" w:hAnsi="Times New Roman"/>
          <w:sz w:val="24"/>
        </w:rPr>
      </w:pPr>
      <w:r>
        <w:rPr>
          <w:rFonts w:ascii="Times New Roman" w:hAnsi="Times New Roman"/>
          <w:sz w:val="24"/>
        </w:rPr>
        <w:t xml:space="preserve">Toronto, ON M5K 1N2 Canada </w:t>
      </w:r>
    </w:p>
    <w:p>
      <w:pPr>
        <w:pStyle w:val="TextBody"/>
        <w:bidi w:val="0"/>
        <w:spacing w:before="0" w:after="0"/>
        <w:jc w:val="left"/>
        <w:rPr>
          <w:rFonts w:ascii="Times New Roman" w:hAnsi="Times New Roman"/>
          <w:sz w:val="24"/>
        </w:rPr>
      </w:pPr>
      <w:r>
        <w:rPr>
          <w:rFonts w:ascii="Times New Roman" w:hAnsi="Times New Roman"/>
          <w:sz w:val="24"/>
        </w:rPr>
        <w:t xml:space="preserve">Attention: David Forrester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240" w:after="0"/>
        <w:jc w:val="left"/>
        <w:rPr>
          <w:rFonts w:ascii="Times New Roman" w:hAnsi="Times New Roman"/>
          <w:sz w:val="24"/>
        </w:rPr>
      </w:pPr>
      <w:r>
        <w:rPr>
          <w:rFonts w:ascii="Times New Roman" w:hAnsi="Times New Roman"/>
          <w:sz w:val="24"/>
        </w:rPr>
        <w:t xml:space="preserve">and </w:t>
      </w:r>
    </w:p>
    <w:p>
      <w:pPr>
        <w:pStyle w:val="TextBody"/>
        <w:bidi w:val="0"/>
        <w:spacing w:before="240" w:after="0"/>
        <w:jc w:val="left"/>
        <w:rPr>
          <w:rFonts w:ascii="Times New Roman" w:hAnsi="Times New Roman"/>
          <w:sz w:val="24"/>
        </w:rPr>
      </w:pPr>
      <w:r>
        <w:rPr>
          <w:rFonts w:ascii="Times New Roman" w:hAnsi="Times New Roman"/>
          <w:sz w:val="24"/>
        </w:rPr>
        <w:t xml:space="preserve">Torys LLP </w:t>
      </w:r>
    </w:p>
    <w:p>
      <w:pPr>
        <w:pStyle w:val="TextBody"/>
        <w:bidi w:val="0"/>
        <w:spacing w:before="0" w:after="0"/>
        <w:jc w:val="left"/>
        <w:rPr>
          <w:rFonts w:ascii="Times New Roman" w:hAnsi="Times New Roman"/>
          <w:sz w:val="24"/>
        </w:rPr>
      </w:pPr>
      <w:r>
        <w:rPr>
          <w:rFonts w:ascii="Times New Roman" w:hAnsi="Times New Roman"/>
          <w:sz w:val="24"/>
        </w:rPr>
        <w:t xml:space="preserve">1114 Avenue of the Americas, 23rd Floor </w:t>
      </w:r>
    </w:p>
    <w:p>
      <w:pPr>
        <w:pStyle w:val="TextBody"/>
        <w:bidi w:val="0"/>
        <w:spacing w:before="0" w:after="0"/>
        <w:jc w:val="left"/>
        <w:rPr>
          <w:rFonts w:ascii="Times New Roman" w:hAnsi="Times New Roman"/>
          <w:sz w:val="24"/>
        </w:rPr>
      </w:pPr>
      <w:r>
        <w:rPr>
          <w:rFonts w:ascii="Times New Roman" w:hAnsi="Times New Roman"/>
          <w:sz w:val="24"/>
        </w:rPr>
        <w:t xml:space="preserve">New York, NY 10036 </w:t>
      </w:r>
    </w:p>
    <w:p>
      <w:pPr>
        <w:pStyle w:val="TextBody"/>
        <w:bidi w:val="0"/>
        <w:spacing w:before="0" w:after="0"/>
        <w:jc w:val="left"/>
        <w:rPr>
          <w:rFonts w:ascii="Times New Roman" w:hAnsi="Times New Roman"/>
          <w:sz w:val="24"/>
        </w:rPr>
      </w:pPr>
      <w:r>
        <w:rPr>
          <w:rFonts w:ascii="Times New Roman" w:hAnsi="Times New Roman"/>
          <w:sz w:val="24"/>
        </w:rPr>
        <w:t xml:space="preserve">Attention: Christopher R. Bornhorst </w:t>
      </w:r>
    </w:p>
    <w:p>
      <w:pPr>
        <w:pStyle w:val="TextBody"/>
        <w:bidi w:val="0"/>
        <w:spacing w:before="0" w:after="0"/>
        <w:jc w:val="left"/>
        <w:rPr>
          <w:rFonts w:ascii="Times New Roman" w:hAnsi="Times New Roman"/>
          <w:sz w:val="24"/>
        </w:rPr>
      </w:pPr>
      <w:r>
        <w:rPr>
          <w:rFonts w:ascii="Times New Roman" w:hAnsi="Times New Roman"/>
          <w:sz w:val="24"/>
        </w:rPr>
        <w:t xml:space="preserve">Email: [Redacted] </w:t>
      </w:r>
    </w:p>
    <w:p>
      <w:pPr>
        <w:pStyle w:val="TextBody"/>
        <w:bidi w:val="0"/>
        <w:spacing w:before="240" w:after="0"/>
        <w:jc w:val="left"/>
        <w:rPr>
          <w:rFonts w:ascii="Times New Roman" w:hAnsi="Times New Roman"/>
          <w:sz w:val="24"/>
        </w:rPr>
      </w:pPr>
      <w:r>
        <w:rPr>
          <w:rFonts w:ascii="Times New Roman" w:hAnsi="Times New Roman"/>
          <w:sz w:val="24"/>
        </w:rPr>
        <w:t>(b) </w:t>
      </w:r>
      <w:r>
        <w:rPr>
          <w:rFonts w:ascii="Times New Roman" w:hAnsi="Times New Roman"/>
          <w:i/>
          <w:sz w:val="24"/>
        </w:rPr>
        <w:t>Governing Law</w:t>
      </w:r>
      <w:r>
        <w:rPr>
          <w:rFonts w:ascii="Times New Roman" w:hAnsi="Times New Roman"/>
          <w:sz w:val="24"/>
        </w:rPr>
        <w:t xml:space="preserve">. This Agreement and any claim, controversy or dispute arising under or related to this Agreement shall be governed by and construed in accordance with the laws of the State of New York, without regard to the conflicts of laws provisions thereof. </w:t>
      </w:r>
    </w:p>
    <w:p>
      <w:pPr>
        <w:pStyle w:val="TextBody"/>
        <w:bidi w:val="0"/>
        <w:spacing w:before="240" w:after="0"/>
        <w:jc w:val="left"/>
        <w:rPr>
          <w:rFonts w:ascii="Times New Roman" w:hAnsi="Times New Roman"/>
          <w:sz w:val="24"/>
        </w:rPr>
      </w:pPr>
      <w:r>
        <w:rPr>
          <w:rFonts w:ascii="Times New Roman" w:hAnsi="Times New Roman"/>
          <w:sz w:val="24"/>
        </w:rPr>
        <w:t>(c) </w:t>
      </w:r>
      <w:r>
        <w:rPr>
          <w:rFonts w:ascii="Times New Roman" w:hAnsi="Times New Roman"/>
          <w:i/>
          <w:sz w:val="24"/>
        </w:rPr>
        <w:t>Counterparts</w:t>
      </w:r>
      <w:r>
        <w:rPr>
          <w:rFonts w:ascii="Times New Roman" w:hAnsi="Times New Roman"/>
          <w:sz w:val="24"/>
        </w:rPr>
        <w:t xml:space="preserve">. This Agreement may be signed in counterparts (which may include counterparts delivered by any standard form of telecommunication), each of which shall be an original and all of which together shall constitute one and the same instrument. </w:t>
      </w:r>
    </w:p>
    <w:p>
      <w:pPr>
        <w:pStyle w:val="TextBody"/>
        <w:bidi w:val="0"/>
        <w:spacing w:before="240" w:after="0"/>
        <w:jc w:val="left"/>
        <w:rPr>
          <w:rFonts w:ascii="Times New Roman" w:hAnsi="Times New Roman"/>
          <w:sz w:val="24"/>
        </w:rPr>
      </w:pPr>
      <w:r>
        <w:rPr>
          <w:rFonts w:ascii="Times New Roman" w:hAnsi="Times New Roman"/>
          <w:sz w:val="24"/>
        </w:rPr>
        <w:t>(d) </w:t>
      </w:r>
      <w:r>
        <w:rPr>
          <w:rFonts w:ascii="Times New Roman" w:hAnsi="Times New Roman"/>
          <w:i/>
          <w:sz w:val="24"/>
        </w:rPr>
        <w:t>Amendments or Waivers</w:t>
      </w:r>
      <w:r>
        <w:rPr>
          <w:rFonts w:ascii="Times New Roman" w:hAnsi="Times New Roman"/>
          <w:sz w:val="24"/>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4"/>
        </w:rPr>
      </w:pPr>
      <w:r>
        <w:rPr>
          <w:rFonts w:ascii="Times New Roman" w:hAnsi="Times New Roman"/>
          <w:sz w:val="24"/>
        </w:rPr>
        <w:t>(e) </w:t>
      </w:r>
      <w:r>
        <w:rPr>
          <w:rFonts w:ascii="Times New Roman" w:hAnsi="Times New Roman"/>
          <w:i/>
          <w:sz w:val="24"/>
        </w:rPr>
        <w:t>Headings</w:t>
      </w:r>
      <w:r>
        <w:rPr>
          <w:rFonts w:ascii="Times New Roman" w:hAnsi="Times New Roman"/>
          <w:sz w:val="24"/>
        </w:rPr>
        <w:t xml:space="preserve">. The headings herein are included for convenience of reference only and are not intended to be part of, or to affect the meaning or interpretation of, this Agreement. </w:t>
      </w:r>
    </w:p>
    <w:p>
      <w:pPr>
        <w:pStyle w:val="TextBody"/>
        <w:bidi w:val="0"/>
        <w:spacing w:before="240" w:after="0"/>
        <w:jc w:val="left"/>
        <w:rPr>
          <w:rFonts w:ascii="Times New Roman" w:hAnsi="Times New Roman"/>
          <w:sz w:val="24"/>
        </w:rPr>
      </w:pPr>
      <w:r>
        <w:rPr>
          <w:rFonts w:ascii="Times New Roman" w:hAnsi="Times New Roman"/>
          <w:sz w:val="24"/>
        </w:rPr>
        <w:t>(f) </w:t>
      </w:r>
      <w:r>
        <w:rPr>
          <w:rFonts w:ascii="Times New Roman" w:hAnsi="Times New Roman"/>
          <w:i/>
          <w:sz w:val="24"/>
        </w:rPr>
        <w:t>Entire Agreement</w:t>
      </w:r>
      <w:r>
        <w:rPr>
          <w:rFonts w:ascii="Times New Roman" w:hAnsi="Times New Roman"/>
          <w:sz w:val="24"/>
        </w:rPr>
        <w:t xml:space="preserve">. This Agreement constitutes the entire agreement among the parties hereto and supersedes all prior and contemporaneous agreements, understandings and arrangements, oral or written, among the parties hereto with respect to the subject matter hereof. </w:t>
      </w:r>
    </w:p>
    <w:p>
      <w:pPr>
        <w:pStyle w:val="TextBody"/>
        <w:bidi w:val="0"/>
        <w:spacing w:before="240" w:after="0"/>
        <w:jc w:val="left"/>
        <w:rPr>
          <w:rFonts w:ascii="Times New Roman" w:hAnsi="Times New Roman"/>
          <w:sz w:val="24"/>
        </w:rPr>
      </w:pPr>
      <w:r>
        <w:rPr>
          <w:rFonts w:ascii="Times New Roman" w:hAnsi="Times New Roman"/>
          <w:sz w:val="24"/>
        </w:rPr>
        <w:t>(g) </w:t>
      </w:r>
      <w:r>
        <w:rPr>
          <w:rFonts w:ascii="Times New Roman" w:hAnsi="Times New Roman"/>
          <w:i/>
          <w:sz w:val="24"/>
        </w:rPr>
        <w:t>Waiver of Jury Trial</w:t>
      </w:r>
      <w:r>
        <w:rPr>
          <w:rFonts w:ascii="Times New Roman" w:hAnsi="Times New Roman"/>
          <w:sz w:val="24"/>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4"/>
        </w:rPr>
      </w:pPr>
      <w:r>
        <w:rPr>
          <w:rFonts w:ascii="Times New Roman" w:hAnsi="Times New Roman"/>
          <w:sz w:val="24"/>
        </w:rPr>
        <w:t>(h) </w:t>
      </w:r>
      <w:r>
        <w:rPr>
          <w:rFonts w:ascii="Times New Roman" w:hAnsi="Times New Roman"/>
          <w:i/>
          <w:sz w:val="24"/>
        </w:rPr>
        <w:t>Compliance with USA Patriot Act</w:t>
      </w:r>
      <w:r>
        <w:rPr>
          <w:rFonts w:ascii="Times New Roman" w:hAnsi="Times New Roman"/>
          <w:sz w:val="24"/>
        </w:rPr>
        <w:t>. In accordance with the requirements of the USA Patriot Act (Title III of Pub. L. 107-56 (signed into law October 26, 2001) and the requirements of 31 C.F.R. §1010.230 (the “</w:t>
      </w:r>
      <w:r>
        <w:rPr>
          <w:rFonts w:ascii="Times New Roman" w:hAnsi="Times New Roman"/>
          <w:sz w:val="24"/>
          <w:u w:val="single"/>
        </w:rPr>
        <w:t>Beneficial Ownership Regulation</w:t>
      </w:r>
      <w:r>
        <w:rPr>
          <w:rFonts w:ascii="Times New Roman" w:hAnsi="Times New Roman"/>
          <w:sz w:val="24"/>
        </w:rPr>
        <w:t>”)) (the “</w:t>
      </w:r>
      <w:r>
        <w:rPr>
          <w:rFonts w:ascii="Times New Roman" w:hAnsi="Times New Roman"/>
          <w:sz w:val="24"/>
          <w:u w:val="single"/>
        </w:rPr>
        <w:t>USA Patriot Act</w:t>
      </w:r>
      <w:r>
        <w:rPr>
          <w:rFonts w:ascii="Times New Roman" w:hAnsi="Times New Roman"/>
          <w:sz w:val="24"/>
        </w:rPr>
        <w:t xml:space="preserve">”), the Underwriters are required to obtain, verify and record information that identifies their respective clients, including TR Finance and the Company, which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may include the name and address of their respective clients, as well as other information that will allow the Underwriters to properly identify their respective clients in accordance with the USA Patriot Act or the Beneficial Ownership Regulation. </w:t>
      </w:r>
    </w:p>
    <w:p>
      <w:pPr>
        <w:pStyle w:val="TextBody"/>
        <w:bidi w:val="0"/>
        <w:spacing w:before="240" w:after="0"/>
        <w:jc w:val="left"/>
        <w:rPr>
          <w:rFonts w:ascii="Times New Roman" w:hAnsi="Times New Roman"/>
          <w:sz w:val="24"/>
        </w:rPr>
      </w:pPr>
      <w:r>
        <w:rPr>
          <w:rFonts w:ascii="Times New Roman" w:hAnsi="Times New Roman"/>
          <w:sz w:val="24"/>
        </w:rPr>
        <w:t>(i) </w:t>
      </w:r>
      <w:r>
        <w:rPr>
          <w:rFonts w:ascii="Times New Roman" w:hAnsi="Times New Roman"/>
          <w:i/>
          <w:sz w:val="24"/>
        </w:rPr>
        <w:t>Submission to Jurisdiction</w:t>
      </w:r>
      <w:r>
        <w:rPr>
          <w:rFonts w:ascii="Times New Roman" w:hAnsi="Times New Roman"/>
          <w:sz w:val="24"/>
        </w:rPr>
        <w:t xml:space="preserve">; </w:t>
      </w:r>
      <w:r>
        <w:rPr>
          <w:rFonts w:ascii="Times New Roman" w:hAnsi="Times New Roman"/>
          <w:i/>
          <w:sz w:val="24"/>
        </w:rPr>
        <w:t>Venue</w:t>
      </w:r>
      <w:r>
        <w:rPr>
          <w:rFonts w:ascii="Times New Roman" w:hAnsi="Times New Roman"/>
          <w:sz w:val="24"/>
        </w:rPr>
        <w:t>. TR Finance, the Company and each of the other Guarantors irrevocably submit to the non-exclusive jurisdiction of any U.S. Federal or New York State court in the Borough of Manhattan in the City, County and State of New York, United States of America, in any legal suit, action or proceeding based on or arising under this Agreement and agrees that all claims in respect of such suit or proceeding may be determined in any such court. TR Finance, the Company and each of the other Guarantors have appointed Thomson Reuters Holdings Inc. (the “</w:t>
      </w:r>
      <w:r>
        <w:rPr>
          <w:rFonts w:ascii="Times New Roman" w:hAnsi="Times New Roman"/>
          <w:sz w:val="24"/>
          <w:u w:val="single"/>
        </w:rPr>
        <w:t>Authorized Agent</w:t>
      </w:r>
      <w:r>
        <w:rPr>
          <w:rFonts w:ascii="Times New Roman" w:hAnsi="Times New Roman"/>
          <w:sz w:val="24"/>
        </w:rPr>
        <w:t xml:space="preserve">”) as their authorized agent upon whom process may be served in any such legal suit, action or proceeding. Such appointment shall be irrevocable. The Authorized Agent has agreed to act as said agent for service of process and TR Finance, the Company and each of the other Guarantors agrees to take any and all action, including the filing of any and all documents and instruments and the payment of any further fees, that may be necessary to continue such appointment in full force and effect as aforesaid. TR Finance, the Company and each of the other Guarantors further agree that service of process upon the Authorized Agent and written notice of said service to the Company shall be deemed in every respect effective service of process upon TR Finance, the Company and each of the other Guarantors in any such legal suit, action or proceeding. Nothing herein shall affect the right of the Representatives or any person controlling any Representative to serve process in any other manner permitted by law. The provisions of this paragraph (i) of Section 15 are intended to be effective upon the execution of this Agreement without any further action by TR Finance, the Company or any of the other Guarantors and the introduction of a true copy of this Agreement into evidence shall be conclusive and final evidence as to such matters. </w:t>
      </w:r>
    </w:p>
    <w:p>
      <w:pPr>
        <w:pStyle w:val="TextBody"/>
        <w:bidi w:val="0"/>
        <w:spacing w:before="240" w:after="0"/>
        <w:jc w:val="left"/>
        <w:rPr>
          <w:rFonts w:ascii="Times New Roman" w:hAnsi="Times New Roman"/>
          <w:sz w:val="24"/>
        </w:rPr>
      </w:pPr>
      <w:r>
        <w:rPr>
          <w:rFonts w:ascii="Times New Roman" w:hAnsi="Times New Roman"/>
          <w:sz w:val="24"/>
        </w:rPr>
        <w:t>(j) </w:t>
      </w:r>
      <w:r>
        <w:rPr>
          <w:rFonts w:ascii="Times New Roman" w:hAnsi="Times New Roman"/>
          <w:i/>
          <w:sz w:val="24"/>
        </w:rPr>
        <w:t>Judgment Currency</w:t>
      </w:r>
      <w:r>
        <w:rPr>
          <w:rFonts w:ascii="Times New Roman" w:hAnsi="Times New Roman"/>
          <w:sz w:val="24"/>
        </w:rPr>
        <w:t>. TR Finance, the Company and each of the other Guarantors, jointly and severally, agree to indemnify the Underwriters, their respective directors, officers, affiliates and each person, if any, who controls any Underwriter within the meaning of Section 15 of the Securities Act or Section 20 of the Exchange Act, against any loss incurred by the Underwriters as a result of any judgment or order being given or made for any amount due hereunder and such judgment or order being expressed and paid in a currency (the “</w:t>
      </w:r>
      <w:r>
        <w:rPr>
          <w:rFonts w:ascii="Times New Roman" w:hAnsi="Times New Roman"/>
          <w:sz w:val="24"/>
          <w:u w:val="single"/>
        </w:rPr>
        <w:t>judgment currency</w:t>
      </w:r>
      <w:r>
        <w:rPr>
          <w:rFonts w:ascii="Times New Roman" w:hAnsi="Times New Roman"/>
          <w:sz w:val="24"/>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TR Finance, the Company and each other Guarantor and shall continue in full force and effect notwithstanding any such judgment or order as aforesaid. The term “</w:t>
      </w:r>
      <w:r>
        <w:rPr>
          <w:rFonts w:ascii="Times New Roman" w:hAnsi="Times New Roman"/>
          <w:sz w:val="24"/>
          <w:u w:val="single"/>
        </w:rPr>
        <w:t>rate of exchange</w:t>
      </w:r>
      <w:r>
        <w:rPr>
          <w:rFonts w:ascii="Times New Roman" w:hAnsi="Times New Roman"/>
          <w:sz w:val="24"/>
        </w:rPr>
        <w:t xml:space="preserve">” shall include any premiums and costs of exchange payable in connection with the purchase of, or conversion into, U.S. dollars. </w:t>
      </w:r>
    </w:p>
    <w:p>
      <w:pPr>
        <w:pStyle w:val="TextBody"/>
        <w:bidi w:val="0"/>
        <w:spacing w:before="240" w:after="0"/>
        <w:jc w:val="left"/>
        <w:rPr>
          <w:rFonts w:ascii="Times New Roman" w:hAnsi="Times New Roman"/>
          <w:sz w:val="24"/>
        </w:rPr>
      </w:pPr>
      <w:r>
        <w:rPr>
          <w:rFonts w:ascii="Times New Roman" w:hAnsi="Times New Roman"/>
          <w:sz w:val="24"/>
        </w:rPr>
        <w:t>(k) </w:t>
      </w:r>
      <w:r>
        <w:rPr>
          <w:rFonts w:ascii="Times New Roman" w:hAnsi="Times New Roman"/>
          <w:i/>
          <w:sz w:val="24"/>
        </w:rPr>
        <w:t>Waiver of Immunity</w:t>
      </w:r>
      <w:r>
        <w:rPr>
          <w:rFonts w:ascii="Times New Roman" w:hAnsi="Times New Roman"/>
          <w:sz w:val="24"/>
        </w:rPr>
        <w:t xml:space="preserve">. To the extent that TR Finance, the Company or any other Guarantor has or hereafter may acquire any immunity (sovereign or otherwise) from jurisdiction of any court of (i) Canada, or any political subdivision thereof, (ii) the United States or the State of New York, (iii) any jurisdiction in which it owns or leases property or assets or from any legal process (whether through service of notice, attachment prior to judgement, attachment in aid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execution, execution, set-off or otherwise) with respect to themselves or their respective property and assets or this Agreement, TR Finance, the Company and each other Guarantor hereby irrevocably waive such immunity in respect of its obligations under this Agreement to the fullest extent permitted by applicable law. </w:t>
      </w:r>
    </w:p>
    <w:p>
      <w:pPr>
        <w:pStyle w:val="TextBody"/>
        <w:bidi w:val="0"/>
        <w:spacing w:before="240" w:after="0"/>
        <w:jc w:val="left"/>
        <w:rPr>
          <w:rFonts w:ascii="Times New Roman" w:hAnsi="Times New Roman"/>
          <w:sz w:val="24"/>
        </w:rPr>
      </w:pPr>
      <w:r>
        <w:rPr>
          <w:rFonts w:ascii="Times New Roman" w:hAnsi="Times New Roman"/>
          <w:sz w:val="24"/>
        </w:rPr>
        <w:t>16. </w:t>
      </w:r>
      <w:r>
        <w:rPr>
          <w:rFonts w:ascii="Times New Roman" w:hAnsi="Times New Roman"/>
          <w:sz w:val="24"/>
          <w:u w:val="single"/>
        </w:rPr>
        <w:t>Recognition of the U.S. Special Resolution Regimes</w:t>
      </w:r>
      <w:r>
        <w:rPr>
          <w:rFonts w:ascii="Times New Roman" w:hAnsi="Times New Roman"/>
          <w:sz w:val="24"/>
        </w:rPr>
        <w:t xml:space="preserve">. </w:t>
      </w:r>
    </w:p>
    <w:p>
      <w:pPr>
        <w:pStyle w:val="TextBody"/>
        <w:bidi w:val="0"/>
        <w:spacing w:before="240" w:after="0"/>
        <w:jc w:val="left"/>
        <w:rPr>
          <w:rFonts w:ascii="Times New Roman" w:hAnsi="Times New Roman"/>
          <w:sz w:val="24"/>
        </w:rPr>
      </w:pPr>
      <w:r>
        <w:rPr>
          <w:rFonts w:ascii="Times New Roman" w:hAnsi="Times New Roman"/>
          <w:sz w:val="24"/>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4"/>
        </w:rPr>
      </w:pPr>
      <w:r>
        <w:rPr>
          <w:rFonts w:ascii="Times New Roman" w:hAnsi="Times New Roman"/>
          <w:sz w:val="24"/>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4"/>
        </w:rPr>
      </w:pPr>
      <w:r>
        <w:rPr>
          <w:rFonts w:ascii="Times New Roman" w:hAnsi="Times New Roman"/>
          <w:sz w:val="24"/>
        </w:rPr>
        <w:t xml:space="preserve">For the purposes of this Section 16: </w:t>
      </w:r>
    </w:p>
    <w:p>
      <w:pPr>
        <w:pStyle w:val="TextBody"/>
        <w:bidi w:val="0"/>
        <w:spacing w:before="240" w:after="0"/>
        <w:jc w:val="left"/>
        <w:rPr/>
      </w:pPr>
      <w:r>
        <w:rPr/>
        <w:t>“</w:t>
      </w:r>
      <w:r>
        <w:rPr>
          <w:rFonts w:ascii="Times New Roman" w:hAnsi="Times New Roman"/>
          <w:sz w:val="24"/>
          <w:u w:val="single"/>
        </w:rPr>
        <w:t>BHC Act Affiliate</w:t>
      </w:r>
      <w:r>
        <w:rPr>
          <w:rFonts w:ascii="Times New Roman" w:hAnsi="Times New Roman"/>
          <w:sz w:val="24"/>
        </w:rPr>
        <w:t xml:space="preserve">” has the meaning assigned to the term “affiliate” in, and shall be interpreted in accordance with, 12 U.S.C. § 1841(k). </w:t>
      </w:r>
    </w:p>
    <w:p>
      <w:pPr>
        <w:pStyle w:val="TextBody"/>
        <w:bidi w:val="0"/>
        <w:spacing w:before="240" w:after="0"/>
        <w:jc w:val="left"/>
        <w:rPr/>
      </w:pPr>
      <w:r>
        <w:rPr/>
        <w:t>“</w:t>
      </w:r>
      <w:r>
        <w:rPr>
          <w:rFonts w:ascii="Times New Roman" w:hAnsi="Times New Roman"/>
          <w:sz w:val="24"/>
          <w:u w:val="single"/>
        </w:rPr>
        <w:t>Covered Entity</w:t>
      </w:r>
      <w:r>
        <w:rPr>
          <w:rFonts w:ascii="Times New Roman" w:hAnsi="Times New Roman"/>
          <w:sz w:val="24"/>
        </w:rPr>
        <w:t xml:space="preserve">”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509"/>
        <w:gridCol w:w="8882"/>
      </w:tblGrid>
      <w:tr>
        <w:trPr/>
        <w:tc>
          <w:tcPr>
            <w:tcW w:w="81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510"/>
        <w:gridCol w:w="8881"/>
      </w:tblGrid>
      <w:tr>
        <w:trPr/>
        <w:tc>
          <w:tcPr>
            <w:tcW w:w="81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511"/>
        <w:gridCol w:w="8879"/>
      </w:tblGrid>
      <w:tr>
        <w:trPr/>
        <w:tc>
          <w:tcPr>
            <w:tcW w:w="81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a “covered FSI” as that term is defined in, and interpreted in accordance with, 12 C.F.R. § 382.2(b). </w:t>
            </w:r>
          </w:p>
        </w:tc>
      </w:tr>
    </w:tbl>
    <w:p>
      <w:pPr>
        <w:pStyle w:val="TextBody"/>
        <w:bidi w:val="0"/>
        <w:spacing w:before="240" w:after="0"/>
        <w:jc w:val="left"/>
        <w:rPr/>
      </w:pPr>
      <w:r>
        <w:rPr/>
        <w:t>“</w:t>
      </w:r>
      <w:r>
        <w:rPr>
          <w:rFonts w:ascii="Times New Roman" w:hAnsi="Times New Roman"/>
          <w:sz w:val="24"/>
          <w:u w:val="single"/>
        </w:rPr>
        <w:t>Default Right</w:t>
      </w:r>
      <w:r>
        <w:rPr>
          <w:rFonts w:ascii="Times New Roman" w:hAnsi="Times New Roman"/>
          <w:sz w:val="24"/>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4"/>
          <w:u w:val="single"/>
        </w:rPr>
        <w:t>U.S. Special Resolution Regime</w:t>
      </w:r>
      <w:r>
        <w:rPr>
          <w:rFonts w:ascii="Times New Roman" w:hAnsi="Times New Roman"/>
          <w:sz w:val="24"/>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4"/>
        </w:rPr>
      </w:pPr>
      <w:r>
        <w:rPr>
          <w:rFonts w:ascii="Times New Roman" w:hAnsi="Times New Roman"/>
          <w:sz w:val="24"/>
        </w:rPr>
        <w:t>17. </w:t>
      </w:r>
      <w:r>
        <w:rPr>
          <w:rFonts w:ascii="Times New Roman" w:hAnsi="Times New Roman"/>
          <w:sz w:val="24"/>
          <w:u w:val="single"/>
        </w:rPr>
        <w:t>Execution of Assignments and Certain Other Documents</w:t>
      </w:r>
      <w:r>
        <w:rPr>
          <w:rFonts w:ascii="Times New Roman" w:hAnsi="Times New Roman"/>
          <w:sz w:val="24"/>
        </w:rPr>
        <w:t xml:space="preserve">. The words “execution,” “signed,” “signature,” “delivery,” and words of like import in or relating to this Agreement and any document to be signed in connection with this Agreement and the transactions contemplated hereby shall be deemed to include Electronic Signatures, deliveries or the keeping of records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electronic form, each of which shall be of the same legal effect, validity or enforceability as a manually executed signature, physical delivery thereof or the use of a paper-based recordkeeping system, as the case may be, to the extent and as provided for in any applicable law, the Federal Electronic Signatures in Global and National Commerce Act, the New York State Electronic Signatures and Records Act, or any other similar state laws based on the Uniform Electronic Transactions Act; </w:t>
      </w:r>
      <w:r>
        <w:rPr>
          <w:rFonts w:ascii="Times New Roman" w:hAnsi="Times New Roman"/>
          <w:i/>
          <w:sz w:val="24"/>
        </w:rPr>
        <w:t>provided</w:t>
      </w:r>
      <w:r>
        <w:rPr>
          <w:rFonts w:ascii="Times New Roman" w:hAnsi="Times New Roman"/>
          <w:sz w:val="24"/>
        </w:rPr>
        <w:t xml:space="preserve"> that, in respect of documents to be signed by entities established within the European Union, the Electronic Signature qualifies as a “qualified electronic signature” within the meaning of the Regulation (EU) n°910/2014 of the European parliament and of the Council of 23 July 2014 on electronic identification and trust services for electronic transaction in the internal market as amended from time to time. </w:t>
      </w:r>
    </w:p>
    <w:p>
      <w:pPr>
        <w:pStyle w:val="TextBody"/>
        <w:bidi w:val="0"/>
        <w:spacing w:before="240" w:after="0"/>
        <w:jc w:val="left"/>
        <w:rPr>
          <w:rFonts w:ascii="Times New Roman" w:hAnsi="Times New Roman"/>
          <w:sz w:val="24"/>
        </w:rPr>
      </w:pPr>
      <w:r>
        <w:rPr>
          <w:rFonts w:ascii="Times New Roman" w:hAnsi="Times New Roman"/>
          <w:sz w:val="24"/>
        </w:rPr>
        <w:t xml:space="preserve">For the purpose of this Section 17, “Electronic Signature” means any electronic symbol or process attached to, or associated with, a contract or other record and adopted by a person with the intent to sign, authenticate or accept such contract or record. </w:t>
      </w:r>
    </w:p>
    <w:p>
      <w:pPr>
        <w:pStyle w:val="TextBody"/>
        <w:bidi w:val="0"/>
        <w:spacing w:before="240" w:after="0"/>
        <w:jc w:val="center"/>
        <w:rPr>
          <w:rFonts w:ascii="Times New Roman" w:hAnsi="Times New Roman"/>
          <w:i/>
          <w:sz w:val="24"/>
        </w:rPr>
      </w:pPr>
      <w:r>
        <w:rPr>
          <w:rFonts w:ascii="Times New Roman" w:hAnsi="Times New Roman"/>
          <w:i/>
          <w:sz w:val="24"/>
        </w:rPr>
        <w:t xml:space="preserve">[Signature pages follow]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If the foregoing is in accordance with your understanding, please indicate your acceptance of this Agreement by signing in the space provided below. </w:t>
      </w:r>
    </w:p>
    <w:p>
      <w:pPr>
        <w:pStyle w:val="TextBody"/>
        <w:bidi w:val="0"/>
        <w:spacing w:before="240" w:after="0"/>
        <w:jc w:val="left"/>
        <w:rPr>
          <w:rFonts w:ascii="Times New Roman" w:hAnsi="Times New Roman"/>
          <w:sz w:val="24"/>
        </w:rPr>
      </w:pPr>
      <w:r>
        <w:rPr>
          <w:rFonts w:ascii="Times New Roman" w:hAnsi="Times New Roman"/>
          <w:sz w:val="24"/>
        </w:rPr>
        <w:t xml:space="preserve">Very truly yours, </w:t>
      </w:r>
    </w:p>
    <w:p>
      <w:pPr>
        <w:pStyle w:val="TextBody"/>
        <w:bidi w:val="0"/>
        <w:spacing w:before="0" w:after="0"/>
        <w:jc w:val="left"/>
        <w:rPr/>
      </w:pPr>
      <w:r>
        <w:rPr/>
        <w:t> </w:t>
      </w:r>
    </w:p>
    <w:tbl>
      <w:tblPr>
        <w:tblW w:w="2250" w:type="pct"/>
        <w:jc w:val="left"/>
        <w:tblInd w:w="0" w:type="dxa"/>
        <w:tblLayout w:type="fixed"/>
        <w:tblCellMar>
          <w:top w:w="0" w:type="dxa"/>
          <w:left w:w="0" w:type="dxa"/>
          <w:bottom w:w="0" w:type="dxa"/>
          <w:right w:w="0" w:type="dxa"/>
        </w:tblCellMar>
      </w:tblPr>
      <w:tblGrid>
        <w:gridCol w:w="606"/>
        <w:gridCol w:w="85"/>
        <w:gridCol w:w="3901"/>
      </w:tblGrid>
      <w:tr>
        <w:trPr/>
        <w:tc>
          <w:tcPr>
            <w:tcW w:w="606"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TR FINANCE LLC</w:t>
            </w:r>
          </w:p>
        </w:tc>
      </w:tr>
      <w:tr>
        <w:trPr>
          <w:trHeight w:val="240" w:hRule="atLeast"/>
        </w:trPr>
        <w:tc>
          <w:tcPr>
            <w:tcW w:w="606"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Erin C. Brown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Name: Erin C. Brown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Title: President</w:t>
            </w:r>
          </w:p>
        </w:tc>
      </w:tr>
      <w:tr>
        <w:trPr>
          <w:trHeight w:val="240" w:hRule="atLeast"/>
        </w:trPr>
        <w:tc>
          <w:tcPr>
            <w:tcW w:w="4592"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283"/>
              <w:jc w:val="left"/>
              <w:rPr/>
            </w:pPr>
            <w:r>
              <w:rPr/>
              <w:t>THOMSON REUTERS CORPORATION</w:t>
            </w:r>
          </w:p>
        </w:tc>
      </w:tr>
      <w:tr>
        <w:trPr>
          <w:trHeight w:val="240" w:hRule="atLeast"/>
        </w:trPr>
        <w:tc>
          <w:tcPr>
            <w:tcW w:w="606"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Chad MacLean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Name: Chad MacLean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Title: Treasurer</w:t>
            </w:r>
          </w:p>
        </w:tc>
      </w:tr>
      <w:tr>
        <w:trPr>
          <w:trHeight w:val="240" w:hRule="atLeast"/>
        </w:trPr>
        <w:tc>
          <w:tcPr>
            <w:tcW w:w="606"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Kathryn Ouellette</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Name: Kathryn Ouellette</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Title: Assistant Secretary</w:t>
            </w:r>
          </w:p>
        </w:tc>
      </w:tr>
      <w:tr>
        <w:trPr>
          <w:trHeight w:val="240" w:hRule="atLeast"/>
        </w:trPr>
        <w:tc>
          <w:tcPr>
            <w:tcW w:w="4592"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283"/>
              <w:jc w:val="left"/>
              <w:rPr/>
            </w:pPr>
            <w:r>
              <w:rPr/>
              <w:t>THOMSON REUTERS APPLICATIONS INC.</w:t>
            </w:r>
          </w:p>
        </w:tc>
      </w:tr>
      <w:tr>
        <w:trPr>
          <w:trHeight w:val="240" w:hRule="atLeast"/>
        </w:trPr>
        <w:tc>
          <w:tcPr>
            <w:tcW w:w="606"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Ragunath Ramanathan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Name: Ragunath Ramanathan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Title: President</w:t>
            </w:r>
          </w:p>
        </w:tc>
      </w:tr>
      <w:tr>
        <w:trPr>
          <w:trHeight w:val="240" w:hRule="atLeast"/>
        </w:trPr>
        <w:tc>
          <w:tcPr>
            <w:tcW w:w="4592"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283"/>
              <w:jc w:val="left"/>
              <w:rPr/>
            </w:pPr>
            <w:r>
              <w:rPr/>
              <w:t>THOMSON REUTERS (TAX &amp; ACCOUNTING) INC.</w:t>
            </w:r>
          </w:p>
        </w:tc>
      </w:tr>
      <w:tr>
        <w:trPr>
          <w:trHeight w:val="240" w:hRule="atLeast"/>
        </w:trPr>
        <w:tc>
          <w:tcPr>
            <w:tcW w:w="606"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Elizabeth Beastrom</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Name: Elizabeth Beastrom</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Title: President</w:t>
            </w:r>
          </w:p>
        </w:tc>
      </w:tr>
      <w:tr>
        <w:trPr>
          <w:trHeight w:val="240" w:hRule="atLeast"/>
        </w:trPr>
        <w:tc>
          <w:tcPr>
            <w:tcW w:w="4592"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283"/>
              <w:jc w:val="left"/>
              <w:rPr/>
            </w:pPr>
            <w:r>
              <w:rPr/>
              <w:t>WEST PUBLISHING CORPORATION</w:t>
            </w:r>
          </w:p>
        </w:tc>
      </w:tr>
      <w:tr>
        <w:trPr>
          <w:trHeight w:val="240" w:hRule="atLeast"/>
        </w:trPr>
        <w:tc>
          <w:tcPr>
            <w:tcW w:w="606" w:type="dxa"/>
            <w:tcBorders/>
            <w:vAlign w:val="center"/>
          </w:tcPr>
          <w:p>
            <w:pPr>
              <w:pStyle w:val="TableContents"/>
              <w:bidi w:val="0"/>
              <w:spacing w:before="0" w:after="283"/>
              <w:jc w:val="left"/>
              <w:rPr>
                <w:sz w:val="4"/>
                <w:szCs w:val="4"/>
              </w:rPr>
            </w:pPr>
            <w:r>
              <w:rPr>
                <w:sz w:val="4"/>
                <w:szCs w:val="4"/>
              </w:rPr>
            </w:r>
          </w:p>
        </w:tc>
        <w:tc>
          <w:tcPr>
            <w:tcW w:w="3986"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Ragunath Ramanathan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Name: Ragunath Ramanathan</w:t>
            </w:r>
          </w:p>
        </w:tc>
      </w:tr>
      <w:tr>
        <w:trPr/>
        <w:tc>
          <w:tcPr>
            <w:tcW w:w="606"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901" w:type="dxa"/>
            <w:tcBorders/>
          </w:tcPr>
          <w:p>
            <w:pPr>
              <w:pStyle w:val="TableContents"/>
              <w:bidi w:val="0"/>
              <w:spacing w:before="0" w:after="0"/>
              <w:jc w:val="left"/>
              <w:rPr>
                <w:rFonts w:ascii="Times New Roman" w:hAnsi="Times New Roman"/>
                <w:sz w:val="24"/>
              </w:rPr>
            </w:pPr>
            <w:r>
              <w:rPr>
                <w:rFonts w:ascii="Times New Roman" w:hAnsi="Times New Roman"/>
                <w:sz w:val="24"/>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Accepted, on behalf of itself and as a Representative of the several Underwriters,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47"/>
        <w:gridCol w:w="60"/>
        <w:gridCol w:w="3575"/>
      </w:tblGrid>
      <w:tr>
        <w:trPr/>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RBC CAPITAL MARKETS, LLC</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2"/>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75"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Scott Primrose</w:t>
            </w:r>
          </w:p>
        </w:tc>
      </w:tr>
      <w:tr>
        <w:trPr/>
        <w:tc>
          <w:tcPr>
            <w:tcW w:w="4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0"/>
              <w:jc w:val="left"/>
              <w:rPr>
                <w:rFonts w:ascii="Times New Roman" w:hAnsi="Times New Roman"/>
                <w:sz w:val="24"/>
              </w:rPr>
            </w:pPr>
            <w:r>
              <w:rPr>
                <w:rFonts w:ascii="Times New Roman" w:hAnsi="Times New Roman"/>
                <w:sz w:val="24"/>
              </w:rPr>
              <w:t>Name: Scott Primrose</w:t>
            </w:r>
          </w:p>
        </w:tc>
      </w:tr>
      <w:tr>
        <w:trPr/>
        <w:tc>
          <w:tcPr>
            <w:tcW w:w="4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0"/>
              <w:jc w:val="left"/>
              <w:rPr>
                <w:rFonts w:ascii="Times New Roman" w:hAnsi="Times New Roman"/>
                <w:sz w:val="24"/>
              </w:rPr>
            </w:pPr>
            <w:r>
              <w:rPr>
                <w:rFonts w:ascii="Times New Roman" w:hAnsi="Times New Roman"/>
                <w:sz w:val="24"/>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Accepted, on behalf of itself and as a Representative of the several Underwriters,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7"/>
        <w:gridCol w:w="60"/>
        <w:gridCol w:w="3555"/>
      </w:tblGrid>
      <w:tr>
        <w:trPr/>
        <w:tc>
          <w:tcPr>
            <w:tcW w:w="4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BOFA SECURITIES, INC.</w:t>
            </w:r>
          </w:p>
        </w:tc>
      </w:tr>
      <w:tr>
        <w:trPr>
          <w:trHeight w:val="240" w:hRule="atLeast"/>
        </w:trPr>
        <w:tc>
          <w:tcPr>
            <w:tcW w:w="467" w:type="dxa"/>
            <w:tcBorders/>
            <w:vAlign w:val="center"/>
          </w:tcPr>
          <w:p>
            <w:pPr>
              <w:pStyle w:val="TableContents"/>
              <w:bidi w:val="0"/>
              <w:spacing w:before="0" w:after="283"/>
              <w:jc w:val="left"/>
              <w:rPr>
                <w:sz w:val="4"/>
                <w:szCs w:val="4"/>
              </w:rPr>
            </w:pPr>
            <w:r>
              <w:rPr>
                <w:sz w:val="4"/>
                <w:szCs w:val="4"/>
              </w:rPr>
            </w:r>
          </w:p>
        </w:tc>
        <w:tc>
          <w:tcPr>
            <w:tcW w:w="3615" w:type="dxa"/>
            <w:gridSpan w:val="2"/>
            <w:tcBorders/>
            <w:vAlign w:val="center"/>
          </w:tcPr>
          <w:p>
            <w:pPr>
              <w:pStyle w:val="TableContents"/>
              <w:bidi w:val="0"/>
              <w:spacing w:before="0" w:after="283"/>
              <w:jc w:val="left"/>
              <w:rPr>
                <w:sz w:val="4"/>
                <w:szCs w:val="4"/>
              </w:rPr>
            </w:pPr>
            <w:r>
              <w:rPr>
                <w:sz w:val="4"/>
                <w:szCs w:val="4"/>
              </w:rPr>
            </w:r>
          </w:p>
        </w:tc>
      </w:tr>
      <w:tr>
        <w:trPr/>
        <w:tc>
          <w:tcPr>
            <w:tcW w:w="467"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55"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Shawn Cepeda</w:t>
            </w:r>
          </w:p>
        </w:tc>
      </w:tr>
      <w:tr>
        <w:trPr/>
        <w:tc>
          <w:tcPr>
            <w:tcW w:w="4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5" w:type="dxa"/>
            <w:tcBorders/>
          </w:tcPr>
          <w:p>
            <w:pPr>
              <w:pStyle w:val="TableContents"/>
              <w:bidi w:val="0"/>
              <w:spacing w:before="0" w:after="0"/>
              <w:jc w:val="left"/>
              <w:rPr>
                <w:rFonts w:ascii="Times New Roman" w:hAnsi="Times New Roman"/>
                <w:sz w:val="24"/>
              </w:rPr>
            </w:pPr>
            <w:r>
              <w:rPr>
                <w:rFonts w:ascii="Times New Roman" w:hAnsi="Times New Roman"/>
                <w:sz w:val="24"/>
              </w:rPr>
              <w:t>Name: Shawn Cepeda</w:t>
            </w:r>
          </w:p>
        </w:tc>
      </w:tr>
      <w:tr>
        <w:trPr/>
        <w:tc>
          <w:tcPr>
            <w:tcW w:w="4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5" w:type="dxa"/>
            <w:tcBorders/>
          </w:tcPr>
          <w:p>
            <w:pPr>
              <w:pStyle w:val="TableContents"/>
              <w:bidi w:val="0"/>
              <w:spacing w:before="0" w:after="0"/>
              <w:jc w:val="left"/>
              <w:rPr>
                <w:rFonts w:ascii="Times New Roman" w:hAnsi="Times New Roman"/>
                <w:sz w:val="24"/>
              </w:rPr>
            </w:pPr>
            <w:r>
              <w:rPr>
                <w:rFonts w:ascii="Times New Roman" w:hAnsi="Times New Roman"/>
                <w:sz w:val="24"/>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Accepted, on behalf of itself and as a Representative of the several Underwriters,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9"/>
        <w:gridCol w:w="60"/>
        <w:gridCol w:w="3553"/>
      </w:tblGrid>
      <w:tr>
        <w:trPr/>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BARCLAYS CAPITAL INC.</w:t>
            </w:r>
          </w:p>
        </w:tc>
      </w:tr>
      <w:tr>
        <w:trPr>
          <w:trHeight w:val="240" w:hRule="atLeast"/>
        </w:trPr>
        <w:tc>
          <w:tcPr>
            <w:tcW w:w="469" w:type="dxa"/>
            <w:tcBorders/>
            <w:vAlign w:val="center"/>
          </w:tcPr>
          <w:p>
            <w:pPr>
              <w:pStyle w:val="TableContents"/>
              <w:bidi w:val="0"/>
              <w:spacing w:before="0" w:after="283"/>
              <w:jc w:val="left"/>
              <w:rPr>
                <w:sz w:val="4"/>
                <w:szCs w:val="4"/>
              </w:rPr>
            </w:pPr>
            <w:r>
              <w:rPr>
                <w:sz w:val="4"/>
                <w:szCs w:val="4"/>
              </w:rPr>
            </w:r>
          </w:p>
        </w:tc>
        <w:tc>
          <w:tcPr>
            <w:tcW w:w="3613" w:type="dxa"/>
            <w:gridSpan w:val="2"/>
            <w:tcBorders/>
            <w:vAlign w:val="center"/>
          </w:tcPr>
          <w:p>
            <w:pPr>
              <w:pStyle w:val="TableContents"/>
              <w:bidi w:val="0"/>
              <w:spacing w:before="0" w:after="283"/>
              <w:jc w:val="left"/>
              <w:rPr>
                <w:sz w:val="4"/>
                <w:szCs w:val="4"/>
              </w:rPr>
            </w:pPr>
            <w:r>
              <w:rPr>
                <w:sz w:val="4"/>
                <w:szCs w:val="4"/>
              </w:rPr>
            </w:r>
          </w:p>
        </w:tc>
      </w:tr>
      <w:tr>
        <w:trPr/>
        <w:tc>
          <w:tcPr>
            <w:tcW w:w="469"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53"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Matt Gannon</w:t>
            </w:r>
          </w:p>
        </w:tc>
      </w:tr>
      <w:tr>
        <w:trPr/>
        <w:tc>
          <w:tcPr>
            <w:tcW w:w="4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3" w:type="dxa"/>
            <w:tcBorders/>
          </w:tcPr>
          <w:p>
            <w:pPr>
              <w:pStyle w:val="TableContents"/>
              <w:bidi w:val="0"/>
              <w:spacing w:before="0" w:after="0"/>
              <w:jc w:val="left"/>
              <w:rPr>
                <w:rFonts w:ascii="Times New Roman" w:hAnsi="Times New Roman"/>
                <w:sz w:val="24"/>
              </w:rPr>
            </w:pPr>
            <w:r>
              <w:rPr>
                <w:rFonts w:ascii="Times New Roman" w:hAnsi="Times New Roman"/>
                <w:sz w:val="24"/>
              </w:rPr>
              <w:t>Name: Matt Gannon</w:t>
            </w:r>
          </w:p>
        </w:tc>
      </w:tr>
      <w:tr>
        <w:trPr/>
        <w:tc>
          <w:tcPr>
            <w:tcW w:w="4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3" w:type="dxa"/>
            <w:tcBorders/>
          </w:tcPr>
          <w:p>
            <w:pPr>
              <w:pStyle w:val="TableContents"/>
              <w:bidi w:val="0"/>
              <w:spacing w:before="0" w:after="0"/>
              <w:jc w:val="left"/>
              <w:rPr>
                <w:rFonts w:ascii="Times New Roman" w:hAnsi="Times New Roman"/>
                <w:sz w:val="24"/>
              </w:rPr>
            </w:pPr>
            <w:r>
              <w:rPr>
                <w:rFonts w:ascii="Times New Roman" w:hAnsi="Times New Roman"/>
                <w:sz w:val="24"/>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4"/>
        </w:rPr>
      </w:pPr>
      <w:r>
        <w:rPr>
          <w:rFonts w:ascii="Times New Roman" w:hAnsi="Times New Roman"/>
          <w:sz w:val="24"/>
        </w:rPr>
        <w:t xml:space="preserve">Accepted, on behalf of itself and as a Representative of the several Underwriters,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8"/>
        <w:gridCol w:w="60"/>
        <w:gridCol w:w="3554"/>
      </w:tblGrid>
      <w:tr>
        <w:trPr/>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4"/>
              </w:rPr>
            </w:pPr>
            <w:r>
              <w:rPr>
                <w:rFonts w:ascii="Times New Roman" w:hAnsi="Times New Roman"/>
                <w:sz w:val="24"/>
              </w:rPr>
              <w:t>MIZUHO SECURITIES USA LLC</w:t>
            </w:r>
          </w:p>
        </w:tc>
      </w:tr>
      <w:tr>
        <w:trPr>
          <w:trHeight w:val="240" w:hRule="atLeast"/>
        </w:trPr>
        <w:tc>
          <w:tcPr>
            <w:tcW w:w="468" w:type="dxa"/>
            <w:tcBorders/>
            <w:vAlign w:val="center"/>
          </w:tcPr>
          <w:p>
            <w:pPr>
              <w:pStyle w:val="TableContents"/>
              <w:bidi w:val="0"/>
              <w:spacing w:before="0" w:after="283"/>
              <w:jc w:val="left"/>
              <w:rPr>
                <w:sz w:val="4"/>
                <w:szCs w:val="4"/>
              </w:rPr>
            </w:pPr>
            <w:r>
              <w:rPr>
                <w:sz w:val="4"/>
                <w:szCs w:val="4"/>
              </w:rPr>
            </w:r>
          </w:p>
        </w:tc>
        <w:tc>
          <w:tcPr>
            <w:tcW w:w="3614" w:type="dxa"/>
            <w:gridSpan w:val="2"/>
            <w:tcBorders/>
            <w:vAlign w:val="center"/>
          </w:tcPr>
          <w:p>
            <w:pPr>
              <w:pStyle w:val="TableContents"/>
              <w:bidi w:val="0"/>
              <w:spacing w:before="0" w:after="283"/>
              <w:jc w:val="left"/>
              <w:rPr>
                <w:sz w:val="4"/>
                <w:szCs w:val="4"/>
              </w:rPr>
            </w:pPr>
            <w:r>
              <w:rPr>
                <w:sz w:val="4"/>
                <w:szCs w:val="4"/>
              </w:rPr>
            </w:r>
          </w:p>
        </w:tc>
      </w:tr>
      <w:tr>
        <w:trPr/>
        <w:tc>
          <w:tcPr>
            <w:tcW w:w="468" w:type="dxa"/>
            <w:tcBorders/>
          </w:tcPr>
          <w:p>
            <w:pPr>
              <w:pStyle w:val="TableContents"/>
              <w:bidi w:val="0"/>
              <w:spacing w:before="0" w:after="0"/>
              <w:jc w:val="left"/>
              <w:rPr>
                <w:rFonts w:ascii="Times New Roman" w:hAnsi="Times New Roman"/>
                <w:sz w:val="24"/>
              </w:rPr>
            </w:pPr>
            <w:r>
              <w:rPr>
                <w:rFonts w:ascii="Times New Roman" w:hAnsi="Times New Roman"/>
                <w:sz w:val="24"/>
              </w:rPr>
              <w:t>By:</w:t>
            </w:r>
          </w:p>
        </w:tc>
        <w:tc>
          <w:tcPr>
            <w:tcW w:w="60" w:type="dxa"/>
            <w:tcBorders/>
            <w:vAlign w:val="bottom"/>
          </w:tcPr>
          <w:p>
            <w:pPr>
              <w:pStyle w:val="TableContents"/>
              <w:bidi w:val="0"/>
              <w:spacing w:before="0" w:after="283"/>
              <w:jc w:val="left"/>
              <w:rPr/>
            </w:pPr>
            <w:r>
              <w:rPr/>
              <w:t> </w:t>
            </w:r>
          </w:p>
        </w:tc>
        <w:tc>
          <w:tcPr>
            <w:tcW w:w="3554" w:type="dxa"/>
            <w:tcBorders/>
          </w:tcPr>
          <w:p>
            <w:pPr>
              <w:pStyle w:val="TableContents"/>
              <w:pBdr>
                <w:bottom w:val="single" w:sz="2" w:space="1" w:color="000000"/>
              </w:pBdr>
              <w:bidi w:val="0"/>
              <w:spacing w:before="0" w:after="20"/>
              <w:jc w:val="left"/>
              <w:rPr>
                <w:rFonts w:ascii="Times New Roman" w:hAnsi="Times New Roman"/>
                <w:sz w:val="24"/>
              </w:rPr>
            </w:pPr>
            <w:r>
              <w:rPr>
                <w:rFonts w:ascii="Times New Roman" w:hAnsi="Times New Roman"/>
                <w:sz w:val="24"/>
              </w:rPr>
              <w:t>/s/ Robert Fahrbach</w:t>
            </w:r>
          </w:p>
        </w:tc>
      </w:tr>
      <w:tr>
        <w:trPr/>
        <w:tc>
          <w:tcPr>
            <w:tcW w:w="4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4" w:type="dxa"/>
            <w:tcBorders/>
          </w:tcPr>
          <w:p>
            <w:pPr>
              <w:pStyle w:val="TableContents"/>
              <w:bidi w:val="0"/>
              <w:spacing w:before="0" w:after="0"/>
              <w:jc w:val="left"/>
              <w:rPr>
                <w:rFonts w:ascii="Times New Roman" w:hAnsi="Times New Roman"/>
                <w:sz w:val="24"/>
              </w:rPr>
            </w:pPr>
            <w:r>
              <w:rPr>
                <w:rFonts w:ascii="Times New Roman" w:hAnsi="Times New Roman"/>
                <w:sz w:val="24"/>
              </w:rPr>
              <w:t>Name: Robert Fahrbach</w:t>
            </w:r>
          </w:p>
        </w:tc>
      </w:tr>
      <w:tr>
        <w:trPr/>
        <w:tc>
          <w:tcPr>
            <w:tcW w:w="4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4" w:type="dxa"/>
            <w:tcBorders/>
          </w:tcPr>
          <w:p>
            <w:pPr>
              <w:pStyle w:val="TableContents"/>
              <w:bidi w:val="0"/>
              <w:spacing w:before="0" w:after="0"/>
              <w:jc w:val="left"/>
              <w:rPr>
                <w:rFonts w:ascii="Times New Roman" w:hAnsi="Times New Roman"/>
                <w:sz w:val="24"/>
              </w:rPr>
            </w:pPr>
            <w:r>
              <w:rPr>
                <w:rFonts w:ascii="Times New Roman" w:hAnsi="Times New Roman"/>
                <w:sz w:val="24"/>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ANNEX A </w:t>
      </w:r>
    </w:p>
    <w:p>
      <w:pPr>
        <w:pStyle w:val="TextBody"/>
        <w:bidi w:val="0"/>
        <w:spacing w:before="240" w:after="0"/>
        <w:jc w:val="center"/>
        <w:rPr>
          <w:rFonts w:ascii="Times New Roman" w:hAnsi="Times New Roman"/>
          <w:sz w:val="24"/>
        </w:rPr>
      </w:pPr>
      <w:r>
        <w:rPr>
          <w:rFonts w:ascii="Times New Roman" w:hAnsi="Times New Roman"/>
          <w:sz w:val="24"/>
          <w:u w:val="single"/>
        </w:rPr>
        <w:t>Time of Sale Information</w:t>
      </w:r>
      <w:r>
        <w:rPr>
          <w:rFonts w:ascii="Times New Roman" w:hAnsi="Times New Roman"/>
          <w:sz w:val="24"/>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406"/>
        <w:gridCol w:w="9394"/>
      </w:tblGrid>
      <w:tr>
        <w:trPr/>
        <w:tc>
          <w:tcPr>
            <w:tcW w:w="4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9394"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Term sheet containing the terms of the Securities, substantially in the form set forth on </w:t>
            </w:r>
            <w:r>
              <w:rPr>
                <w:rFonts w:ascii="Times New Roman" w:hAnsi="Times New Roman"/>
                <w:sz w:val="24"/>
                <w:u w:val="single"/>
              </w:rPr>
              <w:t>Annex B</w:t>
            </w:r>
            <w:r>
              <w:rPr>
                <w:rFonts w:ascii="Times New Roman" w:hAnsi="Times New Roman"/>
                <w:sz w:val="24"/>
              </w:rPr>
              <w:t xml:space="preserve"> hereto.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ANNEX B </w:t>
      </w:r>
    </w:p>
    <w:p>
      <w:pPr>
        <w:pStyle w:val="TextBody"/>
        <w:bidi w:val="0"/>
        <w:spacing w:before="24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File Nos. 333-285907 and 333-285927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September 10,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September 10, 2026 </w:t>
      </w:r>
    </w:p>
    <w:p>
      <w:pPr>
        <w:pStyle w:val="TextBody"/>
        <w:bidi w:val="0"/>
        <w:spacing w:before="240" w:after="0"/>
        <w:jc w:val="center"/>
        <w:rPr>
          <w:rFonts w:ascii="Times New Roman" w:hAnsi="Times New Roman"/>
          <w:b/>
          <w:sz w:val="20"/>
        </w:rPr>
      </w:pPr>
      <w:r>
        <w:rPr>
          <w:rFonts w:ascii="Times New Roman" w:hAnsi="Times New Roman"/>
          <w:b/>
          <w:sz w:val="20"/>
        </w:rPr>
        <w:t xml:space="preserve">TR Finance LLC </w:t>
      </w:r>
    </w:p>
    <w:p>
      <w:pPr>
        <w:pStyle w:val="TextBody"/>
        <w:bidi w:val="0"/>
        <w:spacing w:before="0" w:after="0"/>
        <w:jc w:val="center"/>
        <w:rPr>
          <w:rFonts w:ascii="Times New Roman" w:hAnsi="Times New Roman"/>
          <w:b/>
          <w:sz w:val="20"/>
        </w:rPr>
      </w:pPr>
      <w:r>
        <w:rPr>
          <w:rFonts w:ascii="Times New Roman" w:hAnsi="Times New Roman"/>
          <w:b/>
          <w:sz w:val="20"/>
        </w:rPr>
        <w:t xml:space="preserve">US$800,000,000 5.100% Notes due 2028 </w:t>
      </w:r>
    </w:p>
    <w:p>
      <w:pPr>
        <w:pStyle w:val="TextBody"/>
        <w:bidi w:val="0"/>
        <w:spacing w:before="0" w:after="0"/>
        <w:jc w:val="center"/>
        <w:rPr>
          <w:rFonts w:ascii="Times New Roman" w:hAnsi="Times New Roman"/>
          <w:b/>
          <w:sz w:val="20"/>
        </w:rPr>
      </w:pPr>
      <w:r>
        <w:rPr>
          <w:rFonts w:ascii="Times New Roman" w:hAnsi="Times New Roman"/>
          <w:b/>
          <w:sz w:val="20"/>
        </w:rPr>
        <w:t xml:space="preserve">US$500,000,000 5.750% Notes due 2033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September 10,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0"/>
        <w:gridCol w:w="120"/>
        <w:gridCol w:w="8395"/>
      </w:tblGrid>
      <w:tr>
        <w:trPr/>
        <w:tc>
          <w:tcPr>
            <w:tcW w:w="16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95" w:type="dxa"/>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TR Finance LLC (“</w:t>
            </w:r>
            <w:r>
              <w:rPr>
                <w:b/>
              </w:rPr>
              <w:t>TR Finance</w:t>
            </w:r>
            <w:r>
              <w:rPr/>
              <w:t>”)</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Guarantors:</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Thomson Reuters Corporation (“</w:t>
            </w:r>
            <w:r>
              <w:rPr>
                <w:rFonts w:ascii="Times New Roman" w:hAnsi="Times New Roman"/>
                <w:b/>
                <w:sz w:val="20"/>
              </w:rPr>
              <w:t>TRC</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West Publishing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Thomson Reuters Applications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Thomson Reuters (Tax &amp; Accounting) Inc.</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Issues:</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US$800,000,000 principal amount of 5.100% Notes due 2028 (the “</w:t>
            </w:r>
            <w:r>
              <w:rPr>
                <w:rFonts w:ascii="Times New Roman" w:hAnsi="Times New Roman"/>
                <w:b/>
                <w:sz w:val="20"/>
              </w:rPr>
              <w:t>2028 Notes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US$500,000,000 principal amount of 5.750% Notes due 2033 (the “</w:t>
            </w:r>
            <w:r>
              <w:rPr>
                <w:rFonts w:ascii="Times New Roman" w:hAnsi="Times New Roman"/>
                <w:b/>
                <w:sz w:val="20"/>
              </w:rPr>
              <w:t>2033 Notes</w:t>
            </w:r>
            <w:r>
              <w:rPr>
                <w:rFonts w:ascii="Times New Roman" w:hAnsi="Times New Roman"/>
                <w:sz w:val="20"/>
              </w:rPr>
              <w:t>” and, together with the 2028 Notes, the “</w:t>
            </w:r>
            <w:r>
              <w:rPr>
                <w:rFonts w:ascii="Times New Roman" w:hAnsi="Times New Roman"/>
                <w:b/>
                <w:sz w:val="20"/>
              </w:rPr>
              <w:t>Notes</w:t>
            </w:r>
            <w:r>
              <w:rPr>
                <w:rFonts w:ascii="Times New Roman" w:hAnsi="Times New Roman"/>
                <w:sz w:val="20"/>
              </w:rPr>
              <w:t>”)</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Offering:</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SEC Registered</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Expected Issue Ratings*:</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[Redacted]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[Redacted]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[Redacted]</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Pricing Date:</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September 10, 2026</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Settlement Date**:</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September 17, 2026 (T+5)</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September 15, 2028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2033 Notes: September 15, 2033</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Offering Price:</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99.989%, plus accrued interest, if any, from September 17, 2026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2033 Notes: 99.756%, plus accrued interest, if any, from September 17, 2026</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5.106%</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2033 Notes: 5.793%</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+55 basis points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2033 Notes: +95 basis points</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2028 Notes: 4.125% due August 31, 2028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2033 Notes: 4.500% due August 31, 2033</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drawing>
                <wp:inline distT="0" distB="0" distL="0" distR="0">
                  <wp:extent cx="16764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571500"/>
                          </a:xfrm>
                          <a:prstGeom prst="rect">
                            <a:avLst/>
                          </a:prstGeom>
                        </pic:spPr>
                      </pic:pic>
                    </a:graphicData>
                  </a:graphic>
                </wp:inline>
              </w:drawing>
            </w:r>
            <w:r>
              <w:rPr/>
              <w:t xml:space="preserve"> </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Interest Payment Dates for each Series:</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March 15 and September 15, commencing March 15, 2027</w:t>
            </w:r>
          </w:p>
        </w:tc>
      </w:tr>
      <w:tr>
        <w:trPr>
          <w:trHeight w:val="120" w:hRule="atLeast"/>
        </w:trPr>
        <w:tc>
          <w:tcPr>
            <w:tcW w:w="1690" w:type="dxa"/>
            <w:tcBorders/>
            <w:vAlign w:val="center"/>
          </w:tcPr>
          <w:p>
            <w:pPr>
              <w:pStyle w:val="TableContents"/>
              <w:bidi w:val="0"/>
              <w:spacing w:before="0" w:after="283"/>
              <w:jc w:val="left"/>
              <w:rPr>
                <w:sz w:val="4"/>
                <w:szCs w:val="4"/>
              </w:rPr>
            </w:pPr>
            <w:r>
              <w:rPr>
                <w:sz w:val="4"/>
                <w:szCs w:val="4"/>
              </w:rPr>
            </w:r>
          </w:p>
        </w:tc>
        <w:tc>
          <w:tcPr>
            <w:tcW w:w="8515" w:type="dxa"/>
            <w:gridSpan w:val="2"/>
            <w:tcBorders/>
            <w:vAlign w:val="center"/>
          </w:tcPr>
          <w:p>
            <w:pPr>
              <w:pStyle w:val="TableContents"/>
              <w:bidi w:val="0"/>
              <w:spacing w:before="0" w:after="283"/>
              <w:jc w:val="left"/>
              <w:rPr>
                <w:sz w:val="4"/>
                <w:szCs w:val="4"/>
              </w:rPr>
            </w:pPr>
            <w:r>
              <w:rPr>
                <w:sz w:val="4"/>
                <w:szCs w:val="4"/>
              </w:rPr>
            </w:r>
          </w:p>
        </w:tc>
      </w:tr>
      <w:tr>
        <w:trPr/>
        <w:tc>
          <w:tcPr>
            <w:tcW w:w="1690"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2028 Notes: Prior to the maturity date, TR Finance may, at its option, redeem the 2028 Notes, in whole at any time or in part from time to time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on a semi-annual basis (assuming a 360-day year consisting of twelve 30-day months) at the Treasury Rate plus 10 basis points less (b) interest accrued to the date of redemption, and (ii) 100% of the principal amount of the 2028 Notes to be redeemed, together in each case with accrued and unpaid interest to the date fixed for redemption.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54"/>
        <w:gridCol w:w="120"/>
        <w:gridCol w:w="8331"/>
      </w:tblGrid>
      <w:tr>
        <w:trPr/>
        <w:tc>
          <w:tcPr>
            <w:tcW w:w="17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31" w:type="dxa"/>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283"/>
              <w:jc w:val="left"/>
              <w:rPr/>
            </w:pPr>
            <w:r>
              <w:rPr/>
              <w:t>2033 Notes: Prior to July 15, 2033 (two months prior to the maturity date) (the “</w:t>
            </w:r>
            <w:r>
              <w:rPr>
                <w:b/>
              </w:rPr>
              <w:t>Par Call Date</w:t>
            </w:r>
            <w:r>
              <w:rPr/>
              <w:t>”), TR Finance may, at its option, redeem the 2033 Notes, in whole at any time or in part from time to time at a redemption price (expressed as a percentage of principal amount and rounded to three decimal places) which is equal to the greater of (i) (a) the sum of the present values, as calculated by TR Finance, of the remaining scheduled payments of principal and interest thereon discounted to the redemption date (assuming the 2033 Notes matured on the Par Call Date) on a semi-annual basis (assuming a 360-day year consisting of twelve 30-day months) at the Treasury Rate plus 15 basis points less (b) interest accrued to the date of redemption, and (ii) 100% of the principal amount of the 2033 Notes to be redeemed, together in each case with accrued and unpaid interest to the date fixed for redemption. On or after the Par Call Date, TR Finance may, at its option, redeem the 2033 Notes, in whole or in part at a redemption price which is equal to 100% of the principal amount of the 2033 Notes outstanding, plus accrued and unpaid interest to the date fixed for redemption.</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8451" w:type="dxa"/>
            <w:gridSpan w:val="2"/>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b/>
              </w:rPr>
            </w:pPr>
            <w:r>
              <w:rPr>
                <w:b/>
              </w:rPr>
              <w:t>Use of Proceeds:</w:t>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283"/>
              <w:jc w:val="left"/>
              <w:rPr/>
            </w:pPr>
            <w:r>
              <w:rPr/>
              <w:t>The net proceeds from the sale of the Notes, together with the net proceeds of the Canadian Notes (as defined below), will be used for general corporate purposes, including, without limitation, to repay indebtedness under our commercial paper program (under which TR Finance and TRC are both issuers), which was previously incurred to fund working capital needs in the ordinary course.</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8451" w:type="dxa"/>
            <w:gridSpan w:val="2"/>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b/>
              </w:rPr>
            </w:pPr>
            <w:r>
              <w:rPr>
                <w:b/>
              </w:rPr>
              <w:t>CUSIP/ISIN:</w:t>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0"/>
              <w:jc w:val="left"/>
              <w:rPr>
                <w:rFonts w:ascii="Times New Roman" w:hAnsi="Times New Roman"/>
                <w:sz w:val="20"/>
              </w:rPr>
            </w:pPr>
            <w:r>
              <w:rPr>
                <w:rFonts w:ascii="Times New Roman" w:hAnsi="Times New Roman"/>
                <w:sz w:val="20"/>
              </w:rPr>
              <w:t>2028 Notes: 87268LAF4 / US87268LAF40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2033 Notes: 87268LAG2 / US87268LAG23</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8451" w:type="dxa"/>
            <w:gridSpan w:val="2"/>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b/>
              </w:rPr>
            </w:pPr>
            <w:r>
              <w:rPr>
                <w:b/>
              </w:rPr>
              <w:t>Denomination:</w:t>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283"/>
              <w:jc w:val="left"/>
              <w:rPr/>
            </w:pPr>
            <w:r>
              <w:rPr/>
              <w:t>The Notes will be issued in minimum denominations of US$2,000 and integral multiples of US$1,000 in excess thereof.</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8451" w:type="dxa"/>
            <w:gridSpan w:val="2"/>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b/>
              </w:rPr>
            </w:pPr>
            <w:r>
              <w:rPr>
                <w:b/>
              </w:rPr>
              <w:t>No PRIIPS KID or DISC Disclosure Document:</w:t>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283"/>
              <w:jc w:val="left"/>
              <w:rPr/>
            </w:pPr>
            <w:r>
              <w:rPr/>
              <w:t>Not for retail investors in the EEA or the United Kingdom. No PRIIPS key information document (KID) or DISC disclosure document has been prepared as not available to retail in EEA or the United Kingdom.</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8451" w:type="dxa"/>
            <w:gridSpan w:val="2"/>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b/>
              </w:rPr>
            </w:pPr>
            <w:r>
              <w:rPr>
                <w:b/>
              </w:rPr>
              <w:t>Joint Book-Running Managers***:</w:t>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Mizuho Securities USA LLC</w:t>
            </w:r>
          </w:p>
        </w:tc>
      </w:tr>
      <w:tr>
        <w:trPr>
          <w:trHeight w:val="120" w:hRule="atLeast"/>
        </w:trPr>
        <w:tc>
          <w:tcPr>
            <w:tcW w:w="1754" w:type="dxa"/>
            <w:tcBorders/>
            <w:vAlign w:val="center"/>
          </w:tcPr>
          <w:p>
            <w:pPr>
              <w:pStyle w:val="TableContents"/>
              <w:bidi w:val="0"/>
              <w:spacing w:before="0" w:after="283"/>
              <w:jc w:val="left"/>
              <w:rPr>
                <w:sz w:val="4"/>
                <w:szCs w:val="4"/>
              </w:rPr>
            </w:pPr>
            <w:r>
              <w:rPr>
                <w:sz w:val="4"/>
                <w:szCs w:val="4"/>
              </w:rPr>
            </w:r>
          </w:p>
        </w:tc>
        <w:tc>
          <w:tcPr>
            <w:tcW w:w="8451" w:type="dxa"/>
            <w:gridSpan w:val="2"/>
            <w:tcBorders/>
            <w:vAlign w:val="center"/>
          </w:tcPr>
          <w:p>
            <w:pPr>
              <w:pStyle w:val="TableContents"/>
              <w:bidi w:val="0"/>
              <w:spacing w:before="0" w:after="283"/>
              <w:jc w:val="left"/>
              <w:rPr>
                <w:sz w:val="4"/>
                <w:szCs w:val="4"/>
              </w:rPr>
            </w:pPr>
            <w:r>
              <w:rPr>
                <w:sz w:val="4"/>
                <w:szCs w:val="4"/>
              </w:rPr>
            </w:r>
          </w:p>
        </w:tc>
      </w:tr>
      <w:tr>
        <w:trPr/>
        <w:tc>
          <w:tcPr>
            <w:tcW w:w="1754" w:type="dxa"/>
            <w:tcBorders/>
          </w:tcPr>
          <w:p>
            <w:pPr>
              <w:pStyle w:val="TableContents"/>
              <w:bidi w:val="0"/>
              <w:spacing w:before="0" w:after="283"/>
              <w:jc w:val="left"/>
              <w:rPr>
                <w:b/>
              </w:rPr>
            </w:pPr>
            <w:r>
              <w:rPr>
                <w:b/>
              </w:rPr>
              <w:t>Co-Managers:</w:t>
            </w:r>
          </w:p>
        </w:tc>
        <w:tc>
          <w:tcPr>
            <w:tcW w:w="120" w:type="dxa"/>
            <w:tcBorders/>
            <w:vAlign w:val="bottom"/>
          </w:tcPr>
          <w:p>
            <w:pPr>
              <w:pStyle w:val="TableContents"/>
              <w:bidi w:val="0"/>
              <w:spacing w:before="0" w:after="283"/>
              <w:jc w:val="left"/>
              <w:rPr/>
            </w:pPr>
            <w:r>
              <w:rPr/>
              <w:t>  </w:t>
            </w:r>
          </w:p>
        </w:tc>
        <w:tc>
          <w:tcPr>
            <w:tcW w:w="8331"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Academy Securities,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credit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that delivery of the Notes will be made against payment therefor on or about September 17, 2026, which will be the fifth business day following the date of pricing of the Notes (this settlement cycle being referred to as “T+5”). Under Rule 15c6-1 under the Securities Exchange Act of 1934, as amended, trades in the secondary market generally are required to settle in one business day, unless the parties to any such trade expressly agree otherwise. Accordingly, purchasers who wish to trade Notes prior to the delivery date may be required, by virtue of the fact that the Notes initially will settle in T+5, to specify an alternate settlement cycle at the time of any such trade to prevent a failed settlement. Purchasers of Notes who wish to trade Notes prior to the delivery date should consult their own advisor.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offering will be made in Canada on a private placement basis by broker-dealer affiliates of the Joint Book-Running Managers and the Co-Managers.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Changes to the Preliminary Prospectus Supplement </w:t>
      </w:r>
    </w:p>
    <w:p>
      <w:pPr>
        <w:pStyle w:val="TextBody"/>
        <w:bidi w:val="0"/>
        <w:spacing w:before="120" w:after="0"/>
        <w:jc w:val="left"/>
        <w:rPr>
          <w:rFonts w:ascii="Times New Roman" w:hAnsi="Times New Roman"/>
          <w:sz w:val="20"/>
        </w:rPr>
      </w:pPr>
      <w:r>
        <w:rPr>
          <w:rFonts w:ascii="Times New Roman" w:hAnsi="Times New Roman"/>
          <w:sz w:val="20"/>
        </w:rPr>
        <w:t>On September 10, 2026, TRC commenced a Canadian-only offering of Canadian dollar-denominated senior unsecured notes in an aggregate principal amount of CAD$1,000,000,000 (the “</w:t>
      </w:r>
      <w:r>
        <w:rPr>
          <w:rFonts w:ascii="Times New Roman" w:hAnsi="Times New Roman"/>
          <w:b/>
          <w:sz w:val="20"/>
        </w:rPr>
        <w:t>Canadian Notes</w:t>
      </w:r>
      <w:r>
        <w:rPr>
          <w:rFonts w:ascii="Times New Roman" w:hAnsi="Times New Roman"/>
          <w:sz w:val="20"/>
        </w:rPr>
        <w:t xml:space="preserve">”), to be issued on or about September 17, 2026. The Canadian Notes will be new senior unsecured obligations of TRC, and will rank equally with all of TRC’s other existing and future senior unsecured obligations, including TRC’s guarantee of the Notes offered hereby. The net proceeds from the sale of the Canadian Notes, together with the net proceeds from the Notes offered hereby, will be used for general corporate purposes, including, without limitation, to repay indebtedness under our commercial paper program (under which TR Finance and TRC are both issuers), which was previously incurred to fund working capital needs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Corresponding changes will be made elsewhere in the Preliminary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Canadian Notes are being offered exclusively to persons in the provinces of Canada on a private placement basis in reliance upon exemptions from the prospectus requirements under applicable securities laws in each of the provinces of Canada. The offering of the Canadian Notes is not being made in the United States. The offering of the Notes is not conditioned on the completion of the Canadian Notes offering, or vice versa. This Pricing Term Sheet does not constitute an offering of the Canadian Notes.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Issuer and the Guarantors have filed a joint shelf registration statement (including a prospectus) on Forms F-10 and F-3 and a prospectus supplement with the U.S. Securities and Exchange Commission (the “SEC”) for the offering to which this communication relates. Before you invest, you should read the prospectus in that registration statement, the prospectus supplement and other documents the Issuer and the Guarantors have filed with the SEC for more complete information about the Issuer, the Guarantors and this offering. You may obtain these documents for free by visiting EDGAR on the SEC website at www.sec.gov. </w:t>
      </w:r>
    </w:p>
    <w:p>
      <w:pPr>
        <w:pStyle w:val="TextBody"/>
        <w:bidi w:val="0"/>
        <w:spacing w:before="240" w:after="0"/>
        <w:jc w:val="left"/>
        <w:rPr>
          <w:rFonts w:ascii="Times New Roman" w:hAnsi="Times New Roman"/>
          <w:b/>
          <w:i/>
          <w:sz w:val="20"/>
        </w:rPr>
      </w:pPr>
      <w:r>
        <w:rPr>
          <w:rFonts w:ascii="Times New Roman" w:hAnsi="Times New Roman"/>
          <w:b/>
          <w:i/>
          <w:sz w:val="20"/>
        </w:rPr>
        <w:t xml:space="preserve">Alternatively, TRC, any underwriter or any dealer participating in this offering will arrange to send you a copy of the prospectus upon request. Interested parties may obtain a prospectus and the related prospectus supplement from: RBC Capital Markets, LLC, Brookfield Place, 200 Vesey Street, 8th Floor, New York, NY 10281, Attention: Syndicate Operations, by telephone at 1-866-375-6829, by fax at 1-212-428-6308 or by email at rbcnyfixedincomeprospectus@rbccm.com; BofA Securities, Inc., 201 North Tryon Street, NC1-022-02-25, Charlotte, NC 28255-0001, Attention: Prospectus Department, by telephone at 1-800-294-1322 or by email at dg.prospectus_requests@bofa.com; Barclays Capital Inc., c/o Broadridge Financial Solutions, 1155 Long Island Avenue, Edgewood, NY 11717, by telephone at 1-888-603-5847 or by email at barclaysprospectus@broadridge.com; or Mizuho Securities USA LLC, 1271 Avenue of the Americas, New York, NY 10020, Attention: Debt Capital Markets, or by telephone at 1-866-271-7403.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9"/>
        <w:gridCol w:w="679"/>
        <w:gridCol w:w="245"/>
        <w:gridCol w:w="2297"/>
        <w:gridCol w:w="60"/>
        <w:gridCol w:w="679"/>
        <w:gridCol w:w="245"/>
        <w:gridCol w:w="2297"/>
        <w:gridCol w:w="64"/>
      </w:tblGrid>
      <w:tr>
        <w:trPr/>
        <w:tc>
          <w:tcPr>
            <w:tcW w:w="3639" w:type="dxa"/>
            <w:tcBorders/>
            <w:vAlign w:val="center"/>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39" w:type="dxa"/>
            <w:tcBorders>
              <w:bottom w:val="single" w:sz="2" w:space="0" w:color="000000"/>
            </w:tcBorders>
            <w:tcMar>
              <w:bottom w:w="28" w:type="dxa"/>
            </w:tcMar>
          </w:tcPr>
          <w:p>
            <w:pPr>
              <w:pStyle w:val="TableContents"/>
              <w:bidi w:val="0"/>
              <w:spacing w:before="0" w:after="283"/>
              <w:jc w:val="left"/>
              <w:rPr/>
            </w:pPr>
            <w:r>
              <w:rPr/>
              <w:t> </w:t>
            </w:r>
            <w:r>
              <w:rPr/>
              <w:t>Underwriters</w:t>
            </w:r>
          </w:p>
        </w:tc>
        <w:tc>
          <w:tcPr>
            <w:tcW w:w="679" w:type="dxa"/>
            <w:tcBorders>
              <w:bottom w:val="single" w:sz="2" w:space="0" w:color="000000"/>
            </w:tcBorders>
            <w:tcMar>
              <w:bottom w:w="28" w:type="dxa"/>
            </w:tcMar>
            <w:vAlign w:val="bottom"/>
          </w:tcPr>
          <w:p>
            <w:pPr>
              <w:pStyle w:val="TableContents"/>
              <w:bidi w:val="0"/>
              <w:spacing w:before="0" w:after="283"/>
              <w:jc w:val="left"/>
              <w:rPr/>
            </w:pPr>
            <w:r>
              <w:rPr/>
              <w:t>  </w:t>
            </w:r>
          </w:p>
        </w:tc>
        <w:tc>
          <w:tcPr>
            <w:tcW w:w="2542" w:type="dxa"/>
            <w:gridSpan w:val="2"/>
            <w:tcBorders>
              <w:bottom w:val="single" w:sz="2" w:space="0" w:color="000000"/>
            </w:tcBorders>
            <w:tcMar>
              <w:bottom w:w="28" w:type="dxa"/>
            </w:tcMar>
          </w:tcPr>
          <w:p>
            <w:pPr>
              <w:pStyle w:val="TableContents"/>
              <w:bidi w:val="0"/>
              <w:spacing w:before="0" w:after="283"/>
              <w:jc w:val="center"/>
              <w:rPr/>
            </w:pPr>
            <w:r>
              <w:rPr/>
              <w:t>Principal Amount of 2028</w:t>
              <w:br/>
              <w:t>Notes to be Purchased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79" w:type="dxa"/>
            <w:tcBorders>
              <w:bottom w:val="single" w:sz="2" w:space="0" w:color="000000"/>
            </w:tcBorders>
            <w:tcMar>
              <w:bottom w:w="28" w:type="dxa"/>
            </w:tcMar>
            <w:vAlign w:val="bottom"/>
          </w:tcPr>
          <w:p>
            <w:pPr>
              <w:pStyle w:val="TableContents"/>
              <w:bidi w:val="0"/>
              <w:spacing w:before="0" w:after="283"/>
              <w:jc w:val="left"/>
              <w:rPr/>
            </w:pPr>
            <w:r>
              <w:rPr/>
              <w:t>  </w:t>
            </w:r>
          </w:p>
        </w:tc>
        <w:tc>
          <w:tcPr>
            <w:tcW w:w="2542" w:type="dxa"/>
            <w:gridSpan w:val="2"/>
            <w:tcBorders>
              <w:bottom w:val="single" w:sz="2" w:space="0" w:color="000000"/>
            </w:tcBorders>
            <w:tcMar>
              <w:bottom w:w="28" w:type="dxa"/>
            </w:tcMar>
          </w:tcPr>
          <w:p>
            <w:pPr>
              <w:pStyle w:val="TableContents"/>
              <w:bidi w:val="0"/>
              <w:spacing w:before="0" w:after="283"/>
              <w:jc w:val="center"/>
              <w:rPr/>
            </w:pPr>
            <w:r>
              <w:rPr/>
              <w:t>Principal Amount of 2033</w:t>
              <w:br/>
              <w:t>Notes to be Purchased</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pPr>
            <w:r>
              <w:rPr/>
              <w:t> </w:t>
            </w:r>
            <w:r>
              <w:rPr>
                <w:rFonts w:ascii="Times New Roman" w:hAnsi="Times New Roman"/>
                <w:sz w:val="24"/>
              </w:rPr>
              <w:t>Barclays Capital Inc.</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w:t>
            </w:r>
          </w:p>
        </w:tc>
        <w:tc>
          <w:tcPr>
            <w:tcW w:w="2297" w:type="dxa"/>
            <w:tcBorders/>
            <w:shd w:fill="CCEEFF" w:val="clear"/>
          </w:tcPr>
          <w:p>
            <w:pPr>
              <w:pStyle w:val="TableContents"/>
              <w:bidi w:val="0"/>
              <w:spacing w:before="0" w:after="283"/>
              <w:jc w:val="right"/>
              <w:rPr/>
            </w:pPr>
            <w:r>
              <w:rPr/>
              <w:t>156,000,000</w:t>
            </w:r>
          </w:p>
        </w:tc>
        <w:tc>
          <w:tcPr>
            <w:tcW w:w="60" w:type="dxa"/>
            <w:tcBorders/>
            <w:shd w:fill="CCEEFF" w:val="clear"/>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w:t>
            </w:r>
          </w:p>
        </w:tc>
        <w:tc>
          <w:tcPr>
            <w:tcW w:w="2297" w:type="dxa"/>
            <w:tcBorders/>
            <w:shd w:fill="CCEEFF" w:val="clear"/>
          </w:tcPr>
          <w:p>
            <w:pPr>
              <w:pStyle w:val="TableContents"/>
              <w:bidi w:val="0"/>
              <w:spacing w:before="0" w:after="283"/>
              <w:jc w:val="right"/>
              <w:rPr/>
            </w:pPr>
            <w:r>
              <w:rPr/>
              <w:t>97,500,000</w:t>
            </w:r>
          </w:p>
        </w:tc>
        <w:tc>
          <w:tcPr>
            <w:tcW w:w="64" w:type="dxa"/>
            <w:tcBorders/>
            <w:shd w:fill="CCEEFF" w:val="clea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BofA Securities, Inc.</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156,000,000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97,500,000</w:t>
            </w:r>
          </w:p>
        </w:tc>
        <w:tc>
          <w:tcPr>
            <w:tcW w:w="64" w:type="dxa"/>
            <w:tcBorders/>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pPr>
            <w:r>
              <w:rPr/>
              <w:t> </w:t>
            </w:r>
            <w:r>
              <w:rPr>
                <w:rFonts w:ascii="Times New Roman" w:hAnsi="Times New Roman"/>
                <w:sz w:val="24"/>
              </w:rPr>
              <w:t>Mizuho Securities USA LLC</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156,000,000</w:t>
            </w:r>
          </w:p>
        </w:tc>
        <w:tc>
          <w:tcPr>
            <w:tcW w:w="60" w:type="dxa"/>
            <w:tcBorders/>
            <w:shd w:fill="CCEEFF" w:val="clear"/>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97,500,000</w:t>
            </w:r>
          </w:p>
        </w:tc>
        <w:tc>
          <w:tcPr>
            <w:tcW w:w="64" w:type="dxa"/>
            <w:tcBorders/>
            <w:shd w:fill="CCEEFF" w:val="clea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RBC Capital Markets, LLC</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80,000,000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50,000,000</w:t>
            </w:r>
          </w:p>
        </w:tc>
        <w:tc>
          <w:tcPr>
            <w:tcW w:w="64" w:type="dxa"/>
            <w:tcBorders/>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pPr>
            <w:r>
              <w:rPr/>
              <w:t> </w:t>
            </w:r>
            <w:r>
              <w:rPr>
                <w:rFonts w:ascii="Times New Roman" w:hAnsi="Times New Roman"/>
                <w:sz w:val="24"/>
              </w:rPr>
              <w:t>Citigroup Global Markets Inc.</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56,000,000</w:t>
            </w:r>
          </w:p>
        </w:tc>
        <w:tc>
          <w:tcPr>
            <w:tcW w:w="60" w:type="dxa"/>
            <w:tcBorders/>
            <w:shd w:fill="CCEEFF" w:val="clear"/>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35,000,000</w:t>
            </w:r>
          </w:p>
        </w:tc>
        <w:tc>
          <w:tcPr>
            <w:tcW w:w="64" w:type="dxa"/>
            <w:tcBorders/>
            <w:shd w:fill="CCEEFF" w:val="clea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Goldman Sachs &amp; Co. LLC</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38,000,000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23,750,000</w:t>
            </w:r>
          </w:p>
        </w:tc>
        <w:tc>
          <w:tcPr>
            <w:tcW w:w="64" w:type="dxa"/>
            <w:tcBorders/>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pPr>
            <w:r>
              <w:rPr/>
              <w:t> </w:t>
            </w:r>
            <w:r>
              <w:rPr>
                <w:rFonts w:ascii="Times New Roman" w:hAnsi="Times New Roman"/>
                <w:sz w:val="24"/>
              </w:rPr>
              <w:t>Morgan Stanley &amp; Co. LLC</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38,000,000</w:t>
            </w:r>
          </w:p>
        </w:tc>
        <w:tc>
          <w:tcPr>
            <w:tcW w:w="60" w:type="dxa"/>
            <w:tcBorders/>
            <w:shd w:fill="CCEEFF" w:val="clear"/>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23,750,000</w:t>
            </w:r>
          </w:p>
        </w:tc>
        <w:tc>
          <w:tcPr>
            <w:tcW w:w="64" w:type="dxa"/>
            <w:tcBorders/>
            <w:shd w:fill="CCEEFF" w:val="clea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Standard Chartered Bank</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38,000,000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23,750,000</w:t>
            </w:r>
          </w:p>
        </w:tc>
        <w:tc>
          <w:tcPr>
            <w:tcW w:w="64" w:type="dxa"/>
            <w:tcBorders/>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pPr>
            <w:r>
              <w:rPr/>
              <w:t> </w:t>
            </w:r>
            <w:r>
              <w:rPr>
                <w:rFonts w:ascii="Times New Roman" w:hAnsi="Times New Roman"/>
                <w:sz w:val="24"/>
              </w:rPr>
              <w:t>J.P. Morgan Securities LLC</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28,000,000</w:t>
            </w:r>
          </w:p>
        </w:tc>
        <w:tc>
          <w:tcPr>
            <w:tcW w:w="60" w:type="dxa"/>
            <w:tcBorders/>
            <w:shd w:fill="CCEEFF" w:val="clear"/>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17,500,000</w:t>
            </w:r>
          </w:p>
        </w:tc>
        <w:tc>
          <w:tcPr>
            <w:tcW w:w="64" w:type="dxa"/>
            <w:tcBorders/>
            <w:shd w:fill="CCEEFF" w:val="clea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BMO Capital Markets Corp.</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18,000,000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11,250,000</w:t>
            </w:r>
          </w:p>
        </w:tc>
        <w:tc>
          <w:tcPr>
            <w:tcW w:w="64" w:type="dxa"/>
            <w:tcBorders/>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pPr>
            <w:r>
              <w:rPr/>
              <w:t> </w:t>
            </w:r>
            <w:r>
              <w:rPr>
                <w:rFonts w:ascii="Times New Roman" w:hAnsi="Times New Roman"/>
                <w:sz w:val="24"/>
              </w:rPr>
              <w:t>TD Securities (USA) LLC</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18,000,000</w:t>
            </w:r>
          </w:p>
        </w:tc>
        <w:tc>
          <w:tcPr>
            <w:tcW w:w="60" w:type="dxa"/>
            <w:tcBorders/>
            <w:shd w:fill="CCEEFF" w:val="clear"/>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pPr>
            <w:r>
              <w:rPr/>
              <w:t> </w:t>
            </w:r>
          </w:p>
        </w:tc>
        <w:tc>
          <w:tcPr>
            <w:tcW w:w="2297" w:type="dxa"/>
            <w:tcBorders/>
            <w:shd w:fill="CCEEFF" w:val="clear"/>
          </w:tcPr>
          <w:p>
            <w:pPr>
              <w:pStyle w:val="TableContents"/>
              <w:bidi w:val="0"/>
              <w:spacing w:before="0" w:after="283"/>
              <w:jc w:val="right"/>
              <w:rPr/>
            </w:pPr>
            <w:r>
              <w:rPr/>
              <w:t>11,250,000</w:t>
            </w:r>
          </w:p>
        </w:tc>
        <w:tc>
          <w:tcPr>
            <w:tcW w:w="64" w:type="dxa"/>
            <w:tcBorders/>
            <w:shd w:fill="CCEEFF" w:val="clea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Academy Securities, Inc.</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18,000,000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2297" w:type="dxa"/>
            <w:tcBorders/>
          </w:tcPr>
          <w:p>
            <w:pPr>
              <w:pStyle w:val="TableContents"/>
              <w:bidi w:val="0"/>
              <w:spacing w:before="0" w:after="283"/>
              <w:jc w:val="right"/>
              <w:rPr/>
            </w:pPr>
            <w:r>
              <w:rPr/>
              <w:t>11,250,000</w:t>
            </w:r>
          </w:p>
        </w:tc>
        <w:tc>
          <w:tcPr>
            <w:tcW w:w="64" w:type="dxa"/>
            <w:tcBorders/>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sz w:val="4"/>
                <w:szCs w:val="4"/>
              </w:rPr>
            </w:pPr>
            <w:r>
              <w:rPr>
                <w:sz w:val="4"/>
                <w:szCs w:val="4"/>
              </w:rPr>
            </w:r>
          </w:p>
        </w:tc>
        <w:tc>
          <w:tcPr>
            <w:tcW w:w="229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pPr>
            <w:r>
              <w:rPr/>
              <w:t>  </w:t>
            </w:r>
          </w:p>
        </w:tc>
        <w:tc>
          <w:tcPr>
            <w:tcW w:w="245" w:type="dxa"/>
            <w:tcBorders/>
            <w:shd w:fill="CCEEFF" w:val="clear"/>
          </w:tcPr>
          <w:p>
            <w:pPr>
              <w:pStyle w:val="TableContents"/>
              <w:bidi w:val="0"/>
              <w:spacing w:before="0" w:after="283"/>
              <w:jc w:val="left"/>
              <w:rPr>
                <w:sz w:val="4"/>
                <w:szCs w:val="4"/>
              </w:rPr>
            </w:pPr>
            <w:r>
              <w:rPr>
                <w:sz w:val="4"/>
                <w:szCs w:val="4"/>
              </w:rPr>
            </w:r>
          </w:p>
        </w:tc>
        <w:tc>
          <w:tcPr>
            <w:tcW w:w="2297"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3639"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22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22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pPr>
            <w:r>
              <w:rPr/>
              <w:t> </w:t>
            </w:r>
            <w:r>
              <w:rPr>
                <w:rFonts w:ascii="Times New Roman" w:hAnsi="Times New Roman"/>
                <w:sz w:val="24"/>
              </w:rPr>
              <w:t>Total</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w:t>
            </w:r>
          </w:p>
        </w:tc>
        <w:tc>
          <w:tcPr>
            <w:tcW w:w="2297" w:type="dxa"/>
            <w:tcBorders/>
          </w:tcPr>
          <w:p>
            <w:pPr>
              <w:pStyle w:val="TableContents"/>
              <w:bidi w:val="0"/>
              <w:spacing w:before="0" w:after="283"/>
              <w:jc w:val="right"/>
              <w:rPr/>
            </w:pPr>
            <w:r>
              <w:rPr/>
              <w:t> </w:t>
            </w:r>
            <w:r>
              <w:rPr/>
              <w:t>800,000,000</w:t>
            </w:r>
          </w:p>
        </w:tc>
        <w:tc>
          <w:tcPr>
            <w:tcW w:w="60" w:type="dxa"/>
            <w:tcBorders/>
          </w:tcPr>
          <w:p>
            <w:pPr>
              <w:pStyle w:val="TableContents"/>
              <w:bidi w:val="0"/>
              <w:spacing w:before="0" w:after="283"/>
              <w:jc w:val="left"/>
              <w:rPr/>
            </w:pPr>
            <w:r>
              <w:rPr/>
              <w:t> </w:t>
            </w:r>
          </w:p>
        </w:tc>
        <w:tc>
          <w:tcPr>
            <w:tcW w:w="679"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w:t>
            </w:r>
          </w:p>
        </w:tc>
        <w:tc>
          <w:tcPr>
            <w:tcW w:w="2297" w:type="dxa"/>
            <w:tcBorders/>
          </w:tcPr>
          <w:p>
            <w:pPr>
              <w:pStyle w:val="TableContents"/>
              <w:bidi w:val="0"/>
              <w:spacing w:before="0" w:after="283"/>
              <w:jc w:val="right"/>
              <w:rPr/>
            </w:pPr>
            <w:r>
              <w:rPr/>
              <w:t> </w:t>
            </w:r>
            <w:r>
              <w:rPr/>
              <w:t>500,000,000</w:t>
            </w:r>
          </w:p>
        </w:tc>
        <w:tc>
          <w:tcPr>
            <w:tcW w:w="64" w:type="dxa"/>
            <w:tcBorders/>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SCHEDULE II </w:t>
      </w:r>
    </w:p>
    <w:p>
      <w:pPr>
        <w:pStyle w:val="TextBody"/>
        <w:bidi w:val="0"/>
        <w:spacing w:before="240" w:after="0"/>
        <w:jc w:val="center"/>
        <w:rPr>
          <w:rFonts w:ascii="Times New Roman" w:hAnsi="Times New Roman"/>
          <w:sz w:val="24"/>
        </w:rPr>
      </w:pPr>
      <w:r>
        <w:rPr>
          <w:rFonts w:ascii="Times New Roman" w:hAnsi="Times New Roman"/>
          <w:sz w:val="24"/>
        </w:rPr>
        <w:t xml:space="preserve">List of Subsidiary Guarantors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389"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Thomson Reuters Applications Inc. </w:t>
            </w:r>
          </w:p>
        </w:tc>
      </w:tr>
    </w:tbl>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391"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Thomson Reuters (Tax &amp; Accounting) Inc. </w:t>
            </w:r>
          </w:p>
        </w:tc>
      </w:tr>
    </w:tbl>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390"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West Publishing Corporation </w:t>
            </w:r>
          </w:p>
        </w:tc>
      </w:tr>
    </w:tbl>
    <w:p>
      <w:pPr>
        <w:pStyle w:val="TextBody"/>
        <w:bidi w:val="0"/>
        <w:spacing w:before="240" w:after="0"/>
        <w:jc w:val="center"/>
        <w:rPr>
          <w:rFonts w:ascii="Times New Roman" w:hAnsi="Times New Roman"/>
          <w:sz w:val="24"/>
        </w:rPr>
      </w:pPr>
      <w:r>
        <w:rPr>
          <w:rFonts w:ascii="Times New Roman" w:hAnsi="Times New Roman"/>
          <w:sz w:val="24"/>
        </w:rPr>
        <w:t xml:space="preserve">List of Significant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389"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Thomson Reuters Enterprise Centre GmbH </w:t>
            </w:r>
          </w:p>
        </w:tc>
      </w:tr>
    </w:tbl>
    <w:tbl>
      <w:tblPr>
        <w:tblW w:w="5000" w:type="pct"/>
        <w:jc w:val="left"/>
        <w:tblInd w:w="0" w:type="dxa"/>
        <w:tblLayout w:type="fixed"/>
        <w:tblCellMar>
          <w:top w:w="0" w:type="dxa"/>
          <w:left w:w="0" w:type="dxa"/>
          <w:bottom w:w="0" w:type="dxa"/>
          <w:right w:w="0" w:type="dxa"/>
        </w:tblCellMar>
      </w:tblPr>
      <w:tblGrid>
        <w:gridCol w:w="407"/>
        <w:gridCol w:w="408"/>
        <w:gridCol w:w="93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390" w:type="dxa"/>
            <w:tcBorders/>
          </w:tcPr>
          <w:p>
            <w:pPr>
              <w:pStyle w:val="TableContents"/>
              <w:bidi w:val="0"/>
              <w:spacing w:before="0" w:after="0"/>
              <w:jc w:val="left"/>
              <w:rPr>
                <w:rFonts w:ascii="Times New Roman" w:hAnsi="Times New Roman"/>
                <w:sz w:val="24"/>
              </w:rPr>
            </w:pPr>
            <w:r>
              <w:rPr>
                <w:rFonts w:ascii="Times New Roman" w:hAnsi="Times New Roman"/>
                <w:sz w:val="24"/>
              </w:rPr>
              <w:t xml:space="preserve">West Publishing Corporation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4"/>
        </w:rPr>
      </w:pPr>
      <w:r>
        <w:rPr>
          <w:rFonts w:ascii="Times New Roman" w:hAnsi="Times New Roman"/>
          <w:b/>
          <w:sz w:val="24"/>
        </w:rPr>
        <w:t xml:space="preserve">EXHIBIT A </w:t>
      </w:r>
    </w:p>
    <w:p>
      <w:pPr>
        <w:pStyle w:val="TextBody"/>
        <w:bidi w:val="0"/>
        <w:spacing w:before="240" w:after="0"/>
        <w:jc w:val="center"/>
        <w:rPr>
          <w:rFonts w:ascii="Times New Roman" w:hAnsi="Times New Roman"/>
          <w:sz w:val="24"/>
        </w:rPr>
      </w:pPr>
      <w:r>
        <w:rPr>
          <w:rFonts w:ascii="Times New Roman" w:hAnsi="Times New Roman"/>
          <w:sz w:val="24"/>
        </w:rPr>
        <w:t>[</w:t>
      </w:r>
      <w:r>
        <w:rPr>
          <w:rFonts w:ascii="Times New Roman" w:hAnsi="Times New Roman"/>
          <w:i/>
          <w:sz w:val="24"/>
        </w:rPr>
        <w:t>See attached</w:t>
      </w:r>
      <w:r>
        <w:rPr>
          <w:rFonts w:ascii="Times New Roman" w:hAnsi="Times New Roman"/>
          <w:sz w:val="24"/>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23940</Words>
  <Characters>129039</Characters>
  <CharactersWithSpaces>153120</CharactersWithSpaces>
  <Paragraphs>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