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309783d6k.htm"/>
      <w:bookmarkStart w:id="1" w:name="ksd309783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October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001-31349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THOMSON REUTERS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19 Duncan Street </w:t>
      </w:r>
    </w:p>
    <w:p>
      <w:pPr>
        <w:pStyle w:val="TextBody"/>
        <w:bidi w:val="0"/>
        <w:spacing w:before="0" w:after="0"/>
        <w:jc w:val="center"/>
        <w:rPr>
          <w:rFonts w:ascii="Times New Roman" w:hAnsi="Times New Roman"/>
          <w:b/>
          <w:sz w:val="20"/>
        </w:rPr>
      </w:pPr>
      <w:r>
        <w:rPr>
          <w:rFonts w:ascii="Times New Roman" w:hAnsi="Times New Roman"/>
          <w:b/>
          <w:sz w:val="20"/>
        </w:rPr>
        <w:t xml:space="preserve">Toronto, Ontario M5H 3H1, Canada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66"/>
        <w:gridCol w:w="60"/>
        <w:gridCol w:w="664"/>
        <w:gridCol w:w="60"/>
        <w:gridCol w:w="2932"/>
      </w:tblGrid>
      <w:tr>
        <w:trPr/>
        <w:tc>
          <w:tcPr>
            <w:tcW w:w="36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32"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b/>
              </w:rPr>
            </w:pPr>
            <w:r>
              <w:rPr>
                <w:b/>
              </w:rPr>
              <w:t>THOMSON REUTERS CORPORATION</w:t>
            </w:r>
          </w:p>
        </w:tc>
      </w:tr>
      <w:tr>
        <w:trPr/>
        <w:tc>
          <w:tcPr>
            <w:tcW w:w="4082" w:type="dxa"/>
            <w:gridSpan w:val="5"/>
            <w:tcBorders/>
          </w:tcPr>
          <w:p>
            <w:pPr>
              <w:pStyle w:val="TableContents"/>
              <w:bidi w:val="0"/>
              <w:spacing w:before="0" w:after="283"/>
              <w:jc w:val="left"/>
              <w:rPr/>
            </w:pPr>
            <w:r>
              <w:rPr/>
              <w:t>(Registrant)</w:t>
            </w:r>
          </w:p>
        </w:tc>
      </w:tr>
      <w:tr>
        <w:trPr>
          <w:trHeight w:val="240" w:hRule="atLeast"/>
        </w:trPr>
        <w:tc>
          <w:tcPr>
            <w:tcW w:w="366" w:type="dxa"/>
            <w:tcBorders/>
            <w:vAlign w:val="center"/>
          </w:tcPr>
          <w:p>
            <w:pPr>
              <w:pStyle w:val="TableContents"/>
              <w:bidi w:val="0"/>
              <w:spacing w:before="0" w:after="283"/>
              <w:jc w:val="left"/>
              <w:rPr>
                <w:sz w:val="4"/>
                <w:szCs w:val="4"/>
              </w:rPr>
            </w:pPr>
            <w:r>
              <w:rPr>
                <w:sz w:val="4"/>
                <w:szCs w:val="4"/>
              </w:rPr>
            </w:r>
          </w:p>
        </w:tc>
        <w:tc>
          <w:tcPr>
            <w:tcW w:w="3716" w:type="dxa"/>
            <w:gridSpan w:val="4"/>
            <w:tcBorders/>
            <w:vAlign w:val="center"/>
          </w:tcPr>
          <w:p>
            <w:pPr>
              <w:pStyle w:val="TableContents"/>
              <w:bidi w:val="0"/>
              <w:spacing w:before="0" w:after="283"/>
              <w:jc w:val="left"/>
              <w:rPr>
                <w:sz w:val="4"/>
                <w:szCs w:val="4"/>
              </w:rPr>
            </w:pPr>
            <w:r>
              <w:rPr>
                <w:sz w:val="4"/>
                <w:szCs w:val="4"/>
              </w:rPr>
            </w:r>
          </w:p>
        </w:tc>
      </w:tr>
      <w:tr>
        <w:trPr/>
        <w:tc>
          <w:tcPr>
            <w:tcW w:w="36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6"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Jennifer Ruddick</w:t>
            </w:r>
          </w:p>
        </w:tc>
      </w:tr>
      <w:tr>
        <w:trPr/>
        <w:tc>
          <w:tcPr>
            <w:tcW w:w="36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32" w:type="dxa"/>
            <w:tcBorders/>
          </w:tcPr>
          <w:p>
            <w:pPr>
              <w:pStyle w:val="TableContents"/>
              <w:bidi w:val="0"/>
              <w:spacing w:before="0" w:after="283"/>
              <w:jc w:val="left"/>
              <w:rPr/>
            </w:pPr>
            <w:r>
              <w:rPr/>
              <w:t>Jennifer Ruddick</w:t>
            </w:r>
          </w:p>
        </w:tc>
      </w:tr>
      <w:tr>
        <w:trPr/>
        <w:tc>
          <w:tcPr>
            <w:tcW w:w="36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32" w:type="dxa"/>
            <w:tcBorders/>
          </w:tcPr>
          <w:p>
            <w:pPr>
              <w:pStyle w:val="TableContents"/>
              <w:bidi w:val="0"/>
              <w:spacing w:before="0" w:after="283"/>
              <w:jc w:val="left"/>
              <w:rPr/>
            </w:pPr>
            <w:r>
              <w:rPr/>
              <w:t>Deputy Company Secretary</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October 19,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97"/>
        <w:gridCol w:w="906"/>
        <w:gridCol w:w="8102"/>
      </w:tblGrid>
      <w:tr>
        <w:trPr/>
        <w:tc>
          <w:tcPr>
            <w:tcW w:w="1197" w:type="dxa"/>
            <w:tcBorders/>
            <w:vAlign w:val="center"/>
          </w:tcPr>
          <w:p>
            <w:pPr>
              <w:pStyle w:val="TableContents"/>
              <w:bidi w:val="0"/>
              <w:spacing w:before="0" w:after="283"/>
              <w:jc w:val="left"/>
              <w:rPr>
                <w:sz w:val="4"/>
                <w:szCs w:val="4"/>
              </w:rPr>
            </w:pPr>
            <w:r>
              <w:rPr>
                <w:sz w:val="4"/>
                <w:szCs w:val="4"/>
              </w:rPr>
            </w:r>
          </w:p>
        </w:tc>
        <w:tc>
          <w:tcPr>
            <w:tcW w:w="906" w:type="dxa"/>
            <w:tcBorders/>
            <w:vAlign w:val="bottom"/>
          </w:tcPr>
          <w:p>
            <w:pPr>
              <w:pStyle w:val="TableContents"/>
              <w:bidi w:val="0"/>
              <w:spacing w:before="0" w:after="283"/>
              <w:jc w:val="left"/>
              <w:rPr>
                <w:sz w:val="4"/>
                <w:szCs w:val="4"/>
              </w:rPr>
            </w:pPr>
            <w:r>
              <w:rPr>
                <w:sz w:val="4"/>
                <w:szCs w:val="4"/>
              </w:rPr>
            </w:r>
          </w:p>
        </w:tc>
        <w:tc>
          <w:tcPr>
            <w:tcW w:w="8102" w:type="dxa"/>
            <w:tcBorders/>
            <w:vAlign w:val="center"/>
          </w:tcPr>
          <w:p>
            <w:pPr>
              <w:pStyle w:val="TableContents"/>
              <w:bidi w:val="0"/>
              <w:spacing w:before="0" w:after="283"/>
              <w:jc w:val="left"/>
              <w:rPr>
                <w:sz w:val="4"/>
                <w:szCs w:val="4"/>
              </w:rPr>
            </w:pPr>
            <w:r>
              <w:rPr>
                <w:sz w:val="4"/>
                <w:szCs w:val="4"/>
              </w:rPr>
            </w:r>
          </w:p>
        </w:tc>
      </w:tr>
      <w:tr>
        <w:trPr/>
        <w:tc>
          <w:tcPr>
            <w:tcW w:w="1197"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 Number</w:t>
            </w:r>
          </w:p>
        </w:tc>
        <w:tc>
          <w:tcPr>
            <w:tcW w:w="906" w:type="dxa"/>
            <w:tcBorders/>
            <w:vAlign w:val="bottom"/>
          </w:tcPr>
          <w:p>
            <w:pPr>
              <w:pStyle w:val="TableContents"/>
              <w:bidi w:val="0"/>
              <w:spacing w:before="0" w:after="283"/>
              <w:jc w:val="left"/>
              <w:rPr/>
            </w:pPr>
            <w:r>
              <w:rPr/>
              <w:t>  </w:t>
            </w:r>
          </w:p>
        </w:tc>
        <w:tc>
          <w:tcPr>
            <w:tcW w:w="8102"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rHeight w:val="120" w:hRule="atLeast"/>
        </w:trPr>
        <w:tc>
          <w:tcPr>
            <w:tcW w:w="1197" w:type="dxa"/>
            <w:tcBorders/>
            <w:vAlign w:val="center"/>
          </w:tcPr>
          <w:p>
            <w:pPr>
              <w:pStyle w:val="TableContents"/>
              <w:bidi w:val="0"/>
              <w:spacing w:before="0" w:after="283"/>
              <w:jc w:val="left"/>
              <w:rPr>
                <w:sz w:val="4"/>
                <w:szCs w:val="4"/>
              </w:rPr>
            </w:pPr>
            <w:r>
              <w:rPr>
                <w:sz w:val="4"/>
                <w:szCs w:val="4"/>
              </w:rPr>
            </w:r>
          </w:p>
        </w:tc>
        <w:tc>
          <w:tcPr>
            <w:tcW w:w="9008" w:type="dxa"/>
            <w:gridSpan w:val="2"/>
            <w:tcBorders/>
            <w:vAlign w:val="center"/>
          </w:tcPr>
          <w:p>
            <w:pPr>
              <w:pStyle w:val="TableContents"/>
              <w:bidi w:val="0"/>
              <w:spacing w:before="0" w:after="283"/>
              <w:jc w:val="left"/>
              <w:rPr>
                <w:sz w:val="4"/>
                <w:szCs w:val="4"/>
              </w:rPr>
            </w:pPr>
            <w:r>
              <w:rPr>
                <w:sz w:val="4"/>
                <w:szCs w:val="4"/>
              </w:rPr>
            </w:r>
          </w:p>
        </w:tc>
      </w:tr>
      <w:tr>
        <w:trPr/>
        <w:tc>
          <w:tcPr>
            <w:tcW w:w="1197" w:type="dxa"/>
            <w:tcBorders/>
          </w:tcPr>
          <w:p>
            <w:pPr>
              <w:pStyle w:val="TableContents"/>
              <w:bidi w:val="0"/>
              <w:spacing w:before="0" w:after="283"/>
              <w:jc w:val="left"/>
              <w:rPr/>
            </w:pPr>
            <w:r>
              <w:rPr/>
              <w:t>99.1</w:t>
            </w:r>
          </w:p>
        </w:tc>
        <w:tc>
          <w:tcPr>
            <w:tcW w:w="906" w:type="dxa"/>
            <w:tcBorders/>
            <w:vAlign w:val="bottom"/>
          </w:tcPr>
          <w:p>
            <w:pPr>
              <w:pStyle w:val="TableContents"/>
              <w:bidi w:val="0"/>
              <w:spacing w:before="0" w:after="283"/>
              <w:jc w:val="left"/>
              <w:rPr/>
            </w:pPr>
            <w:r>
              <w:rPr/>
              <w:t>  </w:t>
            </w:r>
          </w:p>
        </w:tc>
        <w:tc>
          <w:tcPr>
            <w:tcW w:w="8102" w:type="dxa"/>
            <w:tcBorders/>
          </w:tcPr>
          <w:p>
            <w:pPr>
              <w:pStyle w:val="TableContents"/>
              <w:bidi w:val="0"/>
              <w:spacing w:before="0" w:after="283"/>
              <w:jc w:val="left"/>
              <w:rPr/>
            </w:pPr>
            <w:r>
              <w:rPr/>
              <w:t>News release dated October 19, 2026 – Thomson Reuters Provides Supplemental Financial Information Following Close of Global Print Transaction</w:t>
            </w:r>
          </w:p>
        </w:tc>
      </w:tr>
    </w:tbl>
    <w:p>
      <w:pPr>
        <w:pStyle w:val="TextBody"/>
        <w:bidi w:val="0"/>
        <w:spacing w:before="0" w:after="0"/>
        <w:jc w:val="right"/>
        <w:rPr>
          <w:rFonts w:ascii="Calibri" w:hAnsi="Calibri"/>
          <w:b/>
          <w:sz w:val="20"/>
        </w:rPr>
      </w:pPr>
      <w:bookmarkStart w:id="2" w:name="d309783dex991.htm"/>
      <w:bookmarkStart w:id="3" w:name="ksd309783dex991"/>
      <w:bookmarkEnd w:id="2"/>
      <w:bookmarkEnd w:id="3"/>
      <w:r>
        <w:rPr>
          <w:rFonts w:ascii="Calibri" w:hAnsi="Calibri"/>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504950" cy="590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04950" cy="590550"/>
                    </a:xfrm>
                    <a:prstGeom prst="rect">
                      <a:avLst/>
                    </a:prstGeom>
                  </pic:spPr>
                </pic:pic>
              </a:graphicData>
            </a:graphic>
          </wp:inline>
        </w:drawing>
      </w:r>
      <w:r>
        <w:rPr/>
        <w:t xml:space="preserve"> </w:t>
      </w:r>
    </w:p>
    <w:p>
      <w:pPr>
        <w:pStyle w:val="TextBody"/>
        <w:bidi w:val="0"/>
        <w:spacing w:before="240" w:after="0"/>
        <w:jc w:val="left"/>
        <w:rPr>
          <w:rFonts w:ascii="Calibri" w:hAnsi="Calibri"/>
          <w:color w:val="D64000"/>
          <w:sz w:val="32"/>
        </w:rPr>
      </w:pPr>
      <w:r>
        <w:rPr>
          <w:rFonts w:ascii="Calibri" w:hAnsi="Calibri"/>
          <w:color w:val="D64000"/>
          <w:sz w:val="32"/>
        </w:rPr>
        <w:t xml:space="preserve">NEWS RELEASE </w:t>
      </w:r>
    </w:p>
    <w:p>
      <w:pPr>
        <w:pStyle w:val="TextBody"/>
        <w:bidi w:val="0"/>
        <w:spacing w:lineRule="atLeast" w:line="142" w:before="0" w:after="40"/>
        <w:jc w:val="left"/>
        <w:rPr>
          <w:bdr w:val="dotted" w:sz="2" w:space="1" w:color="000000"/>
        </w:rPr>
      </w:pPr>
      <w:r>
        <w:rPr>
          <w:bdr w:val="dotted" w:sz="2" w:space="1" w:color="000000"/>
        </w:rPr>
        <w:t> </w:t>
      </w:r>
    </w:p>
    <w:p>
      <w:pPr>
        <w:pStyle w:val="TextBody"/>
        <w:bidi w:val="0"/>
        <w:spacing w:before="200" w:after="0"/>
        <w:jc w:val="left"/>
        <w:rPr>
          <w:rFonts w:ascii="Calibri" w:hAnsi="Calibri"/>
          <w:b/>
          <w:sz w:val="20"/>
        </w:rPr>
      </w:pPr>
      <w:r>
        <w:rPr>
          <w:rFonts w:ascii="Calibri" w:hAnsi="Calibri"/>
          <w:b/>
          <w:sz w:val="20"/>
        </w:rPr>
        <w:t xml:space="preserve">Thomson Reuters Provides Supplemental Financial Information Following Close of Global Print Transaction </w:t>
      </w:r>
    </w:p>
    <w:p>
      <w:pPr>
        <w:pStyle w:val="TextBody"/>
        <w:bidi w:val="0"/>
        <w:spacing w:before="120" w:after="0"/>
        <w:jc w:val="left"/>
        <w:rPr>
          <w:rFonts w:ascii="Calibri" w:hAnsi="Calibri"/>
          <w:sz w:val="18"/>
        </w:rPr>
      </w:pPr>
      <w:r>
        <w:rPr>
          <w:rFonts w:ascii="Calibri" w:hAnsi="Calibri"/>
          <w:b/>
          <w:sz w:val="18"/>
        </w:rPr>
        <w:t>TORONTO, October</w:t>
      </w:r>
      <w:r>
        <w:rPr>
          <w:rFonts w:ascii="Calibri" w:hAnsi="Calibri"/>
          <w:sz w:val="18"/>
        </w:rPr>
        <w:t> </w:t>
      </w:r>
      <w:r>
        <w:rPr>
          <w:rFonts w:ascii="Calibri" w:hAnsi="Calibri"/>
          <w:b/>
          <w:sz w:val="18"/>
        </w:rPr>
        <w:t>19, 2026</w:t>
      </w:r>
      <w:r>
        <w:rPr>
          <w:rFonts w:ascii="Calibri" w:hAnsi="Calibri"/>
          <w:sz w:val="18"/>
        </w:rPr>
        <w:t xml:space="preserve"> -- As previously announced on October 1, 2026, Thomson Reuters (TSX/Nasdaq: TRI) (“the company”) sold a 51% stake in its Global Print business to capital accounts advised by KKR, with the two parties forming a joint venture to operate the Global Print business, now operating as Westbridge Print. </w:t>
      </w:r>
    </w:p>
    <w:p>
      <w:pPr>
        <w:pStyle w:val="TextBody"/>
        <w:bidi w:val="0"/>
        <w:spacing w:before="160" w:after="0"/>
        <w:jc w:val="left"/>
        <w:rPr>
          <w:rFonts w:ascii="Calibri" w:hAnsi="Calibri"/>
          <w:sz w:val="18"/>
        </w:rPr>
      </w:pPr>
      <w:r>
        <w:rPr>
          <w:rFonts w:ascii="Calibri" w:hAnsi="Calibri"/>
          <w:sz w:val="18"/>
        </w:rPr>
        <w:t xml:space="preserve">As a result of this transaction, Thomson Reuters will report Global Print as discontinued operations beginning in the third-quarter of 2026. Prior periods presented will be restated to reflect this change. A supplemental schedule has been posted to the “Investor Relations” section of thomsonreuters.com with revised 2025 and 2026 results that exclude the Global Print business. </w:t>
      </w:r>
    </w:p>
    <w:p>
      <w:pPr>
        <w:pStyle w:val="TextBody"/>
        <w:bidi w:val="0"/>
        <w:spacing w:before="160" w:after="0"/>
        <w:jc w:val="left"/>
        <w:rPr>
          <w:rFonts w:ascii="Calibri" w:hAnsi="Calibri"/>
          <w:sz w:val="18"/>
        </w:rPr>
      </w:pPr>
      <w:r>
        <w:rPr>
          <w:rFonts w:ascii="Calibri" w:hAnsi="Calibri"/>
          <w:sz w:val="18"/>
        </w:rPr>
        <w:t xml:space="preserve">On August 5, 2026, the company provided a third-quarter 2026 outlook for organic revenue growth of approximately 8% and adjusted EBITDA margin of approximately 36%, which included the results of the Global Print business. Calculated on the basis the company will use to report its third-quarter results, the previously provided outlook would have been approximately 9% organic revenue growth and approximately 35% adjusted EBITDA margin. </w:t>
      </w:r>
    </w:p>
    <w:p>
      <w:pPr>
        <w:pStyle w:val="TextBody"/>
        <w:bidi w:val="0"/>
        <w:spacing w:before="160" w:after="0"/>
        <w:jc w:val="left"/>
        <w:rPr>
          <w:rFonts w:ascii="Calibri" w:hAnsi="Calibri"/>
          <w:sz w:val="18"/>
        </w:rPr>
      </w:pPr>
      <w:r>
        <w:rPr>
          <w:rFonts w:ascii="Calibri" w:hAnsi="Calibri"/>
          <w:sz w:val="18"/>
        </w:rPr>
        <w:t xml:space="preserve">The revised historical information and the third-quarter 2026 outlook do not reflect certain arrangements that began on October 1, 2026, namely: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204"/>
        <w:gridCol w:w="101"/>
        <w:gridCol w:w="9493"/>
      </w:tblGrid>
      <w:tr>
        <w:trPr/>
        <w:tc>
          <w:tcPr>
            <w:tcW w:w="40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Calibri" w:hAnsi="Calibri"/>
                <w:sz w:val="18"/>
              </w:rPr>
            </w:pPr>
            <w:r>
              <w:rPr>
                <w:rFonts w:ascii="Calibri" w:hAnsi="Calibri"/>
                <w:sz w:val="18"/>
              </w:rPr>
              <w:t xml:space="preserve">Westbridge Print will pay a royalty to Thomson Reuters equal to 20% of its Professional revenue (approximately 85% – 90% of total Westbridge Print revenue) for the exclusive license to distribute the company’s intellectual property in print and on ProView, its eBook platform. </w:t>
            </w:r>
          </w:p>
        </w:tc>
      </w:tr>
    </w:tbl>
    <w:tbl>
      <w:tblPr>
        <w:tblW w:w="5000" w:type="pct"/>
        <w:jc w:val="left"/>
        <w:tblInd w:w="0" w:type="dxa"/>
        <w:tblLayout w:type="fixed"/>
        <w:tblCellMar>
          <w:top w:w="0" w:type="dxa"/>
          <w:left w:w="0" w:type="dxa"/>
          <w:bottom w:w="0" w:type="dxa"/>
          <w:right w:w="0" w:type="dxa"/>
        </w:tblCellMar>
      </w:tblPr>
      <w:tblGrid>
        <w:gridCol w:w="407"/>
        <w:gridCol w:w="204"/>
        <w:gridCol w:w="101"/>
        <w:gridCol w:w="9493"/>
      </w:tblGrid>
      <w:tr>
        <w:trPr/>
        <w:tc>
          <w:tcPr>
            <w:tcW w:w="40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Calibri" w:hAnsi="Calibri"/>
                <w:sz w:val="18"/>
              </w:rPr>
            </w:pPr>
            <w:r>
              <w:rPr>
                <w:rFonts w:ascii="Calibri" w:hAnsi="Calibri"/>
                <w:sz w:val="18"/>
              </w:rPr>
              <w:t xml:space="preserve">Westbridge Print has entered into a multi-year agreement with Thomson Reuters where it will reimburse the company for certain transition services as the joint venture migrates to a standalone entity. </w:t>
            </w:r>
          </w:p>
        </w:tc>
      </w:tr>
    </w:tbl>
    <w:p>
      <w:pPr>
        <w:pStyle w:val="TextBody"/>
        <w:bidi w:val="0"/>
        <w:spacing w:before="120" w:after="0"/>
        <w:jc w:val="left"/>
        <w:rPr>
          <w:rFonts w:ascii="Calibri" w:hAnsi="Calibri"/>
          <w:sz w:val="18"/>
        </w:rPr>
      </w:pPr>
      <w:r>
        <w:rPr>
          <w:rFonts w:ascii="Calibri" w:hAnsi="Calibri"/>
          <w:sz w:val="18"/>
        </w:rPr>
        <w:t xml:space="preserve">Beginning with fourth-quarter results, the impact of the royalty and transitional services arrangements are expected to largely offset stranded costs from the separation. As a result, the company continues to expect the impact from the Global Print transaction to be approximately neutral to adjusted EBITDA margin following the transaction close, as well as 60 – 70 basis points accretive to annual organic revenue growth. </w:t>
      </w:r>
    </w:p>
    <w:p>
      <w:pPr>
        <w:pStyle w:val="TextBody"/>
        <w:bidi w:val="0"/>
        <w:spacing w:before="160" w:after="0"/>
        <w:jc w:val="left"/>
        <w:rPr>
          <w:rFonts w:ascii="Calibri" w:hAnsi="Calibri"/>
          <w:sz w:val="18"/>
        </w:rPr>
      </w:pPr>
      <w:r>
        <w:rPr>
          <w:rFonts w:ascii="Calibri" w:hAnsi="Calibri"/>
          <w:sz w:val="18"/>
        </w:rPr>
        <w:t xml:space="preserve">The company will issue a revised full-year 2026 outlook when it reports its third-quarter earnings on November 3, 2026. </w:t>
      </w:r>
    </w:p>
    <w:p>
      <w:pPr>
        <w:pStyle w:val="TextBody"/>
        <w:bidi w:val="0"/>
        <w:spacing w:before="160" w:after="0"/>
        <w:jc w:val="left"/>
        <w:rPr>
          <w:rFonts w:ascii="Calibri" w:hAnsi="Calibri"/>
          <w:b/>
          <w:sz w:val="18"/>
        </w:rPr>
      </w:pPr>
      <w:r>
        <w:rPr>
          <w:rFonts w:ascii="Calibri" w:hAnsi="Calibri"/>
          <w:b/>
          <w:sz w:val="18"/>
        </w:rPr>
        <w:t xml:space="preserve">Thomson Reuters </w:t>
      </w:r>
    </w:p>
    <w:p>
      <w:pPr>
        <w:pStyle w:val="TextBody"/>
        <w:bidi w:val="0"/>
        <w:spacing w:before="0" w:after="0"/>
        <w:jc w:val="left"/>
        <w:rPr>
          <w:rFonts w:ascii="Calibri" w:hAnsi="Calibri"/>
          <w:sz w:val="18"/>
        </w:rPr>
      </w:pPr>
      <w:r>
        <w:rPr>
          <w:rFonts w:ascii="Calibri" w:hAnsi="Calibri"/>
          <w:sz w:val="18"/>
        </w:rPr>
        <w:t xml:space="preserve">Thomson Reuters (TSX/Nasdaq: TRI) informs the way forward by bringing together the trusted content and technology that people and organizations need to make the right decisions. The company serves professionals across legal, tax, audit, accounting, compliance, government, and media. Its products combine highly specialized software and insights to empower professionals with the data, intelligence, and solutions needed to make informed decisions, and to help institutions in their pursuit of justice, truth and transparency. Reuters, part of Thomson Reuters, is a world leading provider of trusted journalism and news. For more information, visit thomsonreuters.com. </w:t>
      </w:r>
    </w:p>
    <w:p>
      <w:pPr>
        <w:pStyle w:val="TextBody"/>
        <w:bidi w:val="0"/>
        <w:spacing w:before="360" w:after="0"/>
        <w:jc w:val="left"/>
        <w:rPr>
          <w:rFonts w:ascii="Calibri" w:hAnsi="Calibri"/>
          <w:b/>
          <w:sz w:val="18"/>
        </w:rPr>
      </w:pPr>
      <w:r>
        <w:rPr>
          <w:rFonts w:ascii="Calibri" w:hAnsi="Calibri"/>
          <w:b/>
          <w:sz w:val="18"/>
        </w:rPr>
        <w:t xml:space="preserve">NON-IFRS FINANCIAL MEASURES </w:t>
      </w:r>
    </w:p>
    <w:p>
      <w:pPr>
        <w:pStyle w:val="TextBody"/>
        <w:bidi w:val="0"/>
        <w:spacing w:before="0" w:after="0"/>
        <w:jc w:val="left"/>
        <w:rPr>
          <w:rFonts w:ascii="Calibri" w:hAnsi="Calibri"/>
          <w:i/>
          <w:sz w:val="18"/>
        </w:rPr>
      </w:pPr>
      <w:r>
        <w:rPr>
          <w:rFonts w:ascii="Calibri" w:hAnsi="Calibri"/>
          <w:i/>
          <w:sz w:val="18"/>
        </w:rPr>
        <w:t xml:space="preserve">Thomson Reuters prepares its financial statements in accordance with International Financial Reporting Standards (IFRS), as issued by the International Accounting Standards Board (IASB). </w:t>
      </w:r>
    </w:p>
    <w:p>
      <w:pPr>
        <w:pStyle w:val="TextBody"/>
        <w:bidi w:val="0"/>
        <w:spacing w:before="240" w:after="0"/>
        <w:jc w:val="left"/>
        <w:rPr>
          <w:rFonts w:ascii="Calibri" w:hAnsi="Calibri"/>
          <w:i/>
          <w:sz w:val="18"/>
        </w:rPr>
      </w:pPr>
      <w:r>
        <w:rPr>
          <w:rFonts w:ascii="Calibri" w:hAnsi="Calibri"/>
          <w:i/>
          <w:sz w:val="18"/>
        </w:rPr>
        <w:t xml:space="preserve">This news release and accompanying web site post include certain non-IFRS financial measures, which include ratios that incorporate one or more non-IFRS financial measures, such as adjusted EBITDA (other than at the customer segment level) and the related margin, adjusted earnings and adjusted EPS, as well as financial measures for the “Big 3” segments. Non-IFRS financial measures are defined and reconciled to the most directly comparable IFRS measures in the supplemental schedules provided herein and on the website. Changes in revenues computed on an organic basis represent changes in revenues of the company’s existing businesses at constant currency. The metric excludes the distortive impacts of acquisitions and dispositions from not owning the business in both comparable periods. </w:t>
      </w:r>
    </w:p>
    <w:p>
      <w:pPr>
        <w:pStyle w:val="TextBody"/>
        <w:bidi w:val="0"/>
        <w:spacing w:before="240" w:after="0"/>
        <w:jc w:val="left"/>
        <w:rPr>
          <w:rFonts w:ascii="Calibri" w:hAnsi="Calibri"/>
          <w:i/>
          <w:sz w:val="18"/>
        </w:rPr>
      </w:pPr>
      <w:r>
        <w:rPr>
          <w:rFonts w:ascii="Calibri" w:hAnsi="Calibri"/>
          <w:i/>
          <w:sz w:val="18"/>
        </w:rPr>
        <w:t xml:space="preserve">Thomson Reuters uses these non-IFRS financial measures as supplemental indicators of its operating performance and financial position as well as for internal planning purposes and the company’s business outlook. Additionally, Thomson Reuters uses non-IFRS measures as the basis for management incentive programs. These measures do not have any standardized meanings prescribed by IFRS and therefore are unlikely to be comparable to the calculation of similar measures used by other companies and should not be viewed as alternatives to measures of financial performance calculated in accordance with IFRS. The company’s 2026 outlook contains various non-IFRS financial measures. The company believes that providing reconciliations of forward-looking non-IFRS financial measures in its outlook would be potentially misleading and not practical due to the difficulty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left"/>
        <w:rPr/>
      </w:pPr>
      <w:r>
        <w:rPr/>
        <w:drawing>
          <wp:inline distT="0" distB="0" distL="0" distR="0">
            <wp:extent cx="1504950" cy="5905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04950" cy="590550"/>
                    </a:xfrm>
                    <a:prstGeom prst="rect">
                      <a:avLst/>
                    </a:prstGeom>
                  </pic:spPr>
                </pic:pic>
              </a:graphicData>
            </a:graphic>
          </wp:inline>
        </w:drawing>
      </w:r>
      <w:r>
        <w:rPr/>
        <w:t xml:space="preserve"> </w:t>
      </w:r>
    </w:p>
    <w:p>
      <w:pPr>
        <w:pStyle w:val="TextBody"/>
        <w:bidi w:val="0"/>
        <w:spacing w:before="120" w:after="0"/>
        <w:jc w:val="left"/>
        <w:rPr>
          <w:rFonts w:ascii="Calibri" w:hAnsi="Calibri"/>
          <w:color w:val="D64000"/>
          <w:sz w:val="32"/>
        </w:rPr>
      </w:pPr>
      <w:r>
        <w:rPr>
          <w:rFonts w:ascii="Calibri" w:hAnsi="Calibri"/>
          <w:color w:val="D64000"/>
          <w:sz w:val="32"/>
        </w:rPr>
        <w:t xml:space="preserve">NEWS RELEASE </w:t>
      </w:r>
    </w:p>
    <w:p>
      <w:pPr>
        <w:pStyle w:val="TextBody"/>
        <w:bidi w:val="0"/>
        <w:spacing w:before="240" w:after="0"/>
        <w:jc w:val="left"/>
        <w:rPr>
          <w:rFonts w:ascii="Calibri" w:hAnsi="Calibri"/>
          <w:sz w:val="20"/>
        </w:rPr>
      </w:pPr>
      <w:r>
        <w:rPr>
          <w:rFonts w:ascii="Calibri" w:hAnsi="Calibri"/>
          <w:sz w:val="20"/>
        </w:rPr>
        <w:t xml:space="preserve">Thomson Reuters Provides Supplemental Financial Information Following Close of Global Print Transaction </w:t>
      </w:r>
    </w:p>
    <w:p>
      <w:pPr>
        <w:pStyle w:val="TextBody"/>
        <w:bidi w:val="0"/>
        <w:spacing w:before="0" w:after="0"/>
        <w:jc w:val="left"/>
        <w:rPr>
          <w:rFonts w:ascii="Calibri" w:hAnsi="Calibri"/>
          <w:sz w:val="20"/>
        </w:rPr>
      </w:pPr>
      <w:r>
        <w:rPr>
          <w:rFonts w:ascii="Calibri" w:hAnsi="Calibri"/>
          <w:sz w:val="20"/>
        </w:rPr>
        <w:t xml:space="preserve">Page 2 of 8 </w:t>
      </w:r>
    </w:p>
    <w:p>
      <w:pPr>
        <w:pStyle w:val="TextBody"/>
        <w:bidi w:val="0"/>
        <w:spacing w:before="0" w:after="0"/>
        <w:jc w:val="left"/>
        <w:rPr/>
      </w:pPr>
      <w:r>
        <w:rPr/>
        <w:t> </w:t>
      </w:r>
    </w:p>
    <w:p>
      <w:pPr>
        <w:pStyle w:val="TextBody"/>
        <w:bidi w:val="0"/>
        <w:spacing w:before="0" w:after="0"/>
        <w:jc w:val="left"/>
        <w:rPr>
          <w:rFonts w:ascii="Calibri" w:hAnsi="Calibri"/>
          <w:i/>
          <w:sz w:val="18"/>
        </w:rPr>
      </w:pPr>
      <w:r>
        <w:rPr>
          <w:rFonts w:ascii="Calibri" w:hAnsi="Calibri"/>
          <w:i/>
          <w:sz w:val="18"/>
        </w:rPr>
        <w:t xml:space="preserve">of projecting items that are not reflective of ongoing operations in any future period. The magnitude of these items may be significant. Consequently, for purposes of its outlook only, the company is unable to reconcile these non-IFRS measures to the most directly comparable IFRS measures because it cannot predict, with reasonable certainty, the impacts of changes in foreign exchange rates which impact (i) the translation of its results reported at average foreign currency rates for the year, and (ii) other finance income or expense related to intercompany financing arrangements. Additionally, the company cannot reasonably predict the occurrence or amount of other operating gains and losses that generally arise from business transactions that the company does not currently anticipate. </w:t>
      </w:r>
    </w:p>
    <w:p>
      <w:pPr>
        <w:pStyle w:val="TextBody"/>
        <w:bidi w:val="0"/>
        <w:spacing w:before="240" w:after="0"/>
        <w:jc w:val="left"/>
        <w:rPr>
          <w:rFonts w:ascii="Calibri" w:hAnsi="Calibri"/>
          <w:b/>
          <w:sz w:val="18"/>
        </w:rPr>
      </w:pPr>
      <w:r>
        <w:rPr>
          <w:rFonts w:ascii="Calibri" w:hAnsi="Calibri"/>
          <w:b/>
          <w:sz w:val="18"/>
        </w:rPr>
        <w:t xml:space="preserve">SPECIAL NOTE REGARDING FORWARD-LOOKING STATEMENTS, MATERIAL RISKS AND MATERIAL ASSUMPTIONS </w:t>
      </w:r>
    </w:p>
    <w:p>
      <w:pPr>
        <w:pStyle w:val="TextBody"/>
        <w:bidi w:val="0"/>
        <w:spacing w:before="0" w:after="0"/>
        <w:jc w:val="left"/>
        <w:rPr>
          <w:rFonts w:ascii="Calibri" w:hAnsi="Calibri"/>
          <w:i/>
          <w:sz w:val="18"/>
        </w:rPr>
      </w:pPr>
      <w:r>
        <w:rPr>
          <w:rFonts w:ascii="Calibri" w:hAnsi="Calibri"/>
          <w:i/>
          <w:sz w:val="18"/>
        </w:rPr>
        <w:t xml:space="preserve">Certain statements in this news release, including statements regarding the company’s expectations with respect to impacts from certain arrangements entered into with the Global Print joint venture are forward looking. The words “will”, “expect”, “believe”, “target”, “estimate”, “could”, “should”, “intend”, “predict”, “project” and similar expressions identify forward-looking statements. While the company believes that it has a reasonable basis for making forward-looking statements in this news release, they are not a guarantee of future performance or outcomes and there is no assurance that any of the other events described in any forward-looking statement will materialize. Forward-looking statements are subject to a number of risks, uncertainties and assumptions that could cause actual results or events to differ materially from current expectations. Many of these risks, uncertainties and assumptions are beyond the company’s control and the effects of them can be difficult to predict. Some of the material risk factors that could cause actual results or events to differ materially from those expressed in or implied by forward-looking statements in this news release include, but are not limited to, those discussed on pages 19-32 in the “Risk Factors” section of the company’s 2025 annual report. These and other risk factors are discussed in materials that Thomson Reuters from time-to-time files with, or furnishes to, the Canadian securities regulatory authorities and the U.S. Securities and Exchange Commission (SEC). Thomson Reuters’ annual and quarterly reports are also available in the “Investor Relations” section of thomsonreuters.com. </w:t>
      </w:r>
    </w:p>
    <w:p>
      <w:pPr>
        <w:pStyle w:val="TextBody"/>
        <w:bidi w:val="0"/>
        <w:spacing w:before="160" w:after="0"/>
        <w:jc w:val="left"/>
        <w:rPr>
          <w:rFonts w:ascii="Calibri" w:hAnsi="Calibri"/>
          <w:i/>
          <w:sz w:val="18"/>
        </w:rPr>
      </w:pPr>
      <w:r>
        <w:rPr>
          <w:rFonts w:ascii="Calibri" w:hAnsi="Calibri"/>
          <w:i/>
          <w:sz w:val="18"/>
        </w:rPr>
        <w:t xml:space="preserve">The company’s 2026 business outlook is based on information currently available to the company and is based on various external and internal assumptions made by the company in light of its experience and perception of historical trends, current conditions and expected future developments, as well as other factors that the company believes are appropriate under the circumstances. Material assumptions and material risks may cause actual performance to differ from the company’s expectations underlying its 2026 business outlook. In particular, the global economy has experienced substantial disruption due to concerns regarding economic effects associated with the macroeconomic backdrop and ongoing geopolitical risks. The company’s 2026 business outlook assumes that uncertain macroeconomic and geopolitical conditions will continue to disrupt the economy and cause periods of volatility, however, these conditions may last substantially longer than expected and any worsening of the global economic or business environment could impact the company’s ability to achieve its outlook and affect its results and other expectations. For a discussion of material assumptions and material risks related to the company’s 2026 outlook see pages 18-19 of the company’s second-quarter management’s discussion and analysis (MD&amp;A) for the period ended June 30, 2026. The company’s quarterly MD&amp;A was filed with, or furnished to, the Canadian securities regulatory authorities and the U.S. SEC and is also available in the “Investor Relations” section of thomsonreuters.com. </w:t>
      </w:r>
    </w:p>
    <w:p>
      <w:pPr>
        <w:pStyle w:val="TextBody"/>
        <w:bidi w:val="0"/>
        <w:spacing w:before="160" w:after="0"/>
        <w:jc w:val="left"/>
        <w:rPr>
          <w:rFonts w:ascii="Calibri" w:hAnsi="Calibri"/>
          <w:i/>
          <w:sz w:val="18"/>
        </w:rPr>
      </w:pPr>
      <w:r>
        <w:rPr>
          <w:rFonts w:ascii="Calibri" w:hAnsi="Calibri"/>
          <w:i/>
          <w:sz w:val="18"/>
        </w:rPr>
        <w:t xml:space="preserve">The company has provided an outlook for the purpose of presenting information about current expectations for the period presented. This information may not be appropriate for other purposes. You are cautioned not to place undue reliance on forward-looking statements which reflect expectations only as of the date of this news release. </w:t>
      </w:r>
    </w:p>
    <w:p>
      <w:pPr>
        <w:pStyle w:val="TextBody"/>
        <w:bidi w:val="0"/>
        <w:spacing w:before="160" w:after="0"/>
        <w:jc w:val="left"/>
        <w:rPr>
          <w:rFonts w:ascii="Calibri" w:hAnsi="Calibri"/>
          <w:i/>
          <w:sz w:val="18"/>
        </w:rPr>
      </w:pPr>
      <w:r>
        <w:rPr>
          <w:rFonts w:ascii="Calibri" w:hAnsi="Calibri"/>
          <w:i/>
          <w:sz w:val="18"/>
        </w:rPr>
        <w:t xml:space="preserve">Except as may be required by applicable law, Thomson Reuters disclaims any obligation to update or revise any forward-looking statements. </w:t>
      </w:r>
    </w:p>
    <w:p>
      <w:pPr>
        <w:pStyle w:val="TextBody"/>
        <w:bidi w:val="0"/>
        <w:spacing w:before="160" w:after="0"/>
        <w:jc w:val="left"/>
        <w:rPr>
          <w:rFonts w:ascii="Calibri" w:hAnsi="Calibri"/>
          <w:b/>
          <w:sz w:val="16"/>
        </w:rPr>
      </w:pPr>
      <w:r>
        <w:rPr>
          <w:rFonts w:ascii="Calibri" w:hAnsi="Calibri"/>
          <w:b/>
          <w:sz w:val="16"/>
        </w:rPr>
        <w:t xml:space="preserve">CONTACTS </w:t>
      </w:r>
    </w:p>
    <w:p>
      <w:pPr>
        <w:pStyle w:val="TextBody"/>
        <w:bidi w:val="0"/>
        <w:spacing w:before="0" w:after="0"/>
        <w:jc w:val="left"/>
        <w:rPr>
          <w:rFonts w:ascii="Calibri" w:hAnsi="Calibri"/>
          <w:sz w:val="16"/>
        </w:rPr>
      </w:pPr>
      <w:r>
        <w:rPr>
          <w:rFonts w:ascii="Calibri" w:hAnsi="Calibri"/>
          <w:sz w:val="16"/>
        </w:rPr>
        <w:t xml:space="preserve">MEDIA </w:t>
      </w:r>
    </w:p>
    <w:p>
      <w:pPr>
        <w:pStyle w:val="TextBody"/>
        <w:bidi w:val="0"/>
        <w:spacing w:before="0" w:after="0"/>
        <w:jc w:val="left"/>
        <w:rPr>
          <w:rFonts w:ascii="Calibri" w:hAnsi="Calibri"/>
          <w:sz w:val="16"/>
        </w:rPr>
      </w:pPr>
      <w:r>
        <w:rPr>
          <w:rFonts w:ascii="Calibri" w:hAnsi="Calibri"/>
          <w:sz w:val="16"/>
        </w:rPr>
        <w:t xml:space="preserve">Zoe Zanettos </w:t>
      </w:r>
    </w:p>
    <w:p>
      <w:pPr>
        <w:pStyle w:val="TextBody"/>
        <w:bidi w:val="0"/>
        <w:spacing w:before="0" w:after="0"/>
        <w:jc w:val="left"/>
        <w:rPr>
          <w:rFonts w:ascii="Calibri" w:hAnsi="Calibri"/>
          <w:sz w:val="16"/>
        </w:rPr>
      </w:pPr>
      <w:r>
        <w:rPr>
          <w:rFonts w:ascii="Calibri" w:hAnsi="Calibri"/>
          <w:sz w:val="16"/>
        </w:rPr>
        <w:t xml:space="preserve">Corporate Affairs </w:t>
      </w:r>
    </w:p>
    <w:p>
      <w:pPr>
        <w:pStyle w:val="TextBody"/>
        <w:bidi w:val="0"/>
        <w:spacing w:before="0" w:after="0"/>
        <w:jc w:val="left"/>
        <w:rPr>
          <w:rFonts w:ascii="Calibri" w:hAnsi="Calibri"/>
          <w:sz w:val="16"/>
        </w:rPr>
      </w:pPr>
      <w:r>
        <w:rPr>
          <w:rFonts w:ascii="Calibri" w:hAnsi="Calibri"/>
          <w:sz w:val="16"/>
        </w:rPr>
        <w:t xml:space="preserve">+1 647 202 8948 </w:t>
      </w:r>
    </w:p>
    <w:p>
      <w:pPr>
        <w:pStyle w:val="TextBody"/>
        <w:bidi w:val="0"/>
        <w:spacing w:before="0" w:after="0"/>
        <w:jc w:val="left"/>
        <w:rPr>
          <w:rFonts w:ascii="Calibri" w:hAnsi="Calibri"/>
          <w:sz w:val="16"/>
        </w:rPr>
      </w:pPr>
      <w:r>
        <w:rPr>
          <w:rFonts w:ascii="Calibri" w:hAnsi="Calibri"/>
          <w:sz w:val="16"/>
        </w:rPr>
        <w:t xml:space="preserve">zoe.zanettos@thomsonreuters.com </w:t>
      </w:r>
    </w:p>
    <w:p>
      <w:pPr>
        <w:pStyle w:val="TextBody"/>
        <w:bidi w:val="0"/>
        <w:spacing w:before="200" w:after="0"/>
        <w:jc w:val="left"/>
        <w:rPr>
          <w:rFonts w:ascii="Calibri" w:hAnsi="Calibri"/>
          <w:sz w:val="16"/>
        </w:rPr>
      </w:pPr>
      <w:r>
        <w:rPr>
          <w:rFonts w:ascii="Calibri" w:hAnsi="Calibri"/>
          <w:sz w:val="16"/>
        </w:rPr>
        <w:t xml:space="preserve">INVESTORS </w:t>
      </w:r>
    </w:p>
    <w:p>
      <w:pPr>
        <w:pStyle w:val="TextBody"/>
        <w:bidi w:val="0"/>
        <w:spacing w:before="0" w:after="0"/>
        <w:jc w:val="left"/>
        <w:rPr>
          <w:rFonts w:ascii="Calibri" w:hAnsi="Calibri"/>
          <w:sz w:val="16"/>
        </w:rPr>
      </w:pPr>
      <w:r>
        <w:rPr>
          <w:rFonts w:ascii="Calibri" w:hAnsi="Calibri"/>
          <w:sz w:val="16"/>
        </w:rPr>
        <w:t xml:space="preserve">Gary E. Bisbee, CFA </w:t>
      </w:r>
    </w:p>
    <w:p>
      <w:pPr>
        <w:pStyle w:val="TextBody"/>
        <w:bidi w:val="0"/>
        <w:spacing w:before="0" w:after="0"/>
        <w:jc w:val="left"/>
        <w:rPr>
          <w:rFonts w:ascii="Calibri" w:hAnsi="Calibri"/>
          <w:sz w:val="16"/>
        </w:rPr>
      </w:pPr>
      <w:r>
        <w:rPr>
          <w:rFonts w:ascii="Calibri" w:hAnsi="Calibri"/>
          <w:sz w:val="16"/>
        </w:rPr>
        <w:t xml:space="preserve">Head of Investor Relations </w:t>
      </w:r>
    </w:p>
    <w:p>
      <w:pPr>
        <w:pStyle w:val="TextBody"/>
        <w:bidi w:val="0"/>
        <w:spacing w:before="0" w:after="0"/>
        <w:jc w:val="left"/>
        <w:rPr>
          <w:rFonts w:ascii="Calibri" w:hAnsi="Calibri"/>
          <w:sz w:val="16"/>
        </w:rPr>
      </w:pPr>
      <w:r>
        <w:rPr>
          <w:rFonts w:ascii="Calibri" w:hAnsi="Calibri"/>
          <w:sz w:val="16"/>
        </w:rPr>
        <w:t xml:space="preserve">+1 646 540 3249 </w:t>
      </w:r>
    </w:p>
    <w:p>
      <w:pPr>
        <w:pStyle w:val="TextBody"/>
        <w:bidi w:val="0"/>
        <w:spacing w:before="0" w:after="0"/>
        <w:jc w:val="left"/>
        <w:rPr>
          <w:rFonts w:ascii="Calibri" w:hAnsi="Calibri"/>
          <w:sz w:val="16"/>
        </w:rPr>
      </w:pPr>
      <w:r>
        <w:rPr>
          <w:rFonts w:ascii="Calibri" w:hAnsi="Calibri"/>
          <w:sz w:val="16"/>
        </w:rPr>
        <w:t xml:space="preserve">gary.bisbee@thomsonreuters.com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750"/>
        <w:gridCol w:w="122"/>
        <w:gridCol w:w="1333"/>
      </w:tblGrid>
      <w:tr>
        <w:trPr/>
        <w:tc>
          <w:tcPr>
            <w:tcW w:w="875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r>
      <w:tr>
        <w:trPr/>
        <w:tc>
          <w:tcPr>
            <w:tcW w:w="8750" w:type="dxa"/>
            <w:tcBorders/>
          </w:tcPr>
          <w:p>
            <w:pPr>
              <w:pStyle w:val="TableContents"/>
              <w:bidi w:val="0"/>
              <w:spacing w:before="0" w:after="0"/>
              <w:jc w:val="left"/>
              <w:rPr>
                <w:rFonts w:ascii="Calibri" w:hAnsi="Calibri"/>
                <w:b/>
                <w:sz w:val="16"/>
              </w:rPr>
            </w:pPr>
            <w:r>
              <w:rPr>
                <w:rFonts w:ascii="Calibri" w:hAnsi="Calibri"/>
                <w:b/>
                <w:sz w:val="16"/>
              </w:rPr>
              <w:t>THOMSON REUTERS CORPORATION</w:t>
            </w:r>
          </w:p>
          <w:p>
            <w:pPr>
              <w:pStyle w:val="TableContents"/>
              <w:bidi w:val="0"/>
              <w:spacing w:before="0" w:after="0"/>
              <w:jc w:val="left"/>
              <w:rPr>
                <w:rFonts w:ascii="Calibri" w:hAnsi="Calibri"/>
                <w:b/>
                <w:sz w:val="16"/>
              </w:rPr>
            </w:pPr>
            <w:r>
              <w:rPr>
                <w:rFonts w:ascii="Calibri" w:hAnsi="Calibri"/>
                <w:b/>
                <w:sz w:val="16"/>
              </w:rPr>
              <w:t>SUPPLEMENTAL FINANCIAL INFORMATION- REVISIONS TO SEGMENT REVENUES, ADJUSTED EBITDA AND THE RELATED MARGINS</w:t>
            </w:r>
          </w:p>
          <w:p>
            <w:pPr>
              <w:pStyle w:val="TableContents"/>
              <w:bidi w:val="0"/>
              <w:spacing w:before="0" w:after="0"/>
              <w:jc w:val="left"/>
              <w:rPr>
                <w:rFonts w:ascii="Calibri" w:hAnsi="Calibri"/>
                <w:b/>
                <w:sz w:val="16"/>
              </w:rPr>
            </w:pPr>
            <w:r>
              <w:rPr>
                <w:rFonts w:ascii="Calibri" w:hAnsi="Calibri"/>
                <w:b/>
                <w:sz w:val="16"/>
              </w:rPr>
              <w:t>REVISED CONSOLIDATED ADJUSTED EARNINGS</w:t>
            </w:r>
          </w:p>
          <w:p>
            <w:pPr>
              <w:pStyle w:val="TableContents"/>
              <w:bidi w:val="0"/>
              <w:spacing w:before="0" w:after="0"/>
              <w:jc w:val="left"/>
              <w:rPr>
                <w:rFonts w:ascii="Calibri" w:hAnsi="Calibri"/>
                <w:b/>
                <w:sz w:val="13"/>
              </w:rPr>
            </w:pPr>
            <w:r>
              <w:rPr>
                <w:rFonts w:ascii="Calibri" w:hAnsi="Calibri"/>
                <w:b/>
                <w:sz w:val="13"/>
              </w:rPr>
              <w:t>(UNAUDITED)</w:t>
            </w:r>
          </w:p>
          <w:p>
            <w:pPr>
              <w:pStyle w:val="TableContents"/>
              <w:bidi w:val="0"/>
              <w:spacing w:before="0" w:after="20"/>
              <w:jc w:val="left"/>
              <w:rPr>
                <w:rFonts w:ascii="Calibri" w:hAnsi="Calibri"/>
                <w:sz w:val="13"/>
              </w:rPr>
            </w:pPr>
            <w:r>
              <w:rPr>
                <w:rFonts w:ascii="Calibri" w:hAnsi="Calibri"/>
                <w:sz w:val="13"/>
              </w:rPr>
              <w:t>(millions of U.S. dollars, except margins)</w:t>
            </w:r>
          </w:p>
        </w:tc>
        <w:tc>
          <w:tcPr>
            <w:tcW w:w="122" w:type="dxa"/>
            <w:tcBorders/>
            <w:vAlign w:val="bottom"/>
          </w:tcPr>
          <w:p>
            <w:pPr>
              <w:pStyle w:val="TableContents"/>
              <w:bidi w:val="0"/>
              <w:spacing w:before="0" w:after="283"/>
              <w:jc w:val="left"/>
              <w:rPr/>
            </w:pPr>
            <w:r>
              <w:rPr/>
              <w:t>  </w:t>
            </w:r>
          </w:p>
        </w:tc>
        <w:tc>
          <w:tcPr>
            <w:tcW w:w="1333" w:type="dxa"/>
            <w:tcBorders/>
            <w:vAlign w:val="center"/>
          </w:tcPr>
          <w:p>
            <w:pPr>
              <w:pStyle w:val="TableContents"/>
              <w:bidi w:val="0"/>
              <w:spacing w:before="0" w:after="0"/>
              <w:jc w:val="center"/>
              <w:rPr>
                <w:rFonts w:ascii="Calibri" w:hAnsi="Calibri"/>
                <w:b/>
                <w:sz w:val="16"/>
              </w:rPr>
            </w:pPr>
            <w:r>
              <w:rPr>
                <w:rFonts w:ascii="Calibri" w:hAnsi="Calibri"/>
                <w:b/>
                <w:sz w:val="16"/>
              </w:rPr>
              <w:t>October 19, 2026</w:t>
            </w:r>
          </w:p>
          <w:p>
            <w:pPr>
              <w:pStyle w:val="TableContents"/>
              <w:bidi w:val="0"/>
              <w:spacing w:before="0" w:after="20"/>
              <w:jc w:val="center"/>
              <w:rPr>
                <w:rFonts w:ascii="Calibri" w:hAnsi="Calibri"/>
                <w:b/>
                <w:sz w:val="16"/>
              </w:rPr>
            </w:pPr>
            <w:r>
              <w:rPr>
                <w:rFonts w:ascii="Calibri" w:hAnsi="Calibri"/>
                <w:b/>
                <w:sz w:val="16"/>
              </w:rPr>
              <w:t>Page 3</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40" w:type="dxa"/>
            </w:tcMar>
          </w:tcPr>
          <w:p>
            <w:pPr>
              <w:pStyle w:val="TableContents"/>
              <w:bidi w:val="0"/>
              <w:spacing w:before="0" w:after="0"/>
              <w:jc w:val="left"/>
              <w:rPr>
                <w:rFonts w:ascii="Calibri" w:hAnsi="Calibri"/>
                <w:sz w:val="16"/>
              </w:rPr>
            </w:pPr>
            <w:r>
              <w:rPr>
                <w:rFonts w:ascii="Calibri" w:hAnsi="Calibri"/>
                <w:sz w:val="16"/>
              </w:rPr>
              <w:t>On October 1, 2026, Thomson Reuters sold a 51% stake in its Global Print business to capital accounts advised by KKR, with the two parties forming a joint venture to operate the Global Print business, now operating as Westbridge Print. As a result of this transaction, Thomson Reuters will report Global Print in discontinued operations beginning in the third-quarter of 2026. Prior periods presented will be restated to reflect this change. The following supplemental information provides revised business segment information for each quarter and the six-month period of 2026, excluding the Global Print business. The information provides the company’s historical results on a continuing operations basis. Refer to the company’s press release dated October 19, 2026, “Thomson Reuters Provides Supplemental Financial Information Following Close of Global Print Transaction” for further information.</w:t>
            </w:r>
          </w:p>
          <w:p>
            <w:pPr>
              <w:pStyle w:val="TableContents"/>
              <w:bidi w:val="0"/>
              <w:spacing w:before="0" w:after="20"/>
              <w:jc w:val="left"/>
              <w:rPr/>
            </w:pPr>
            <w:r>
              <w:rPr/>
              <w:t> </w:t>
            </w:r>
          </w:p>
        </w:tc>
      </w:tr>
    </w:tbl>
    <w:p>
      <w:pPr>
        <w:pStyle w:val="TextBody"/>
        <w:bidi w:val="0"/>
        <w:spacing w:before="0" w:after="0"/>
        <w:jc w:val="left"/>
        <w:rPr/>
      </w:pPr>
      <w:r>
        <w:rPr/>
        <w:t> </w:t>
      </w:r>
    </w:p>
    <w:tbl>
      <w:tblPr>
        <w:tblW w:w="12545" w:type="dxa"/>
        <w:jc w:val="center"/>
        <w:tblInd w:w="0" w:type="dxa"/>
        <w:tblLayout w:type="fixed"/>
        <w:tblCellMar>
          <w:top w:w="0" w:type="dxa"/>
          <w:left w:w="0" w:type="dxa"/>
          <w:bottom w:w="0" w:type="dxa"/>
          <w:right w:w="0" w:type="dxa"/>
        </w:tblCellMar>
      </w:tblPr>
      <w:tblGrid>
        <w:gridCol w:w="1910"/>
        <w:gridCol w:w="120"/>
        <w:gridCol w:w="69"/>
        <w:gridCol w:w="791"/>
        <w:gridCol w:w="60"/>
        <w:gridCol w:w="120"/>
        <w:gridCol w:w="69"/>
        <w:gridCol w:w="791"/>
        <w:gridCol w:w="60"/>
        <w:gridCol w:w="120"/>
        <w:gridCol w:w="87"/>
        <w:gridCol w:w="998"/>
        <w:gridCol w:w="60"/>
        <w:gridCol w:w="120"/>
        <w:gridCol w:w="30"/>
        <w:gridCol w:w="30"/>
        <w:gridCol w:w="60"/>
        <w:gridCol w:w="120"/>
        <w:gridCol w:w="60"/>
        <w:gridCol w:w="860"/>
        <w:gridCol w:w="60"/>
        <w:gridCol w:w="120"/>
        <w:gridCol w:w="60"/>
        <w:gridCol w:w="860"/>
        <w:gridCol w:w="60"/>
        <w:gridCol w:w="120"/>
        <w:gridCol w:w="70"/>
        <w:gridCol w:w="1015"/>
        <w:gridCol w:w="60"/>
        <w:gridCol w:w="120"/>
        <w:gridCol w:w="30"/>
        <w:gridCol w:w="30"/>
        <w:gridCol w:w="60"/>
        <w:gridCol w:w="120"/>
        <w:gridCol w:w="69"/>
        <w:gridCol w:w="791"/>
        <w:gridCol w:w="60"/>
        <w:gridCol w:w="120"/>
        <w:gridCol w:w="69"/>
        <w:gridCol w:w="791"/>
        <w:gridCol w:w="60"/>
        <w:gridCol w:w="120"/>
        <w:gridCol w:w="87"/>
        <w:gridCol w:w="998"/>
        <w:gridCol w:w="60"/>
      </w:tblGrid>
      <w:tr>
        <w:trPr/>
        <w:tc>
          <w:tcPr>
            <w:tcW w:w="191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910" w:type="dxa"/>
            <w:tcBorders/>
            <w:vAlign w:val="center"/>
          </w:tcPr>
          <w:p>
            <w:pPr>
              <w:pStyle w:val="TableContents"/>
              <w:bidi w:val="0"/>
              <w:spacing w:before="0" w:after="283"/>
              <w:jc w:val="left"/>
              <w:rPr>
                <w:b/>
                <w:u w:val="single"/>
              </w:rPr>
            </w:pPr>
            <w:r>
              <w:rPr>
                <w:b/>
                <w:u w:val="single"/>
              </w:rPr>
              <w:t>2026 QUARTERLY &amp; JUNE YEAR-TO-DATE (YTD)</w:t>
            </w:r>
          </w:p>
        </w:tc>
        <w:tc>
          <w:tcPr>
            <w:tcW w:w="120" w:type="dxa"/>
            <w:tcBorders/>
            <w:shd w:fill="D64000" w:val="clear"/>
            <w:vAlign w:val="bottom"/>
          </w:tcPr>
          <w:p>
            <w:pPr>
              <w:pStyle w:val="TableContents"/>
              <w:bidi w:val="0"/>
              <w:spacing w:before="0" w:after="283"/>
              <w:jc w:val="left"/>
              <w:rPr/>
            </w:pPr>
            <w:r>
              <w:rPr/>
              <w:t>  </w:t>
            </w:r>
          </w:p>
        </w:tc>
        <w:tc>
          <w:tcPr>
            <w:tcW w:w="3165" w:type="dxa"/>
            <w:gridSpan w:val="10"/>
            <w:tcBorders/>
            <w:shd w:fill="D64000" w:val="clear"/>
            <w:vAlign w:val="center"/>
          </w:tcPr>
          <w:p>
            <w:pPr>
              <w:pStyle w:val="TableContents"/>
              <w:bidi w:val="0"/>
              <w:spacing w:before="0" w:after="283"/>
              <w:jc w:val="center"/>
              <w:rPr>
                <w:b/>
                <w:color w:val="E5E5E5"/>
              </w:rPr>
            </w:pPr>
            <w:r>
              <w:rPr>
                <w:b/>
                <w:color w:val="E5E5E5"/>
              </w:rPr>
              <w:t>AS REPORTED</w:t>
            </w:r>
          </w:p>
        </w:tc>
        <w:tc>
          <w:tcPr>
            <w:tcW w:w="60" w:type="dxa"/>
            <w:tcBorders/>
            <w:shd w:fill="D64000" w:val="cle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gridSpan w:val="2"/>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shd w:fill="D64000" w:val="clear"/>
            <w:vAlign w:val="bottom"/>
          </w:tcPr>
          <w:p>
            <w:pPr>
              <w:pStyle w:val="TableContents"/>
              <w:bidi w:val="0"/>
              <w:spacing w:before="0" w:after="283"/>
              <w:jc w:val="left"/>
              <w:rPr/>
            </w:pPr>
            <w:r>
              <w:rPr/>
              <w:t>  </w:t>
            </w:r>
          </w:p>
        </w:tc>
        <w:tc>
          <w:tcPr>
            <w:tcW w:w="3285" w:type="dxa"/>
            <w:gridSpan w:val="10"/>
            <w:tcBorders/>
            <w:shd w:fill="D64000" w:val="clear"/>
            <w:vAlign w:val="center"/>
          </w:tcPr>
          <w:p>
            <w:pPr>
              <w:pStyle w:val="TableContents"/>
              <w:bidi w:val="0"/>
              <w:spacing w:before="0" w:after="283"/>
              <w:jc w:val="center"/>
              <w:rPr>
                <w:b/>
                <w:color w:val="E5E5E5"/>
              </w:rPr>
            </w:pPr>
            <w:r>
              <w:rPr>
                <w:b/>
                <w:color w:val="E5E5E5"/>
              </w:rPr>
              <w:t>ADJUSTMENTS</w:t>
            </w:r>
          </w:p>
        </w:tc>
        <w:tc>
          <w:tcPr>
            <w:tcW w:w="60" w:type="dxa"/>
            <w:tcBorders/>
            <w:shd w:fill="D64000" w:val="cle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gridSpan w:val="2"/>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shd w:fill="D64000" w:val="clear"/>
            <w:vAlign w:val="bottom"/>
          </w:tcPr>
          <w:p>
            <w:pPr>
              <w:pStyle w:val="TableContents"/>
              <w:bidi w:val="0"/>
              <w:spacing w:before="0" w:after="283"/>
              <w:jc w:val="left"/>
              <w:rPr/>
            </w:pPr>
            <w:r>
              <w:rPr/>
              <w:t>  </w:t>
            </w:r>
          </w:p>
        </w:tc>
        <w:tc>
          <w:tcPr>
            <w:tcW w:w="3165" w:type="dxa"/>
            <w:gridSpan w:val="10"/>
            <w:tcBorders/>
            <w:shd w:fill="D64000" w:val="clear"/>
            <w:vAlign w:val="center"/>
          </w:tcPr>
          <w:p>
            <w:pPr>
              <w:pStyle w:val="TableContents"/>
              <w:bidi w:val="0"/>
              <w:spacing w:before="0" w:after="283"/>
              <w:jc w:val="center"/>
              <w:rPr>
                <w:b/>
                <w:color w:val="E5E5E5"/>
              </w:rPr>
            </w:pPr>
            <w:r>
              <w:rPr>
                <w:b/>
                <w:color w:val="E5E5E5"/>
              </w:rPr>
              <w:t>AS REVISED</w:t>
            </w:r>
          </w:p>
        </w:tc>
        <w:tc>
          <w:tcPr>
            <w:tcW w:w="60" w:type="dxa"/>
            <w:tcBorders/>
            <w:shd w:fill="D64000" w:val="clear"/>
            <w:vAlign w:val="bottom"/>
          </w:tcPr>
          <w:p>
            <w:pPr>
              <w:pStyle w:val="TableContents"/>
              <w:bidi w:val="0"/>
              <w:spacing w:before="0" w:after="283"/>
              <w:jc w:val="left"/>
              <w:rPr/>
            </w:pPr>
            <w:r>
              <w:rPr/>
              <w:t> </w:t>
            </w:r>
          </w:p>
        </w:tc>
      </w:tr>
      <w:tr>
        <w:trPr/>
        <w:tc>
          <w:tcPr>
            <w:tcW w:w="191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center"/>
              <w:rPr>
                <w:b/>
                <w:u w:val="single"/>
              </w:rPr>
            </w:pPr>
            <w:r>
              <w:rPr>
                <w:b/>
                <w:u w:val="single"/>
              </w:rPr>
              <w:t>Q1 2026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center"/>
              <w:rPr>
                <w:b/>
                <w:u w:val="single"/>
              </w:rPr>
            </w:pPr>
            <w:r>
              <w:rPr>
                <w:b/>
                <w:u w:val="single"/>
              </w:rPr>
              <w:t>Q2 2026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85" w:type="dxa"/>
            <w:gridSpan w:val="2"/>
            <w:tcBorders/>
            <w:vAlign w:val="bottom"/>
          </w:tcPr>
          <w:p>
            <w:pPr>
              <w:pStyle w:val="TableContents"/>
              <w:bidi w:val="0"/>
              <w:spacing w:before="0" w:after="283"/>
              <w:jc w:val="center"/>
              <w:rPr>
                <w:b/>
                <w:u w:val="single"/>
              </w:rPr>
            </w:pPr>
            <w:r>
              <w:rPr>
                <w:b/>
                <w:u w:val="single"/>
              </w:rPr>
              <w:t>YTD 2026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283"/>
              <w:jc w:val="center"/>
              <w:rPr>
                <w:b/>
                <w:u w:val="single"/>
              </w:rPr>
            </w:pPr>
            <w:r>
              <w:rPr>
                <w:b/>
                <w:u w:val="single"/>
              </w:rPr>
              <w:t>Q1 2026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283"/>
              <w:jc w:val="center"/>
              <w:rPr>
                <w:b/>
                <w:u w:val="single"/>
              </w:rPr>
            </w:pPr>
            <w:r>
              <w:rPr>
                <w:b/>
                <w:u w:val="single"/>
              </w:rPr>
              <w:t>Q2 2026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85" w:type="dxa"/>
            <w:gridSpan w:val="2"/>
            <w:tcBorders/>
            <w:vAlign w:val="bottom"/>
          </w:tcPr>
          <w:p>
            <w:pPr>
              <w:pStyle w:val="TableContents"/>
              <w:bidi w:val="0"/>
              <w:spacing w:before="0" w:after="283"/>
              <w:jc w:val="center"/>
              <w:rPr>
                <w:b/>
                <w:u w:val="single"/>
              </w:rPr>
            </w:pPr>
            <w:r>
              <w:rPr>
                <w:b/>
                <w:u w:val="single"/>
              </w:rPr>
              <w:t>YTD 2026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center"/>
              <w:rPr>
                <w:b/>
                <w:u w:val="single"/>
              </w:rPr>
            </w:pPr>
            <w:r>
              <w:rPr>
                <w:b/>
                <w:u w:val="single"/>
              </w:rPr>
              <w:t>Q1 2026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center"/>
              <w:rPr>
                <w:b/>
                <w:u w:val="single"/>
              </w:rPr>
            </w:pPr>
            <w:r>
              <w:rPr>
                <w:b/>
                <w:u w:val="single"/>
              </w:rPr>
              <w:t>Q2 2026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85" w:type="dxa"/>
            <w:gridSpan w:val="2"/>
            <w:tcBorders/>
            <w:vAlign w:val="bottom"/>
          </w:tcPr>
          <w:p>
            <w:pPr>
              <w:pStyle w:val="TableContents"/>
              <w:bidi w:val="0"/>
              <w:spacing w:before="0" w:after="283"/>
              <w:jc w:val="center"/>
              <w:rPr>
                <w:b/>
                <w:u w:val="single"/>
              </w:rPr>
            </w:pPr>
            <w:r>
              <w:rPr>
                <w:b/>
                <w:u w:val="single"/>
              </w:rPr>
              <w:t>YTD 2026</w:t>
            </w:r>
          </w:p>
        </w:tc>
        <w:tc>
          <w:tcPr>
            <w:tcW w:w="60" w:type="dxa"/>
            <w:tcBorders/>
            <w:vAlign w:val="bottom"/>
          </w:tcPr>
          <w:p>
            <w:pPr>
              <w:pStyle w:val="TableContents"/>
              <w:bidi w:val="0"/>
              <w:spacing w:before="0" w:after="283"/>
              <w:jc w:val="left"/>
              <w:rPr/>
            </w:pPr>
            <w:r>
              <w:rPr/>
              <w:t> </w:t>
            </w:r>
          </w:p>
        </w:tc>
      </w:tr>
      <w:tr>
        <w:trPr/>
        <w:tc>
          <w:tcPr>
            <w:tcW w:w="1910" w:type="dxa"/>
            <w:tcBorders/>
            <w:vAlign w:val="bottom"/>
          </w:tcPr>
          <w:p>
            <w:pPr>
              <w:pStyle w:val="TableContents"/>
              <w:bidi w:val="0"/>
              <w:spacing w:before="0" w:after="283"/>
              <w:jc w:val="left"/>
              <w:rPr>
                <w:b/>
                <w:u w:val="single"/>
              </w:rPr>
            </w:pPr>
            <w:r>
              <w:rPr>
                <w:b/>
                <w:u w:val="single"/>
              </w:rPr>
              <w:t>Revenues</w:t>
            </w:r>
          </w:p>
        </w:tc>
        <w:tc>
          <w:tcPr>
            <w:tcW w:w="12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8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8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8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283"/>
              <w:jc w:val="left"/>
              <w:rPr/>
            </w:pPr>
            <w:r>
              <w:rPr/>
              <w:t>Legal Professionals</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$756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$772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$1,528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$756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$772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$1,528</w:t>
            </w:r>
          </w:p>
        </w:tc>
        <w:tc>
          <w:tcPr>
            <w:tcW w:w="60"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283"/>
              <w:jc w:val="left"/>
              <w:rPr/>
            </w:pPr>
            <w:r>
              <w:rPr/>
              <w:t>Corporates</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608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537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1,145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608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537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1,145</w:t>
            </w:r>
          </w:p>
        </w:tc>
        <w:tc>
          <w:tcPr>
            <w:tcW w:w="60"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283"/>
              <w:jc w:val="left"/>
              <w:rPr/>
            </w:pPr>
            <w:r>
              <w:rPr/>
              <w:t>Tax, Audit &amp; Accounting Professionals</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410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311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721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410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311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721</w:t>
            </w:r>
          </w:p>
        </w:tc>
        <w:tc>
          <w:tcPr>
            <w:tcW w:w="60" w:type="dxa"/>
            <w:tcBorders/>
            <w:vAlign w:val="bottom"/>
          </w:tcPr>
          <w:p>
            <w:pPr>
              <w:pStyle w:val="TableContents"/>
              <w:bidi w:val="0"/>
              <w:spacing w:before="0" w:after="283"/>
              <w:jc w:val="left"/>
              <w:rPr/>
            </w:pPr>
            <w:r>
              <w:rPr/>
              <w:t> </w:t>
            </w:r>
          </w:p>
        </w:tc>
      </w:tr>
      <w:tr>
        <w:trPr/>
        <w:tc>
          <w:tcPr>
            <w:tcW w:w="19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3096" w:type="dxa"/>
            <w:gridSpan w:val="9"/>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3225" w:type="dxa"/>
            <w:gridSpan w:val="9"/>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3096" w:type="dxa"/>
            <w:gridSpan w:val="9"/>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910" w:type="dxa"/>
            <w:tcBorders/>
          </w:tcPr>
          <w:p>
            <w:pPr>
              <w:pStyle w:val="TableContents"/>
              <w:bidi w:val="0"/>
              <w:spacing w:before="0" w:after="283"/>
              <w:jc w:val="left"/>
              <w:rPr/>
            </w:pPr>
            <w:r>
              <w:rPr/>
              <w:t>“</w:t>
            </w:r>
            <w:r>
              <w:rPr/>
              <w:t>Big 3” segments combined (1)</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1,774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1,620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3,394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1,774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1,620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3,394</w:t>
            </w:r>
          </w:p>
        </w:tc>
        <w:tc>
          <w:tcPr>
            <w:tcW w:w="60"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283"/>
              <w:jc w:val="left"/>
              <w:rPr/>
            </w:pPr>
            <w:r>
              <w:rPr/>
              <w:t>Reuters</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212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229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441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212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229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441</w:t>
            </w:r>
          </w:p>
        </w:tc>
        <w:tc>
          <w:tcPr>
            <w:tcW w:w="60"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283"/>
              <w:jc w:val="left"/>
              <w:rPr/>
            </w:pPr>
            <w:r>
              <w:rPr/>
              <w:t>Global Print</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112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111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223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(112)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(111)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(223)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283"/>
              <w:jc w:val="left"/>
              <w:rPr/>
            </w:pPr>
            <w:r>
              <w:rPr/>
              <w:t>Eliminations/Rounding</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(17)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(17)</w:t>
            </w:r>
          </w:p>
        </w:tc>
        <w:tc>
          <w:tcPr>
            <w:tcW w:w="60" w:type="dxa"/>
            <w:tcBorders/>
            <w:vAlign w:val="bottom"/>
          </w:tcPr>
          <w:p>
            <w:pPr>
              <w:pStyle w:val="TableContents"/>
              <w:bidi w:val="0"/>
              <w:spacing w:before="0" w:after="283"/>
              <w:jc w:val="left"/>
              <w:rPr/>
            </w:pPr>
            <w:r>
              <w:rPr/>
              <w:t> </w:t>
            </w:r>
          </w:p>
        </w:tc>
      </w:tr>
      <w:tr>
        <w:trPr/>
        <w:tc>
          <w:tcPr>
            <w:tcW w:w="19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3096" w:type="dxa"/>
            <w:gridSpan w:val="9"/>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3225" w:type="dxa"/>
            <w:gridSpan w:val="9"/>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3096" w:type="dxa"/>
            <w:gridSpan w:val="9"/>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910" w:type="dxa"/>
            <w:tcBorders/>
          </w:tcPr>
          <w:p>
            <w:pPr>
              <w:pStyle w:val="TableContents"/>
              <w:bidi w:val="0"/>
              <w:spacing w:before="0" w:after="283"/>
              <w:jc w:val="left"/>
              <w:rPr>
                <w:b/>
              </w:rPr>
            </w:pPr>
            <w:r>
              <w:rPr>
                <w:b/>
              </w:rPr>
              <w:t>Total revenues</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b/>
              </w:rPr>
            </w:pPr>
            <w:r>
              <w:rPr>
                <w:b/>
              </w:rPr>
              <w:t>$2,087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b/>
              </w:rPr>
            </w:pPr>
            <w:r>
              <w:rPr>
                <w:b/>
              </w:rPr>
              <w:t>$1,954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b/>
              </w:rPr>
            </w:pPr>
            <w:r>
              <w:rPr>
                <w:b/>
              </w:rPr>
              <w:t>$4,041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b/>
              </w:rPr>
            </w:pPr>
            <w:r>
              <w:rPr>
                <w:b/>
              </w:rPr>
              <w:t>($112)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b/>
              </w:rPr>
            </w:pPr>
            <w:r>
              <w:rPr>
                <w:b/>
              </w:rPr>
              <w:t>($111)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b/>
              </w:rPr>
            </w:pPr>
            <w:r>
              <w:rPr>
                <w:b/>
              </w:rPr>
              <w:t>($223)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b/>
              </w:rPr>
            </w:pPr>
            <w:r>
              <w:rPr>
                <w:b/>
              </w:rPr>
              <w:t>$1,975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b/>
              </w:rPr>
            </w:pPr>
            <w:r>
              <w:rPr>
                <w:b/>
              </w:rPr>
              <w:t>$1,843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b/>
              </w:rPr>
            </w:pPr>
            <w:r>
              <w:rPr>
                <w:b/>
              </w:rPr>
              <w:t>$3,818</w:t>
            </w:r>
          </w:p>
        </w:tc>
        <w:tc>
          <w:tcPr>
            <w:tcW w:w="60" w:type="dxa"/>
            <w:tcBorders/>
            <w:vAlign w:val="bottom"/>
          </w:tcPr>
          <w:p>
            <w:pPr>
              <w:pStyle w:val="TableContents"/>
              <w:bidi w:val="0"/>
              <w:spacing w:before="0" w:after="283"/>
              <w:jc w:val="left"/>
              <w:rPr/>
            </w:pPr>
            <w:r>
              <w:rPr/>
              <w:t> </w:t>
            </w:r>
          </w:p>
        </w:tc>
      </w:tr>
      <w:tr>
        <w:trPr/>
        <w:tc>
          <w:tcPr>
            <w:tcW w:w="19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12" w:space="1" w:color="000000"/>
              </w:pBdr>
              <w:bidi w:val="0"/>
              <w:spacing w:before="0" w:after="0"/>
              <w:jc w:val="left"/>
              <w:rPr/>
            </w:pPr>
            <w:r>
              <w:rPr/>
              <w:t> </w:t>
            </w:r>
          </w:p>
        </w:tc>
        <w:tc>
          <w:tcPr>
            <w:tcW w:w="3096" w:type="dxa"/>
            <w:gridSpan w:val="9"/>
            <w:tcBorders/>
            <w:vAlign w:val="bottom"/>
          </w:tcPr>
          <w:p>
            <w:pPr>
              <w:pStyle w:val="TableContents"/>
              <w:pBdr>
                <w:top w:val="single" w:sz="1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12" w:space="1" w:color="000000"/>
              </w:pBdr>
              <w:bidi w:val="0"/>
              <w:spacing w:before="0" w:after="0"/>
              <w:jc w:val="left"/>
              <w:rPr/>
            </w:pPr>
            <w:r>
              <w:rPr/>
              <w:t> </w:t>
            </w:r>
          </w:p>
        </w:tc>
        <w:tc>
          <w:tcPr>
            <w:tcW w:w="3225" w:type="dxa"/>
            <w:gridSpan w:val="9"/>
            <w:tcBorders/>
            <w:vAlign w:val="bottom"/>
          </w:tcPr>
          <w:p>
            <w:pPr>
              <w:pStyle w:val="TableContents"/>
              <w:pBdr>
                <w:top w:val="single" w:sz="1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12" w:space="1" w:color="000000"/>
              </w:pBdr>
              <w:bidi w:val="0"/>
              <w:spacing w:before="0" w:after="0"/>
              <w:jc w:val="left"/>
              <w:rPr/>
            </w:pPr>
            <w:r>
              <w:rPr/>
              <w:t> </w:t>
            </w:r>
          </w:p>
        </w:tc>
        <w:tc>
          <w:tcPr>
            <w:tcW w:w="3096" w:type="dxa"/>
            <w:gridSpan w:val="9"/>
            <w:tcBorders/>
            <w:vAlign w:val="bottom"/>
          </w:tcPr>
          <w:p>
            <w:pPr>
              <w:pStyle w:val="TableContents"/>
              <w:pBdr>
                <w:top w:val="single" w:sz="1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2890" w:type="dxa"/>
            <w:gridSpan w:val="4"/>
            <w:tcBorders/>
          </w:tcPr>
          <w:p>
            <w:pPr>
              <w:pStyle w:val="TableContents"/>
              <w:bidi w:val="0"/>
              <w:spacing w:before="0" w:after="283"/>
              <w:jc w:val="left"/>
              <w:rPr>
                <w:b/>
                <w:u w:val="single"/>
              </w:rPr>
            </w:pPr>
            <w:r>
              <w:rPr>
                <w:b/>
                <w:u w:val="single"/>
              </w:rPr>
              <w:t>Adjusted EBITDA</w:t>
            </w:r>
          </w:p>
        </w:tc>
        <w:tc>
          <w:tcPr>
            <w:tcW w:w="60" w:type="dxa"/>
            <w:tcBorders/>
          </w:tcPr>
          <w:p>
            <w:pPr>
              <w:pStyle w:val="TableContents"/>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9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10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9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910" w:type="dxa"/>
            <w:tcBorders/>
          </w:tcPr>
          <w:p>
            <w:pPr>
              <w:pStyle w:val="TableContents"/>
              <w:bidi w:val="0"/>
              <w:spacing w:before="0" w:after="283"/>
              <w:jc w:val="left"/>
              <w:rPr/>
            </w:pPr>
            <w:r>
              <w:rPr/>
              <w:t>Legal Professionals</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$365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$371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$736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$365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$371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$736</w:t>
            </w:r>
          </w:p>
        </w:tc>
        <w:tc>
          <w:tcPr>
            <w:tcW w:w="60"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283"/>
              <w:jc w:val="left"/>
              <w:rPr/>
            </w:pPr>
            <w:r>
              <w:rPr/>
              <w:t>Corporates</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243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200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443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243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200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443</w:t>
            </w:r>
          </w:p>
        </w:tc>
        <w:tc>
          <w:tcPr>
            <w:tcW w:w="60"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283"/>
              <w:jc w:val="left"/>
              <w:rPr/>
            </w:pPr>
            <w:r>
              <w:rPr/>
              <w:t>Tax, Audit &amp; Accounting Professionals</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221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120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341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221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120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341</w:t>
            </w:r>
          </w:p>
        </w:tc>
        <w:tc>
          <w:tcPr>
            <w:tcW w:w="60" w:type="dxa"/>
            <w:tcBorders/>
            <w:vAlign w:val="bottom"/>
          </w:tcPr>
          <w:p>
            <w:pPr>
              <w:pStyle w:val="TableContents"/>
              <w:bidi w:val="0"/>
              <w:spacing w:before="0" w:after="283"/>
              <w:jc w:val="left"/>
              <w:rPr/>
            </w:pPr>
            <w:r>
              <w:rPr/>
              <w:t> </w:t>
            </w:r>
          </w:p>
        </w:tc>
      </w:tr>
      <w:tr>
        <w:trPr/>
        <w:tc>
          <w:tcPr>
            <w:tcW w:w="19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3096" w:type="dxa"/>
            <w:gridSpan w:val="9"/>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3225" w:type="dxa"/>
            <w:gridSpan w:val="9"/>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3096" w:type="dxa"/>
            <w:gridSpan w:val="9"/>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910" w:type="dxa"/>
            <w:tcBorders/>
          </w:tcPr>
          <w:p>
            <w:pPr>
              <w:pStyle w:val="TableContents"/>
              <w:bidi w:val="0"/>
              <w:spacing w:before="0" w:after="283"/>
              <w:jc w:val="left"/>
              <w:rPr/>
            </w:pPr>
            <w:r>
              <w:rPr/>
              <w:t>“</w:t>
            </w:r>
            <w:r>
              <w:rPr/>
              <w:t>Big 3” segments combined (1)</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829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691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1,520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829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691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1,520</w:t>
            </w:r>
          </w:p>
        </w:tc>
        <w:tc>
          <w:tcPr>
            <w:tcW w:w="60"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283"/>
              <w:jc w:val="left"/>
              <w:rPr/>
            </w:pPr>
            <w:r>
              <w:rPr/>
              <w:t>Reuters</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34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48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82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34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48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82</w:t>
            </w:r>
          </w:p>
        </w:tc>
        <w:tc>
          <w:tcPr>
            <w:tcW w:w="60"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283"/>
              <w:jc w:val="left"/>
              <w:rPr/>
            </w:pPr>
            <w:r>
              <w:rPr/>
              <w:t>Global Print</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43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42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85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(43)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(42)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(85)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283"/>
              <w:jc w:val="left"/>
              <w:rPr/>
            </w:pPr>
            <w:r>
              <w:rPr/>
              <w:t>Corporate costs</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(36)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(61)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(27)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(52)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(52)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(61)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(113)</w:t>
            </w:r>
          </w:p>
        </w:tc>
        <w:tc>
          <w:tcPr>
            <w:tcW w:w="60" w:type="dxa"/>
            <w:tcBorders/>
            <w:vAlign w:val="bottom"/>
          </w:tcPr>
          <w:p>
            <w:pPr>
              <w:pStyle w:val="TableContents"/>
              <w:bidi w:val="0"/>
              <w:spacing w:before="0" w:after="283"/>
              <w:jc w:val="left"/>
              <w:rPr/>
            </w:pPr>
            <w:r>
              <w:rPr/>
              <w:t> </w:t>
            </w:r>
          </w:p>
        </w:tc>
      </w:tr>
      <w:tr>
        <w:trPr/>
        <w:tc>
          <w:tcPr>
            <w:tcW w:w="19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3096" w:type="dxa"/>
            <w:gridSpan w:val="9"/>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3225" w:type="dxa"/>
            <w:gridSpan w:val="9"/>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3096" w:type="dxa"/>
            <w:gridSpan w:val="9"/>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910" w:type="dxa"/>
            <w:tcBorders/>
          </w:tcPr>
          <w:p>
            <w:pPr>
              <w:pStyle w:val="TableContents"/>
              <w:bidi w:val="0"/>
              <w:spacing w:before="0" w:after="283"/>
              <w:jc w:val="left"/>
              <w:rPr>
                <w:b/>
              </w:rPr>
            </w:pPr>
            <w:r>
              <w:rPr>
                <w:b/>
              </w:rPr>
              <w:t>Total adjusted EBITDA (1)</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b/>
              </w:rPr>
            </w:pPr>
            <w:r>
              <w:rPr>
                <w:b/>
              </w:rPr>
              <w:t>$881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b/>
              </w:rPr>
            </w:pPr>
            <w:r>
              <w:rPr>
                <w:b/>
              </w:rPr>
              <w:t>$745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b/>
              </w:rPr>
            </w:pPr>
            <w:r>
              <w:rPr>
                <w:b/>
              </w:rPr>
              <w:t>$1,626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b/>
              </w:rPr>
            </w:pPr>
            <w:r>
              <w:rPr>
                <w:b/>
              </w:rPr>
              <w:t>($70)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b/>
              </w:rPr>
            </w:pPr>
            <w:r>
              <w:rPr>
                <w:b/>
              </w:rPr>
              <w:t>($67)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b/>
              </w:rPr>
            </w:pPr>
            <w:r>
              <w:rPr>
                <w:b/>
              </w:rPr>
              <w:t>($137)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b/>
              </w:rPr>
            </w:pPr>
            <w:r>
              <w:rPr>
                <w:b/>
              </w:rPr>
              <w:t>$811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b/>
              </w:rPr>
            </w:pPr>
            <w:r>
              <w:rPr>
                <w:b/>
              </w:rPr>
              <w:t>$678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b/>
              </w:rPr>
            </w:pPr>
            <w:r>
              <w:rPr>
                <w:b/>
              </w:rPr>
              <w:t>$1,489</w:t>
            </w:r>
          </w:p>
        </w:tc>
        <w:tc>
          <w:tcPr>
            <w:tcW w:w="60" w:type="dxa"/>
            <w:tcBorders/>
            <w:vAlign w:val="bottom"/>
          </w:tcPr>
          <w:p>
            <w:pPr>
              <w:pStyle w:val="TableContents"/>
              <w:bidi w:val="0"/>
              <w:spacing w:before="0" w:after="283"/>
              <w:jc w:val="left"/>
              <w:rPr/>
            </w:pPr>
            <w:r>
              <w:rPr/>
              <w:t> </w:t>
            </w:r>
          </w:p>
        </w:tc>
      </w:tr>
      <w:tr>
        <w:trPr/>
        <w:tc>
          <w:tcPr>
            <w:tcW w:w="19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12" w:space="1" w:color="000000"/>
              </w:pBdr>
              <w:bidi w:val="0"/>
              <w:spacing w:before="0" w:after="0"/>
              <w:jc w:val="left"/>
              <w:rPr/>
            </w:pPr>
            <w:r>
              <w:rPr/>
              <w:t> </w:t>
            </w:r>
          </w:p>
        </w:tc>
        <w:tc>
          <w:tcPr>
            <w:tcW w:w="3096" w:type="dxa"/>
            <w:gridSpan w:val="9"/>
            <w:tcBorders/>
            <w:vAlign w:val="bottom"/>
          </w:tcPr>
          <w:p>
            <w:pPr>
              <w:pStyle w:val="TableContents"/>
              <w:pBdr>
                <w:top w:val="single" w:sz="1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12" w:space="1" w:color="000000"/>
              </w:pBdr>
              <w:bidi w:val="0"/>
              <w:spacing w:before="0" w:after="0"/>
              <w:jc w:val="left"/>
              <w:rPr/>
            </w:pPr>
            <w:r>
              <w:rPr/>
              <w:t> </w:t>
            </w:r>
          </w:p>
        </w:tc>
        <w:tc>
          <w:tcPr>
            <w:tcW w:w="3225" w:type="dxa"/>
            <w:gridSpan w:val="9"/>
            <w:tcBorders/>
            <w:vAlign w:val="bottom"/>
          </w:tcPr>
          <w:p>
            <w:pPr>
              <w:pStyle w:val="TableContents"/>
              <w:pBdr>
                <w:top w:val="single" w:sz="1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12" w:space="1" w:color="000000"/>
              </w:pBdr>
              <w:bidi w:val="0"/>
              <w:spacing w:before="0" w:after="0"/>
              <w:jc w:val="left"/>
              <w:rPr/>
            </w:pPr>
            <w:r>
              <w:rPr/>
              <w:t> </w:t>
            </w:r>
          </w:p>
        </w:tc>
        <w:tc>
          <w:tcPr>
            <w:tcW w:w="3096" w:type="dxa"/>
            <w:gridSpan w:val="9"/>
            <w:tcBorders/>
            <w:vAlign w:val="bottom"/>
          </w:tcPr>
          <w:p>
            <w:pPr>
              <w:pStyle w:val="TableContents"/>
              <w:pBdr>
                <w:top w:val="single" w:sz="1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2890" w:type="dxa"/>
            <w:gridSpan w:val="4"/>
            <w:tcBorders/>
          </w:tcPr>
          <w:p>
            <w:pPr>
              <w:pStyle w:val="TableContents"/>
              <w:bidi w:val="0"/>
              <w:spacing w:before="0" w:after="283"/>
              <w:jc w:val="left"/>
              <w:rPr>
                <w:b/>
                <w:u w:val="single"/>
              </w:rPr>
            </w:pPr>
            <w:r>
              <w:rPr>
                <w:b/>
                <w:u w:val="single"/>
              </w:rPr>
              <w:t>Adjusted EBITDA margin</w:t>
            </w:r>
          </w:p>
        </w:tc>
        <w:tc>
          <w:tcPr>
            <w:tcW w:w="60" w:type="dxa"/>
            <w:tcBorders/>
          </w:tcPr>
          <w:p>
            <w:pPr>
              <w:pStyle w:val="TableContents"/>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9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10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9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910" w:type="dxa"/>
            <w:tcBorders/>
          </w:tcPr>
          <w:p>
            <w:pPr>
              <w:pStyle w:val="TableContents"/>
              <w:bidi w:val="0"/>
              <w:spacing w:before="0" w:after="283"/>
              <w:jc w:val="left"/>
              <w:rPr/>
            </w:pPr>
            <w:r>
              <w:rPr/>
              <w:t>Legal Professionals</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48.3%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48.1%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48.2%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48.3%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48.1%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48.2%</w:t>
            </w:r>
          </w:p>
        </w:tc>
        <w:tc>
          <w:tcPr>
            <w:tcW w:w="60"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283"/>
              <w:jc w:val="left"/>
              <w:rPr/>
            </w:pPr>
            <w:r>
              <w:rPr/>
              <w:t>Corporates</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40.0%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37.2%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38.7%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40.0%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37.2%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38.7%</w:t>
            </w:r>
          </w:p>
        </w:tc>
        <w:tc>
          <w:tcPr>
            <w:tcW w:w="60"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283"/>
              <w:jc w:val="left"/>
              <w:rPr/>
            </w:pPr>
            <w:r>
              <w:rPr/>
              <w:t>Tax, Audit &amp; Accounting Professionals</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53.8%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38.7%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47.3%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53.8%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38.7%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47.3%</w:t>
            </w:r>
          </w:p>
        </w:tc>
        <w:tc>
          <w:tcPr>
            <w:tcW w:w="60"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283"/>
              <w:jc w:val="left"/>
              <w:rPr/>
            </w:pPr>
            <w:r>
              <w:rPr/>
              <w:t>“</w:t>
            </w:r>
            <w:r>
              <w:rPr/>
              <w:t>Big 3” segments combined (1)</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46.7%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42.7%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44.8%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46.7%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42.7%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44.8%</w:t>
            </w:r>
          </w:p>
        </w:tc>
        <w:tc>
          <w:tcPr>
            <w:tcW w:w="60"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283"/>
              <w:jc w:val="left"/>
              <w:rPr/>
            </w:pPr>
            <w:r>
              <w:rPr/>
              <w:t>Reuters</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16.1%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20.8%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18.6%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16.1%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20.8%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18.6%</w:t>
            </w:r>
          </w:p>
        </w:tc>
        <w:tc>
          <w:tcPr>
            <w:tcW w:w="60"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283"/>
              <w:jc w:val="left"/>
              <w:rPr/>
            </w:pPr>
            <w:r>
              <w:rPr/>
              <w:t>Global Print</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38.6%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37.7%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38.2%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283"/>
              <w:jc w:val="left"/>
              <w:rPr>
                <w:b/>
              </w:rPr>
            </w:pPr>
            <w:r>
              <w:rPr>
                <w:b/>
              </w:rPr>
              <w:t>Total adjusted EBITDA margin (1)</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b/>
              </w:rPr>
            </w:pPr>
            <w:r>
              <w:rPr>
                <w:b/>
              </w:rPr>
              <w:t>42.2%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b/>
              </w:rPr>
            </w:pPr>
            <w:r>
              <w:rPr>
                <w:b/>
              </w:rPr>
              <w:t>38.1%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b/>
              </w:rPr>
            </w:pPr>
            <w:r>
              <w:rPr>
                <w:b/>
              </w:rPr>
              <w:t>40.2%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b/>
              </w:rPr>
            </w:pPr>
            <w:r>
              <w:rPr>
                <w:b/>
              </w:rPr>
              <w:t>(110) bp</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b/>
              </w:rPr>
            </w:pPr>
            <w:r>
              <w:rPr>
                <w:b/>
              </w:rPr>
              <w:t>(130) bp</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b/>
              </w:rPr>
            </w:pPr>
            <w:r>
              <w:rPr>
                <w:b/>
              </w:rPr>
              <w:t>(120) bp</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b/>
              </w:rPr>
            </w:pPr>
            <w:r>
              <w:rPr>
                <w:b/>
              </w:rPr>
              <w:t>41.1%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b/>
              </w:rPr>
            </w:pPr>
            <w:r>
              <w:rPr>
                <w:b/>
              </w:rPr>
              <w:t>36.8%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b/>
              </w:rPr>
            </w:pPr>
            <w:r>
              <w:rPr>
                <w:b/>
              </w:rPr>
              <w:t>39.0%</w:t>
            </w:r>
          </w:p>
        </w:tc>
        <w:tc>
          <w:tcPr>
            <w:tcW w:w="60" w:type="dxa"/>
            <w:tcBorders/>
            <w:vAlign w:val="bottom"/>
          </w:tcPr>
          <w:p>
            <w:pPr>
              <w:pStyle w:val="TableContents"/>
              <w:bidi w:val="0"/>
              <w:spacing w:before="0" w:after="283"/>
              <w:jc w:val="left"/>
              <w:rPr/>
            </w:pPr>
            <w:r>
              <w:rPr/>
              <w:t> </w:t>
            </w:r>
          </w:p>
        </w:tc>
      </w:tr>
      <w:tr>
        <w:trPr/>
        <w:tc>
          <w:tcPr>
            <w:tcW w:w="2890" w:type="dxa"/>
            <w:gridSpan w:val="4"/>
            <w:tcBorders/>
          </w:tcPr>
          <w:p>
            <w:pPr>
              <w:pStyle w:val="TableContents"/>
              <w:bidi w:val="0"/>
              <w:spacing w:before="0" w:after="283"/>
              <w:jc w:val="left"/>
              <w:rPr>
                <w:b/>
                <w:u w:val="single"/>
              </w:rPr>
            </w:pPr>
            <w:r>
              <w:rPr>
                <w:b/>
                <w:u w:val="single"/>
              </w:rPr>
              <w:t>Adjusted earnings</w:t>
            </w:r>
          </w:p>
        </w:tc>
        <w:tc>
          <w:tcPr>
            <w:tcW w:w="60" w:type="dxa"/>
            <w:tcBorders/>
          </w:tcPr>
          <w:p>
            <w:pPr>
              <w:pStyle w:val="TableContents"/>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9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10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9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910" w:type="dxa"/>
            <w:tcBorders/>
          </w:tcPr>
          <w:p>
            <w:pPr>
              <w:pStyle w:val="TableContents"/>
              <w:bidi w:val="0"/>
              <w:spacing w:before="0" w:after="283"/>
              <w:jc w:val="left"/>
              <w:rPr/>
            </w:pPr>
            <w:r>
              <w:rPr/>
              <w:t>Adjusted EBITDA</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$881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$745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$1,626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($70)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($67)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($137)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$811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$678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$1,489</w:t>
            </w:r>
          </w:p>
        </w:tc>
        <w:tc>
          <w:tcPr>
            <w:tcW w:w="60" w:type="dxa"/>
            <w:tcBorders/>
            <w:vAlign w:val="bottom"/>
          </w:tcPr>
          <w:p>
            <w:pPr>
              <w:pStyle w:val="TableContents"/>
              <w:bidi w:val="0"/>
              <w:spacing w:before="0" w:after="283"/>
              <w:jc w:val="left"/>
              <w:rPr/>
            </w:pPr>
            <w:r>
              <w:rPr/>
              <w:t> </w:t>
            </w:r>
          </w:p>
        </w:tc>
      </w:tr>
      <w:tr>
        <w:trPr/>
        <w:tc>
          <w:tcPr>
            <w:tcW w:w="2890" w:type="dxa"/>
            <w:gridSpan w:val="4"/>
            <w:tcBorders/>
          </w:tcPr>
          <w:p>
            <w:pPr>
              <w:pStyle w:val="TableContents"/>
              <w:bidi w:val="0"/>
              <w:spacing w:before="0" w:after="283"/>
              <w:jc w:val="left"/>
              <w:rPr>
                <w:u w:val="single"/>
              </w:rPr>
            </w:pPr>
            <w:r>
              <w:rPr>
                <w:u w:val="single"/>
              </w:rPr>
              <w:t>Adjustments:</w:t>
            </w:r>
          </w:p>
        </w:tc>
        <w:tc>
          <w:tcPr>
            <w:tcW w:w="60" w:type="dxa"/>
            <w:tcBorders/>
          </w:tcPr>
          <w:p>
            <w:pPr>
              <w:pStyle w:val="TableContents"/>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9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10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9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910" w:type="dxa"/>
            <w:tcBorders/>
          </w:tcPr>
          <w:p>
            <w:pPr>
              <w:pStyle w:val="TableContents"/>
              <w:bidi w:val="0"/>
              <w:spacing w:before="0" w:after="283"/>
              <w:jc w:val="left"/>
              <w:rPr/>
            </w:pPr>
            <w:r>
              <w:rPr/>
              <w:t>Depreciation and Software Amortization (2)</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(165)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(168)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(333)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(163)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(166)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(329)</w:t>
            </w:r>
          </w:p>
        </w:tc>
        <w:tc>
          <w:tcPr>
            <w:tcW w:w="60"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283"/>
              <w:jc w:val="left"/>
              <w:rPr/>
            </w:pPr>
            <w:r>
              <w:rPr/>
              <w:t>Net Interest expense</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(47)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(86)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(47)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(86)</w:t>
            </w:r>
          </w:p>
        </w:tc>
        <w:tc>
          <w:tcPr>
            <w:tcW w:w="60"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283"/>
              <w:jc w:val="left"/>
              <w:rPr/>
            </w:pPr>
            <w:r>
              <w:rPr/>
              <w:t>Income tax</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(129)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(94)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(223)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11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10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21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(118)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(84)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(202)</w:t>
            </w:r>
          </w:p>
        </w:tc>
        <w:tc>
          <w:tcPr>
            <w:tcW w:w="60"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283"/>
              <w:jc w:val="left"/>
              <w:rPr/>
            </w:pPr>
            <w:r>
              <w:rPr/>
              <w:t>Dividends declared on preference shares</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r>
      <w:tr>
        <w:trPr/>
        <w:tc>
          <w:tcPr>
            <w:tcW w:w="19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3096" w:type="dxa"/>
            <w:gridSpan w:val="9"/>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3225" w:type="dxa"/>
            <w:gridSpan w:val="9"/>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3096" w:type="dxa"/>
            <w:gridSpan w:val="9"/>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910" w:type="dxa"/>
            <w:tcBorders/>
          </w:tcPr>
          <w:p>
            <w:pPr>
              <w:pStyle w:val="TableContents"/>
              <w:bidi w:val="0"/>
              <w:spacing w:before="0" w:after="283"/>
              <w:jc w:val="left"/>
              <w:rPr>
                <w:b/>
              </w:rPr>
            </w:pPr>
            <w:r>
              <w:rPr>
                <w:b/>
              </w:rPr>
              <w:t>Adjusted earnings (1)</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b/>
              </w:rPr>
            </w:pPr>
            <w:r>
              <w:rPr>
                <w:b/>
              </w:rPr>
              <w:t>$547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b/>
              </w:rPr>
            </w:pPr>
            <w:r>
              <w:rPr>
                <w:b/>
              </w:rPr>
              <w:t>$435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b/>
              </w:rPr>
            </w:pPr>
            <w:r>
              <w:rPr>
                <w:b/>
              </w:rPr>
              <w:t>$982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b/>
              </w:rPr>
            </w:pPr>
            <w:r>
              <w:rPr>
                <w:b/>
              </w:rPr>
              <w:t>($57)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b/>
              </w:rPr>
            </w:pPr>
            <w:r>
              <w:rPr>
                <w:b/>
              </w:rPr>
              <w:t>($55)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b/>
              </w:rPr>
            </w:pPr>
            <w:r>
              <w:rPr>
                <w:b/>
              </w:rPr>
              <w:t>($112)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b/>
              </w:rPr>
            </w:pPr>
            <w:r>
              <w:rPr>
                <w:b/>
              </w:rPr>
              <w:t>$490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b/>
              </w:rPr>
            </w:pPr>
            <w:r>
              <w:rPr>
                <w:b/>
              </w:rPr>
              <w:t>$380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b/>
              </w:rPr>
            </w:pPr>
            <w:r>
              <w:rPr>
                <w:b/>
              </w:rPr>
              <w:t>$870</w:t>
            </w:r>
          </w:p>
        </w:tc>
        <w:tc>
          <w:tcPr>
            <w:tcW w:w="60" w:type="dxa"/>
            <w:tcBorders/>
            <w:vAlign w:val="bottom"/>
          </w:tcPr>
          <w:p>
            <w:pPr>
              <w:pStyle w:val="TableContents"/>
              <w:bidi w:val="0"/>
              <w:spacing w:before="0" w:after="283"/>
              <w:jc w:val="left"/>
              <w:rPr/>
            </w:pPr>
            <w:r>
              <w:rPr/>
              <w:t> </w:t>
            </w:r>
          </w:p>
        </w:tc>
      </w:tr>
      <w:tr>
        <w:trPr/>
        <w:tc>
          <w:tcPr>
            <w:tcW w:w="19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12" w:space="1" w:color="000000"/>
              </w:pBdr>
              <w:bidi w:val="0"/>
              <w:spacing w:before="0" w:after="0"/>
              <w:jc w:val="left"/>
              <w:rPr/>
            </w:pPr>
            <w:r>
              <w:rPr/>
              <w:t> </w:t>
            </w:r>
          </w:p>
        </w:tc>
        <w:tc>
          <w:tcPr>
            <w:tcW w:w="3096" w:type="dxa"/>
            <w:gridSpan w:val="9"/>
            <w:tcBorders/>
            <w:vAlign w:val="bottom"/>
          </w:tcPr>
          <w:p>
            <w:pPr>
              <w:pStyle w:val="TableContents"/>
              <w:pBdr>
                <w:top w:val="single" w:sz="1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12" w:space="1" w:color="000000"/>
              </w:pBdr>
              <w:bidi w:val="0"/>
              <w:spacing w:before="0" w:after="0"/>
              <w:jc w:val="left"/>
              <w:rPr/>
            </w:pPr>
            <w:r>
              <w:rPr/>
              <w:t> </w:t>
            </w:r>
          </w:p>
        </w:tc>
        <w:tc>
          <w:tcPr>
            <w:tcW w:w="3225" w:type="dxa"/>
            <w:gridSpan w:val="9"/>
            <w:tcBorders/>
            <w:vAlign w:val="bottom"/>
          </w:tcPr>
          <w:p>
            <w:pPr>
              <w:pStyle w:val="TableContents"/>
              <w:pBdr>
                <w:top w:val="single" w:sz="1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12" w:space="1" w:color="000000"/>
              </w:pBdr>
              <w:bidi w:val="0"/>
              <w:spacing w:before="0" w:after="0"/>
              <w:jc w:val="left"/>
              <w:rPr/>
            </w:pPr>
            <w:r>
              <w:rPr/>
              <w:t> </w:t>
            </w:r>
          </w:p>
        </w:tc>
        <w:tc>
          <w:tcPr>
            <w:tcW w:w="3096" w:type="dxa"/>
            <w:gridSpan w:val="9"/>
            <w:tcBorders/>
            <w:vAlign w:val="bottom"/>
          </w:tcPr>
          <w:p>
            <w:pPr>
              <w:pStyle w:val="TableContents"/>
              <w:pBdr>
                <w:top w:val="single" w:sz="1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910" w:type="dxa"/>
            <w:tcBorders/>
          </w:tcPr>
          <w:p>
            <w:pPr>
              <w:pStyle w:val="TableContents"/>
              <w:bidi w:val="0"/>
              <w:spacing w:before="0" w:after="283"/>
              <w:jc w:val="left"/>
              <w:rPr/>
            </w:pPr>
            <w:r>
              <w:rPr>
                <w:b/>
              </w:rPr>
              <w:t>Adjusted earnings per share</w:t>
            </w:r>
            <w:r>
              <w:rPr/>
              <w:t xml:space="preserve"> </w:t>
            </w:r>
            <w:r>
              <w:rPr>
                <w:b/>
              </w:rPr>
              <w:t>(1)</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b/>
              </w:rPr>
            </w:pPr>
            <w:r>
              <w:rPr>
                <w:b/>
              </w:rPr>
              <w:t>$1.23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b/>
              </w:rPr>
            </w:pPr>
            <w:r>
              <w:rPr>
                <w:b/>
              </w:rPr>
              <w:t>$0.99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b/>
              </w:rPr>
            </w:pPr>
            <w:r>
              <w:rPr>
                <w:b/>
              </w:rPr>
              <w:t>$2.22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b/>
              </w:rPr>
            </w:pPr>
            <w:r>
              <w:rPr>
                <w:b/>
              </w:rPr>
              <w:t>($0.13)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b/>
              </w:rPr>
            </w:pPr>
            <w:r>
              <w:rPr>
                <w:b/>
              </w:rPr>
              <w:t>($0.13)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b/>
              </w:rPr>
            </w:pPr>
            <w:r>
              <w:rPr>
                <w:b/>
              </w:rPr>
              <w:t>($0.25)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b/>
              </w:rPr>
            </w:pPr>
            <w:r>
              <w:rPr>
                <w:b/>
              </w:rPr>
              <w:t>$1.10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b/>
              </w:rPr>
            </w:pPr>
            <w:r>
              <w:rPr>
                <w:b/>
              </w:rPr>
              <w:t>$0.87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b/>
              </w:rPr>
            </w:pPr>
            <w:r>
              <w:rPr>
                <w:b/>
              </w:rPr>
              <w:t>$1.97</w:t>
            </w:r>
          </w:p>
        </w:tc>
        <w:tc>
          <w:tcPr>
            <w:tcW w:w="60"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283"/>
              <w:jc w:val="left"/>
              <w:rPr/>
            </w:pPr>
            <w:r>
              <w:rPr/>
              <w:t>Weighted average shares (in millions)</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444.7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438.6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441.7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10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444.7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438.6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441.7</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40" w:type="dxa"/>
            </w:tcMar>
          </w:tcPr>
          <w:p>
            <w:pPr>
              <w:pStyle w:val="TableContents"/>
              <w:bidi w:val="0"/>
              <w:spacing w:before="0" w:after="0"/>
              <w:jc w:val="left"/>
              <w:rPr>
                <w:rFonts w:ascii="Calibri" w:hAnsi="Calibri"/>
                <w:sz w:val="14"/>
              </w:rPr>
            </w:pPr>
            <w:r>
              <w:rPr>
                <w:rFonts w:ascii="Calibri" w:hAnsi="Calibri"/>
                <w:sz w:val="14"/>
              </w:rPr>
              <w:t>The Company reports its results in millions of U.S. dollars, but computes margins using whole-dollars to be more precise. As a result, adjusted EBITDA margins calculated from reported amounts may differ from those presented.</w:t>
            </w:r>
          </w:p>
          <w:p>
            <w:pPr>
              <w:pStyle w:val="TableContents"/>
              <w:bidi w:val="0"/>
              <w:spacing w:before="0" w:after="0"/>
              <w:jc w:val="left"/>
              <w:rPr>
                <w:rFonts w:ascii="Calibri" w:hAnsi="Calibri"/>
                <w:sz w:val="14"/>
              </w:rPr>
            </w:pPr>
            <w:r>
              <w:rPr>
                <w:rFonts w:ascii="Calibri" w:hAnsi="Calibri"/>
                <w:sz w:val="14"/>
              </w:rPr>
              <w:t>(1) Non-IFRS measures. Refer to the reconciliations of adjusted EBITDA and adjusted earnings to most comparable IFRS measure and the reconciliation of adjusted EBITDA margin, both of which are included within this post. The “Big 3” segments are the combined Legal Professionals, Corporates and Tax, Audit &amp; Accounting Professionals segments. Information for the “Big 3” segments is useful to management and investors as these businesses will comprise approximately 90% of total company revenues as revised and represent the core of the company’s business information services product offerings. All “Big 3” financial measures are non-IFRS.</w:t>
            </w:r>
          </w:p>
          <w:p>
            <w:pPr>
              <w:pStyle w:val="TableContents"/>
              <w:bidi w:val="0"/>
              <w:spacing w:before="0" w:after="20"/>
              <w:jc w:val="left"/>
              <w:rPr>
                <w:rFonts w:ascii="Calibri" w:hAnsi="Calibri"/>
                <w:sz w:val="14"/>
              </w:rPr>
            </w:pPr>
            <w:r>
              <w:rPr>
                <w:rFonts w:ascii="Calibri" w:hAnsi="Calibri"/>
                <w:sz w:val="14"/>
              </w:rPr>
              <w:t>(2) Represents depreciation and amortization of internally developed software.</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7338"/>
        <w:gridCol w:w="144"/>
        <w:gridCol w:w="2723"/>
      </w:tblGrid>
      <w:tr>
        <w:trPr/>
        <w:tc>
          <w:tcPr>
            <w:tcW w:w="7338"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2723" w:type="dxa"/>
            <w:tcBorders/>
            <w:vAlign w:val="center"/>
          </w:tcPr>
          <w:p>
            <w:pPr>
              <w:pStyle w:val="TableContents"/>
              <w:bidi w:val="0"/>
              <w:spacing w:before="0" w:after="283"/>
              <w:jc w:val="left"/>
              <w:rPr>
                <w:sz w:val="4"/>
                <w:szCs w:val="4"/>
              </w:rPr>
            </w:pPr>
            <w:r>
              <w:rPr>
                <w:sz w:val="4"/>
                <w:szCs w:val="4"/>
              </w:rPr>
            </w:r>
          </w:p>
        </w:tc>
      </w:tr>
      <w:tr>
        <w:trPr/>
        <w:tc>
          <w:tcPr>
            <w:tcW w:w="7338" w:type="dxa"/>
            <w:tcBorders/>
          </w:tcPr>
          <w:p>
            <w:pPr>
              <w:pStyle w:val="TableContents"/>
              <w:bidi w:val="0"/>
              <w:spacing w:before="0" w:after="0"/>
              <w:jc w:val="left"/>
              <w:rPr>
                <w:rFonts w:ascii="Calibri" w:hAnsi="Calibri"/>
                <w:b/>
                <w:sz w:val="16"/>
              </w:rPr>
            </w:pPr>
            <w:r>
              <w:rPr>
                <w:rFonts w:ascii="Calibri" w:hAnsi="Calibri"/>
                <w:b/>
                <w:sz w:val="16"/>
              </w:rPr>
              <w:t>THOMSON REUTERS CORPORATION</w:t>
            </w:r>
          </w:p>
        </w:tc>
        <w:tc>
          <w:tcPr>
            <w:tcW w:w="144" w:type="dxa"/>
            <w:tcBorders/>
            <w:vAlign w:val="bottom"/>
          </w:tcPr>
          <w:p>
            <w:pPr>
              <w:pStyle w:val="TableContents"/>
              <w:bidi w:val="0"/>
              <w:spacing w:before="0" w:after="283"/>
              <w:jc w:val="left"/>
              <w:rPr/>
            </w:pPr>
            <w:r>
              <w:rPr/>
              <w:t>  </w:t>
            </w:r>
          </w:p>
        </w:tc>
        <w:tc>
          <w:tcPr>
            <w:tcW w:w="2723" w:type="dxa"/>
            <w:tcBorders/>
            <w:vAlign w:val="bottom"/>
          </w:tcPr>
          <w:p>
            <w:pPr>
              <w:pStyle w:val="TableContents"/>
              <w:bidi w:val="0"/>
              <w:spacing w:before="0" w:after="283"/>
              <w:jc w:val="center"/>
              <w:rPr>
                <w:b/>
              </w:rPr>
            </w:pPr>
            <w:r>
              <w:rPr>
                <w:b/>
              </w:rPr>
              <w:t>October 19, 2026    </w:t>
            </w:r>
          </w:p>
        </w:tc>
      </w:tr>
      <w:tr>
        <w:trPr/>
        <w:tc>
          <w:tcPr>
            <w:tcW w:w="7338" w:type="dxa"/>
            <w:tcBorders/>
          </w:tcPr>
          <w:p>
            <w:pPr>
              <w:pStyle w:val="TableContents"/>
              <w:bidi w:val="0"/>
              <w:spacing w:before="0" w:after="0"/>
              <w:jc w:val="left"/>
              <w:rPr>
                <w:rFonts w:ascii="Calibri" w:hAnsi="Calibri"/>
                <w:b/>
                <w:sz w:val="16"/>
              </w:rPr>
            </w:pPr>
            <w:r>
              <w:rPr>
                <w:rFonts w:ascii="Calibri" w:hAnsi="Calibri"/>
                <w:b/>
                <w:sz w:val="16"/>
              </w:rPr>
              <w:t>SUPPLEMENTAL FINANCIAL INFORMATION- REVISIONS TO SEGMENT REVENUES, ADJUSTED EBITDA AND THE RELATED MARGINS</w:t>
            </w:r>
          </w:p>
        </w:tc>
        <w:tc>
          <w:tcPr>
            <w:tcW w:w="144" w:type="dxa"/>
            <w:tcBorders/>
            <w:vAlign w:val="bottom"/>
          </w:tcPr>
          <w:p>
            <w:pPr>
              <w:pStyle w:val="TableContents"/>
              <w:bidi w:val="0"/>
              <w:spacing w:before="0" w:after="283"/>
              <w:jc w:val="left"/>
              <w:rPr/>
            </w:pPr>
            <w:r>
              <w:rPr/>
              <w:t>  </w:t>
            </w:r>
          </w:p>
        </w:tc>
        <w:tc>
          <w:tcPr>
            <w:tcW w:w="2723" w:type="dxa"/>
            <w:tcBorders/>
            <w:vAlign w:val="bottom"/>
          </w:tcPr>
          <w:p>
            <w:pPr>
              <w:pStyle w:val="TableContents"/>
              <w:bidi w:val="0"/>
              <w:spacing w:before="0" w:after="283"/>
              <w:jc w:val="center"/>
              <w:rPr>
                <w:b/>
              </w:rPr>
            </w:pPr>
            <w:r>
              <w:rPr>
                <w:b/>
              </w:rPr>
              <w:t>Page 4    </w:t>
            </w:r>
          </w:p>
        </w:tc>
      </w:tr>
      <w:tr>
        <w:trPr/>
        <w:tc>
          <w:tcPr>
            <w:tcW w:w="7338" w:type="dxa"/>
            <w:tcBorders/>
          </w:tcPr>
          <w:p>
            <w:pPr>
              <w:pStyle w:val="TableContents"/>
              <w:bidi w:val="0"/>
              <w:spacing w:before="0" w:after="0"/>
              <w:jc w:val="left"/>
              <w:rPr>
                <w:rFonts w:ascii="Calibri" w:hAnsi="Calibri"/>
                <w:b/>
                <w:sz w:val="16"/>
              </w:rPr>
            </w:pPr>
            <w:r>
              <w:rPr>
                <w:rFonts w:ascii="Calibri" w:hAnsi="Calibri"/>
                <w:b/>
                <w:sz w:val="16"/>
              </w:rPr>
              <w:t>REVISED CONSOLIDATED ADJUSTED EARNINGS</w:t>
            </w:r>
          </w:p>
          <w:p>
            <w:pPr>
              <w:pStyle w:val="TableContents"/>
              <w:bidi w:val="0"/>
              <w:spacing w:before="0" w:after="0"/>
              <w:jc w:val="left"/>
              <w:rPr>
                <w:rFonts w:ascii="Calibri" w:hAnsi="Calibri"/>
                <w:sz w:val="14"/>
              </w:rPr>
            </w:pPr>
            <w:r>
              <w:rPr>
                <w:rFonts w:ascii="Calibri" w:hAnsi="Calibri"/>
                <w:sz w:val="14"/>
              </w:rPr>
              <w:t>(Unaudited)</w:t>
            </w:r>
          </w:p>
          <w:p>
            <w:pPr>
              <w:pStyle w:val="TableContents"/>
              <w:bidi w:val="0"/>
              <w:spacing w:before="0" w:after="20"/>
              <w:jc w:val="left"/>
              <w:rPr>
                <w:rFonts w:ascii="Calibri" w:hAnsi="Calibri"/>
                <w:sz w:val="14"/>
              </w:rPr>
            </w:pPr>
            <w:r>
              <w:rPr>
                <w:rFonts w:ascii="Calibri" w:hAnsi="Calibri"/>
                <w:sz w:val="14"/>
              </w:rPr>
              <w:t>(millions of U.S. dollars, except margins, share and per share amounts)</w:t>
            </w:r>
          </w:p>
        </w:tc>
        <w:tc>
          <w:tcPr>
            <w:tcW w:w="144" w:type="dxa"/>
            <w:tcBorders/>
            <w:vAlign w:val="bottom"/>
          </w:tcPr>
          <w:p>
            <w:pPr>
              <w:pStyle w:val="TableContents"/>
              <w:bidi w:val="0"/>
              <w:spacing w:before="0" w:after="283"/>
              <w:jc w:val="left"/>
              <w:rPr/>
            </w:pPr>
            <w:r>
              <w:rPr/>
              <w:t>  </w:t>
            </w:r>
          </w:p>
        </w:tc>
        <w:tc>
          <w:tcPr>
            <w:tcW w:w="2723"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40" w:type="dxa"/>
            </w:tcMar>
          </w:tcPr>
          <w:p>
            <w:pPr>
              <w:pStyle w:val="TableContents"/>
              <w:bidi w:val="0"/>
              <w:spacing w:before="0" w:after="283"/>
              <w:jc w:val="left"/>
              <w:rPr/>
            </w:pPr>
            <w:r>
              <w:rPr/>
              <w:t>On October 1, 2026, Thomson Reuters sold a 51% stake in its Global Print business to capital accounts advised by KKR, with the two parties forming a joint venture to operate the Global Print business, now operating as Westbridge Print. As a result of this transaction, Thomson Reuters will report Global Print in discontinued operations beginning in the third-quarter of 2026. Prior periods presented will be restated to reflect this change. The following supplemental information provides revised business segment information for each quarter and the full year of 2025, excluding the Global Print business. The information provides the company’s historical results on a continuing operations basis. Refer to the company’s press release dated October 19, 2026, “Thomson Reuters Provides Supplemental Financial Information Following Close of Global Print Transaction” for further information.</w:t>
            </w:r>
          </w:p>
        </w:tc>
      </w:tr>
    </w:tbl>
    <w:p>
      <w:pPr>
        <w:pStyle w:val="TextBody"/>
        <w:bidi w:val="0"/>
        <w:spacing w:before="0" w:after="0"/>
        <w:jc w:val="left"/>
        <w:rPr/>
      </w:pPr>
      <w:r>
        <w:rPr/>
        <w:t> </w:t>
      </w:r>
    </w:p>
    <w:tbl>
      <w:tblPr>
        <w:tblW w:w="18515" w:type="dxa"/>
        <w:jc w:val="center"/>
        <w:tblInd w:w="0" w:type="dxa"/>
        <w:tblLayout w:type="fixed"/>
        <w:tblCellMar>
          <w:top w:w="0" w:type="dxa"/>
          <w:left w:w="0" w:type="dxa"/>
          <w:bottom w:w="0" w:type="dxa"/>
          <w:right w:w="0" w:type="dxa"/>
        </w:tblCellMar>
      </w:tblPr>
      <w:tblGrid>
        <w:gridCol w:w="2075"/>
        <w:gridCol w:w="120"/>
        <w:gridCol w:w="69"/>
        <w:gridCol w:w="791"/>
        <w:gridCol w:w="60"/>
        <w:gridCol w:w="120"/>
        <w:gridCol w:w="69"/>
        <w:gridCol w:w="791"/>
        <w:gridCol w:w="60"/>
        <w:gridCol w:w="120"/>
        <w:gridCol w:w="69"/>
        <w:gridCol w:w="791"/>
        <w:gridCol w:w="60"/>
        <w:gridCol w:w="120"/>
        <w:gridCol w:w="69"/>
        <w:gridCol w:w="791"/>
        <w:gridCol w:w="60"/>
        <w:gridCol w:w="120"/>
        <w:gridCol w:w="72"/>
        <w:gridCol w:w="818"/>
        <w:gridCol w:w="60"/>
        <w:gridCol w:w="120"/>
        <w:gridCol w:w="30"/>
        <w:gridCol w:w="30"/>
        <w:gridCol w:w="60"/>
        <w:gridCol w:w="120"/>
        <w:gridCol w:w="60"/>
        <w:gridCol w:w="860"/>
        <w:gridCol w:w="60"/>
        <w:gridCol w:w="120"/>
        <w:gridCol w:w="60"/>
        <w:gridCol w:w="860"/>
        <w:gridCol w:w="60"/>
        <w:gridCol w:w="120"/>
        <w:gridCol w:w="60"/>
        <w:gridCol w:w="860"/>
        <w:gridCol w:w="60"/>
        <w:gridCol w:w="120"/>
        <w:gridCol w:w="60"/>
        <w:gridCol w:w="860"/>
        <w:gridCol w:w="60"/>
        <w:gridCol w:w="120"/>
        <w:gridCol w:w="60"/>
        <w:gridCol w:w="860"/>
        <w:gridCol w:w="60"/>
        <w:gridCol w:w="120"/>
        <w:gridCol w:w="30"/>
        <w:gridCol w:w="30"/>
        <w:gridCol w:w="60"/>
        <w:gridCol w:w="120"/>
        <w:gridCol w:w="69"/>
        <w:gridCol w:w="791"/>
        <w:gridCol w:w="60"/>
        <w:gridCol w:w="120"/>
        <w:gridCol w:w="69"/>
        <w:gridCol w:w="791"/>
        <w:gridCol w:w="60"/>
        <w:gridCol w:w="120"/>
        <w:gridCol w:w="69"/>
        <w:gridCol w:w="791"/>
        <w:gridCol w:w="60"/>
        <w:gridCol w:w="120"/>
        <w:gridCol w:w="69"/>
        <w:gridCol w:w="791"/>
        <w:gridCol w:w="60"/>
        <w:gridCol w:w="120"/>
        <w:gridCol w:w="72"/>
        <w:gridCol w:w="818"/>
        <w:gridCol w:w="60"/>
      </w:tblGrid>
      <w:tr>
        <w:trPr/>
        <w:tc>
          <w:tcPr>
            <w:tcW w:w="207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2075" w:type="dxa"/>
            <w:tcBorders/>
            <w:shd w:fill="FFFFFF" w:val="clear"/>
            <w:vAlign w:val="bottom"/>
          </w:tcPr>
          <w:p>
            <w:pPr>
              <w:pStyle w:val="TableContents"/>
              <w:bidi w:val="0"/>
              <w:spacing w:before="0" w:after="283"/>
              <w:jc w:val="left"/>
              <w:rPr>
                <w:b/>
                <w:sz w:val="14"/>
                <w:u w:val="single"/>
              </w:rPr>
            </w:pPr>
            <w:r>
              <w:rPr>
                <w:b/>
                <w:sz w:val="14"/>
                <w:u w:val="single"/>
              </w:rPr>
              <w:t>2025 QUARTERLY &amp; FULL YEAR</w:t>
            </w:r>
          </w:p>
        </w:tc>
        <w:tc>
          <w:tcPr>
            <w:tcW w:w="120" w:type="dxa"/>
            <w:tcBorders/>
            <w:shd w:fill="D64000" w:val="clear"/>
            <w:vAlign w:val="bottom"/>
          </w:tcPr>
          <w:p>
            <w:pPr>
              <w:pStyle w:val="TableContents"/>
              <w:bidi w:val="0"/>
              <w:spacing w:before="0" w:after="283"/>
              <w:jc w:val="left"/>
              <w:rPr/>
            </w:pPr>
            <w:r>
              <w:rPr/>
              <w:t>  </w:t>
            </w:r>
          </w:p>
        </w:tc>
        <w:tc>
          <w:tcPr>
            <w:tcW w:w="5050" w:type="dxa"/>
            <w:gridSpan w:val="18"/>
            <w:tcBorders/>
            <w:shd w:fill="D64000" w:val="clear"/>
            <w:vAlign w:val="bottom"/>
          </w:tcPr>
          <w:p>
            <w:pPr>
              <w:pStyle w:val="TableContents"/>
              <w:bidi w:val="0"/>
              <w:spacing w:before="0" w:after="283"/>
              <w:jc w:val="center"/>
              <w:rPr>
                <w:b/>
                <w:color w:val="FFFFFF"/>
              </w:rPr>
            </w:pPr>
            <w:r>
              <w:rPr>
                <w:b/>
                <w:color w:val="FFFFFF"/>
              </w:rPr>
              <w:t>AS REPORTED (3)</w:t>
            </w:r>
          </w:p>
        </w:tc>
        <w:tc>
          <w:tcPr>
            <w:tcW w:w="60" w:type="dxa"/>
            <w:tcBorders/>
            <w:shd w:fill="D64000" w:val="clear"/>
            <w:vAlign w:val="bottom"/>
          </w:tcPr>
          <w:p>
            <w:pPr>
              <w:pStyle w:val="TableContents"/>
              <w:bidi w:val="0"/>
              <w:spacing w:before="0" w:after="283"/>
              <w:jc w:val="left"/>
              <w:rPr/>
            </w:pPr>
            <w:r>
              <w:rPr/>
              <w:t> </w:t>
            </w:r>
          </w:p>
        </w:tc>
        <w:tc>
          <w:tcPr>
            <w:tcW w:w="120" w:type="dxa"/>
            <w:tcBorders/>
            <w:shd w:fill="FFFFFF" w:val="clear"/>
            <w:vAlign w:val="bottom"/>
          </w:tcPr>
          <w:p>
            <w:pPr>
              <w:pStyle w:val="TableContents"/>
              <w:bidi w:val="0"/>
              <w:spacing w:before="0" w:after="283"/>
              <w:jc w:val="left"/>
              <w:rPr/>
            </w:pPr>
            <w:r>
              <w:rPr/>
              <w:t>  </w:t>
            </w:r>
          </w:p>
        </w:tc>
        <w:tc>
          <w:tcPr>
            <w:tcW w:w="60" w:type="dxa"/>
            <w:gridSpan w:val="2"/>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0" w:type="dxa"/>
            <w:tcBorders/>
            <w:shd w:fill="D64000" w:val="clear"/>
            <w:vAlign w:val="bottom"/>
          </w:tcPr>
          <w:p>
            <w:pPr>
              <w:pStyle w:val="TableContents"/>
              <w:bidi w:val="0"/>
              <w:spacing w:before="0" w:after="283"/>
              <w:jc w:val="left"/>
              <w:rPr/>
            </w:pPr>
            <w:r>
              <w:rPr/>
              <w:t>  </w:t>
            </w:r>
          </w:p>
        </w:tc>
        <w:tc>
          <w:tcPr>
            <w:tcW w:w="5320" w:type="dxa"/>
            <w:gridSpan w:val="18"/>
            <w:tcBorders/>
            <w:shd w:fill="D64000" w:val="clear"/>
            <w:vAlign w:val="bottom"/>
          </w:tcPr>
          <w:p>
            <w:pPr>
              <w:pStyle w:val="TableContents"/>
              <w:bidi w:val="0"/>
              <w:spacing w:before="0" w:after="283"/>
              <w:jc w:val="center"/>
              <w:rPr>
                <w:b/>
                <w:color w:val="FFFFFF"/>
              </w:rPr>
            </w:pPr>
            <w:r>
              <w:rPr>
                <w:b/>
                <w:color w:val="FFFFFF"/>
              </w:rPr>
              <w:t>ADJUSTMENTS</w:t>
            </w:r>
          </w:p>
        </w:tc>
        <w:tc>
          <w:tcPr>
            <w:tcW w:w="60" w:type="dxa"/>
            <w:tcBorders/>
            <w:shd w:fill="D64000" w:val="clear"/>
            <w:vAlign w:val="bottom"/>
          </w:tcPr>
          <w:p>
            <w:pPr>
              <w:pStyle w:val="TableContents"/>
              <w:bidi w:val="0"/>
              <w:spacing w:before="0" w:after="283"/>
              <w:jc w:val="left"/>
              <w:rPr/>
            </w:pPr>
            <w:r>
              <w:rPr/>
              <w:t> </w:t>
            </w:r>
          </w:p>
        </w:tc>
        <w:tc>
          <w:tcPr>
            <w:tcW w:w="120" w:type="dxa"/>
            <w:tcBorders/>
            <w:shd w:fill="FFFFFF" w:val="clear"/>
            <w:vAlign w:val="bottom"/>
          </w:tcPr>
          <w:p>
            <w:pPr>
              <w:pStyle w:val="TableContents"/>
              <w:bidi w:val="0"/>
              <w:spacing w:before="0" w:after="283"/>
              <w:jc w:val="left"/>
              <w:rPr/>
            </w:pPr>
            <w:r>
              <w:rPr/>
              <w:t>  </w:t>
            </w:r>
          </w:p>
        </w:tc>
        <w:tc>
          <w:tcPr>
            <w:tcW w:w="60" w:type="dxa"/>
            <w:gridSpan w:val="2"/>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0" w:type="dxa"/>
            <w:tcBorders/>
            <w:shd w:fill="D64000" w:val="clear"/>
            <w:vAlign w:val="bottom"/>
          </w:tcPr>
          <w:p>
            <w:pPr>
              <w:pStyle w:val="TableContents"/>
              <w:bidi w:val="0"/>
              <w:spacing w:before="0" w:after="283"/>
              <w:jc w:val="left"/>
              <w:rPr/>
            </w:pPr>
            <w:r>
              <w:rPr/>
              <w:t>  </w:t>
            </w:r>
          </w:p>
        </w:tc>
        <w:tc>
          <w:tcPr>
            <w:tcW w:w="5050" w:type="dxa"/>
            <w:gridSpan w:val="18"/>
            <w:tcBorders/>
            <w:shd w:fill="D64000" w:val="clear"/>
            <w:vAlign w:val="bottom"/>
          </w:tcPr>
          <w:p>
            <w:pPr>
              <w:pStyle w:val="TableContents"/>
              <w:bidi w:val="0"/>
              <w:spacing w:before="0" w:after="283"/>
              <w:jc w:val="center"/>
              <w:rPr>
                <w:b/>
                <w:color w:val="FFFFFF"/>
              </w:rPr>
            </w:pPr>
            <w:r>
              <w:rPr>
                <w:b/>
                <w:color w:val="FFFFFF"/>
              </w:rPr>
              <w:t>AS REVISED (3)</w:t>
            </w:r>
          </w:p>
        </w:tc>
        <w:tc>
          <w:tcPr>
            <w:tcW w:w="60" w:type="dxa"/>
            <w:tcBorders/>
            <w:shd w:fill="D64000" w:val="clear"/>
            <w:vAlign w:val="bottom"/>
          </w:tcPr>
          <w:p>
            <w:pPr>
              <w:pStyle w:val="TableContents"/>
              <w:bidi w:val="0"/>
              <w:spacing w:before="0" w:after="283"/>
              <w:jc w:val="left"/>
              <w:rPr/>
            </w:pPr>
            <w:r>
              <w:rPr/>
              <w:t> </w:t>
            </w:r>
          </w:p>
        </w:tc>
      </w:tr>
      <w:tr>
        <w:trPr/>
        <w:tc>
          <w:tcPr>
            <w:tcW w:w="207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Q1 2025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Q2 2025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Q3 2025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Q4 2025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FY 2025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Q1 2025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Q2 2025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Q3 2025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Q4 2025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FY 2025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Q1 2025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Q2 2025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Q3 2025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Q4 2025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FY 2025</w:t>
            </w:r>
          </w:p>
        </w:tc>
        <w:tc>
          <w:tcPr>
            <w:tcW w:w="60" w:type="dxa"/>
            <w:tcBorders/>
            <w:vAlign w:val="bottom"/>
          </w:tcPr>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Calibri" w:hAnsi="Calibri"/>
                <w:b/>
                <w:sz w:val="14"/>
                <w:u w:val="single"/>
              </w:rPr>
            </w:pPr>
            <w:r>
              <w:rPr>
                <w:rFonts w:ascii="Calibri" w:hAnsi="Calibri"/>
                <w:b/>
                <w:sz w:val="14"/>
                <w:u w:val="single"/>
              </w:rPr>
              <w:t>Revenues</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8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2075" w:type="dxa"/>
            <w:tcBorders/>
          </w:tcPr>
          <w:p>
            <w:pPr>
              <w:pStyle w:val="TableContents"/>
              <w:bidi w:val="0"/>
              <w:spacing w:before="0" w:after="0"/>
              <w:jc w:val="left"/>
              <w:rPr>
                <w:rFonts w:ascii="Calibri" w:hAnsi="Calibri"/>
                <w:sz w:val="14"/>
              </w:rPr>
            </w:pPr>
            <w:r>
              <w:rPr>
                <w:rFonts w:ascii="Calibri" w:hAnsi="Calibri"/>
                <w:sz w:val="14"/>
              </w:rPr>
              <w:t>Legal Professionals</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$688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$704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$721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$730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$2,843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$688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$704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$721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p>
            <w:pPr>
              <w:pStyle w:val="TableContents"/>
              <w:bidi w:val="0"/>
              <w:spacing w:before="0" w:after="283"/>
              <w:jc w:val="right"/>
              <w:rPr/>
            </w:pPr>
            <w:r>
              <w:rPr/>
              <w:t>$730</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$2,843</w:t>
            </w:r>
          </w:p>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Calibri" w:hAnsi="Calibri"/>
                <w:sz w:val="14"/>
              </w:rPr>
            </w:pPr>
            <w:r>
              <w:rPr>
                <w:rFonts w:ascii="Calibri" w:hAnsi="Calibri"/>
                <w:sz w:val="14"/>
              </w:rPr>
              <w:t>Corporates</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548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480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489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506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2,023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548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480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489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p>
            <w:pPr>
              <w:pStyle w:val="TableContents"/>
              <w:bidi w:val="0"/>
              <w:spacing w:before="0" w:after="283"/>
              <w:jc w:val="right"/>
              <w:rPr/>
            </w:pPr>
            <w:r>
              <w:rPr/>
              <w:t>506</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2,023</w:t>
            </w:r>
          </w:p>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Calibri" w:hAnsi="Calibri"/>
                <w:sz w:val="14"/>
              </w:rPr>
            </w:pPr>
            <w:r>
              <w:rPr>
                <w:rFonts w:ascii="Calibri" w:hAnsi="Calibri"/>
                <w:sz w:val="14"/>
              </w:rPr>
              <w:t>Tax, Audit &amp; Accounting Professionals</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358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274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247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412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1,291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358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274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247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p>
            <w:pPr>
              <w:pStyle w:val="TableContents"/>
              <w:bidi w:val="0"/>
              <w:spacing w:before="0" w:after="283"/>
              <w:jc w:val="right"/>
              <w:rPr/>
            </w:pPr>
            <w:r>
              <w:rPr/>
              <w:t>412</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1,291</w:t>
            </w:r>
          </w:p>
          <w:p>
            <w:pPr>
              <w:pStyle w:val="TableContents"/>
              <w:bidi w:val="0"/>
              <w:spacing w:before="0" w:after="283"/>
              <w:jc w:val="left"/>
              <w:rPr/>
            </w:pPr>
            <w:r>
              <w:rPr/>
              <w:t> </w:t>
            </w:r>
          </w:p>
        </w:tc>
      </w:tr>
      <w:tr>
        <w:trPr/>
        <w:tc>
          <w:tcPr>
            <w:tcW w:w="207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3911" w:type="dxa"/>
            <w:gridSpan w:val="13"/>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160" w:type="dxa"/>
            <w:gridSpan w:val="13"/>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3911" w:type="dxa"/>
            <w:gridSpan w:val="13"/>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2075" w:type="dxa"/>
            <w:tcBorders/>
          </w:tcPr>
          <w:p>
            <w:pPr>
              <w:pStyle w:val="TableContents"/>
              <w:bidi w:val="0"/>
              <w:spacing w:before="0" w:after="0"/>
              <w:jc w:val="left"/>
              <w:rPr/>
            </w:pPr>
            <w:r>
              <w:rPr/>
              <w:t>“</w:t>
            </w:r>
            <w:r>
              <w:rPr>
                <w:rFonts w:ascii="Calibri" w:hAnsi="Calibri"/>
                <w:sz w:val="14"/>
              </w:rPr>
              <w:t>Big 3” segments combined (1)</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1,594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1,458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1,457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1,648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6,157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1,594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1,458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1,457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p>
            <w:pPr>
              <w:pStyle w:val="TableContents"/>
              <w:bidi w:val="0"/>
              <w:spacing w:before="0" w:after="283"/>
              <w:jc w:val="right"/>
              <w:rPr/>
            </w:pPr>
            <w:r>
              <w:rPr/>
              <w:t>1,648</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6,157</w:t>
            </w:r>
          </w:p>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Calibri" w:hAnsi="Calibri"/>
                <w:sz w:val="14"/>
              </w:rPr>
            </w:pPr>
            <w:r>
              <w:rPr>
                <w:rFonts w:ascii="Calibri" w:hAnsi="Calibri"/>
                <w:sz w:val="14"/>
              </w:rPr>
              <w:t>Reuters</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196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218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207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232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853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196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218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207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p>
            <w:pPr>
              <w:pStyle w:val="TableContents"/>
              <w:bidi w:val="0"/>
              <w:spacing w:before="0" w:after="283"/>
              <w:jc w:val="right"/>
              <w:rPr/>
            </w:pPr>
            <w:r>
              <w:rPr/>
              <w:t>232</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853</w:t>
            </w:r>
          </w:p>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Calibri" w:hAnsi="Calibri"/>
                <w:sz w:val="14"/>
              </w:rPr>
            </w:pPr>
            <w:r>
              <w:rPr>
                <w:rFonts w:ascii="Calibri" w:hAnsi="Calibri"/>
                <w:sz w:val="14"/>
              </w:rPr>
              <w:t>Global Print</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116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114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124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136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490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(116)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(114)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(124)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(136)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(490)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Calibri" w:hAnsi="Calibri"/>
                <w:sz w:val="14"/>
              </w:rPr>
            </w:pPr>
            <w:r>
              <w:rPr>
                <w:rFonts w:ascii="Calibri" w:hAnsi="Calibri"/>
                <w:sz w:val="14"/>
              </w:rPr>
              <w:t>Eliminations/Rounding</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p>
            <w:pPr>
              <w:pStyle w:val="TableContents"/>
              <w:bidi w:val="0"/>
              <w:spacing w:before="0" w:after="283"/>
              <w:jc w:val="right"/>
              <w:rPr/>
            </w:pPr>
            <w:r>
              <w:rPr/>
              <w:t>(7)</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(24)</w:t>
            </w:r>
          </w:p>
          <w:p>
            <w:pPr>
              <w:pStyle w:val="TableContents"/>
              <w:bidi w:val="0"/>
              <w:spacing w:before="0" w:after="283"/>
              <w:jc w:val="left"/>
              <w:rPr/>
            </w:pPr>
            <w:r>
              <w:rPr/>
              <w:t> </w:t>
            </w:r>
          </w:p>
        </w:tc>
      </w:tr>
      <w:tr>
        <w:trPr/>
        <w:tc>
          <w:tcPr>
            <w:tcW w:w="207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3911" w:type="dxa"/>
            <w:gridSpan w:val="13"/>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79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79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79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79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Calibri" w:hAnsi="Calibri"/>
                <w:b/>
                <w:sz w:val="14"/>
              </w:rPr>
            </w:pPr>
            <w:r>
              <w:rPr>
                <w:rFonts w:ascii="Calibri" w:hAnsi="Calibri"/>
                <w:b/>
                <w:sz w:val="14"/>
              </w:rPr>
              <w:t>Total revenues</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b/>
              </w:rPr>
            </w:pPr>
            <w:r>
              <w:rPr>
                <w:b/>
              </w:rPr>
              <w:t>$1,900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b/>
              </w:rPr>
            </w:pPr>
            <w:r>
              <w:rPr>
                <w:b/>
              </w:rPr>
              <w:t>$1,785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b/>
              </w:rPr>
            </w:pPr>
            <w:r>
              <w:rPr>
                <w:b/>
              </w:rPr>
              <w:t>$1,782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b/>
              </w:rPr>
            </w:pPr>
            <w:r>
              <w:rPr>
                <w:b/>
              </w:rPr>
              <w:t>$2,009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b/>
              </w:rPr>
            </w:pPr>
            <w:r>
              <w:rPr>
                <w:b/>
              </w:rPr>
              <w:t>$7,476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b/>
              </w:rPr>
            </w:pPr>
            <w:r>
              <w:rPr>
                <w:b/>
              </w:rPr>
              <w:t>($116)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b/>
              </w:rPr>
            </w:pPr>
            <w:r>
              <w:rPr>
                <w:b/>
              </w:rPr>
              <w:t>($114)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b/>
              </w:rPr>
            </w:pPr>
            <w:r>
              <w:rPr>
                <w:b/>
              </w:rPr>
              <w:t>($124)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b/>
              </w:rPr>
            </w:pPr>
            <w:r>
              <w:rPr>
                <w:b/>
              </w:rPr>
              <w:t>($136)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b/>
              </w:rPr>
            </w:pPr>
            <w:r>
              <w:rPr>
                <w:b/>
              </w:rPr>
              <w:t>($490)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b/>
              </w:rPr>
            </w:pPr>
            <w:r>
              <w:rPr>
                <w:b/>
              </w:rPr>
              <w:t>$1,784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b/>
              </w:rPr>
            </w:pPr>
            <w:r>
              <w:rPr>
                <w:b/>
              </w:rPr>
              <w:t>$1,671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b/>
              </w:rPr>
            </w:pPr>
            <w:r>
              <w:rPr>
                <w:b/>
              </w:rPr>
              <w:t>$1,658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p>
            <w:pPr>
              <w:pStyle w:val="TableContents"/>
              <w:bidi w:val="0"/>
              <w:spacing w:before="0" w:after="283"/>
              <w:jc w:val="right"/>
              <w:rPr>
                <w:b/>
              </w:rPr>
            </w:pPr>
            <w:r>
              <w:rPr>
                <w:b/>
              </w:rPr>
              <w:t>$1,873</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b/>
              </w:rPr>
            </w:pPr>
            <w:r>
              <w:rPr>
                <w:b/>
              </w:rPr>
              <w:t>$6,986</w:t>
            </w:r>
          </w:p>
          <w:p>
            <w:pPr>
              <w:pStyle w:val="TableContents"/>
              <w:bidi w:val="0"/>
              <w:spacing w:before="0" w:after="283"/>
              <w:jc w:val="left"/>
              <w:rPr/>
            </w:pPr>
            <w:r>
              <w:rPr/>
              <w:t> </w:t>
            </w:r>
          </w:p>
        </w:tc>
      </w:tr>
      <w:tr>
        <w:trPr/>
        <w:tc>
          <w:tcPr>
            <w:tcW w:w="207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12" w:space="1" w:color="000000"/>
              </w:pBdr>
              <w:bidi w:val="0"/>
              <w:spacing w:before="0" w:after="0"/>
              <w:jc w:val="left"/>
              <w:rPr/>
            </w:pPr>
            <w:r>
              <w:rPr/>
              <w:t> </w:t>
            </w:r>
          </w:p>
        </w:tc>
        <w:tc>
          <w:tcPr>
            <w:tcW w:w="3911" w:type="dxa"/>
            <w:gridSpan w:val="13"/>
            <w:tcBorders/>
            <w:vAlign w:val="bottom"/>
          </w:tcPr>
          <w:p>
            <w:pPr>
              <w:pStyle w:val="TableContents"/>
              <w:pBdr>
                <w:top w:val="single" w:sz="1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12" w:space="1" w:color="000000"/>
              </w:pBdr>
              <w:bidi w:val="0"/>
              <w:spacing w:before="0" w:after="0"/>
              <w:jc w:val="left"/>
              <w:rPr/>
            </w:pPr>
            <w:r>
              <w:rPr/>
              <w:t> </w:t>
            </w:r>
          </w:p>
        </w:tc>
        <w:tc>
          <w:tcPr>
            <w:tcW w:w="818" w:type="dxa"/>
            <w:tcBorders/>
            <w:vAlign w:val="bottom"/>
          </w:tcPr>
          <w:p>
            <w:pPr>
              <w:pStyle w:val="TableContents"/>
              <w:pBdr>
                <w:top w:val="single" w:sz="1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12" w:space="1" w:color="000000"/>
              </w:pBdr>
              <w:bidi w:val="0"/>
              <w:spacing w:before="0" w:after="0"/>
              <w:jc w:val="left"/>
              <w:rPr/>
            </w:pPr>
            <w:r>
              <w:rPr/>
              <w:t> </w:t>
            </w:r>
          </w:p>
        </w:tc>
        <w:tc>
          <w:tcPr>
            <w:tcW w:w="4160" w:type="dxa"/>
            <w:gridSpan w:val="13"/>
            <w:tcBorders/>
            <w:vAlign w:val="bottom"/>
          </w:tcPr>
          <w:p>
            <w:pPr>
              <w:pStyle w:val="TableContents"/>
              <w:pBdr>
                <w:top w:val="single" w:sz="1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12" w:space="1" w:color="000000"/>
              </w:pBdr>
              <w:bidi w:val="0"/>
              <w:spacing w:before="0" w:after="0"/>
              <w:jc w:val="left"/>
              <w:rPr/>
            </w:pPr>
            <w:r>
              <w:rPr/>
              <w:t> </w:t>
            </w:r>
          </w:p>
        </w:tc>
        <w:tc>
          <w:tcPr>
            <w:tcW w:w="860" w:type="dxa"/>
            <w:tcBorders/>
            <w:vAlign w:val="bottom"/>
          </w:tcPr>
          <w:p>
            <w:pPr>
              <w:pStyle w:val="TableContents"/>
              <w:pBdr>
                <w:top w:val="single" w:sz="1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12" w:space="1" w:color="000000"/>
              </w:pBdr>
              <w:bidi w:val="0"/>
              <w:spacing w:before="0" w:after="0"/>
              <w:jc w:val="left"/>
              <w:rPr/>
            </w:pPr>
            <w:r>
              <w:rPr/>
              <w:t> </w:t>
            </w:r>
          </w:p>
        </w:tc>
        <w:tc>
          <w:tcPr>
            <w:tcW w:w="3911" w:type="dxa"/>
            <w:gridSpan w:val="13"/>
            <w:tcBorders/>
            <w:vAlign w:val="bottom"/>
          </w:tcPr>
          <w:p>
            <w:pPr>
              <w:pStyle w:val="TableContents"/>
              <w:pBdr>
                <w:top w:val="single" w:sz="1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12" w:space="1" w:color="000000"/>
              </w:pBdr>
              <w:bidi w:val="0"/>
              <w:spacing w:before="0" w:after="0"/>
              <w:jc w:val="left"/>
              <w:rPr/>
            </w:pPr>
            <w:r>
              <w:rPr/>
              <w:t> </w:t>
            </w:r>
          </w:p>
        </w:tc>
        <w:tc>
          <w:tcPr>
            <w:tcW w:w="818" w:type="dxa"/>
            <w:tcBorders/>
            <w:vAlign w:val="bottom"/>
          </w:tcPr>
          <w:p>
            <w:pPr>
              <w:pStyle w:val="TableContents"/>
              <w:pBdr>
                <w:top w:val="single" w:sz="1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Calibri" w:hAnsi="Calibri"/>
                <w:b/>
                <w:sz w:val="14"/>
                <w:u w:val="single"/>
              </w:rPr>
            </w:pPr>
            <w:r>
              <w:rPr>
                <w:rFonts w:ascii="Calibri" w:hAnsi="Calibri"/>
                <w:b/>
                <w:sz w:val="14"/>
                <w:u w:val="single"/>
              </w:rPr>
              <w:t>Adjusted EBITDA</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8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2075" w:type="dxa"/>
            <w:tcBorders/>
          </w:tcPr>
          <w:p>
            <w:pPr>
              <w:pStyle w:val="TableContents"/>
              <w:bidi w:val="0"/>
              <w:spacing w:before="0" w:after="0"/>
              <w:jc w:val="left"/>
              <w:rPr>
                <w:rFonts w:ascii="Calibri" w:hAnsi="Calibri"/>
                <w:sz w:val="14"/>
              </w:rPr>
            </w:pPr>
            <w:r>
              <w:rPr>
                <w:rFonts w:ascii="Calibri" w:hAnsi="Calibri"/>
                <w:sz w:val="14"/>
              </w:rPr>
              <w:t>Legal Professionals</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$336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$339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$353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$326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$1,354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$336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$339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$353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p>
            <w:pPr>
              <w:pStyle w:val="TableContents"/>
              <w:bidi w:val="0"/>
              <w:spacing w:before="0" w:after="283"/>
              <w:jc w:val="right"/>
              <w:rPr/>
            </w:pPr>
            <w:r>
              <w:rPr/>
              <w:t>$326</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$1,354</w:t>
            </w:r>
          </w:p>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Calibri" w:hAnsi="Calibri"/>
                <w:sz w:val="14"/>
              </w:rPr>
            </w:pPr>
            <w:r>
              <w:rPr>
                <w:rFonts w:ascii="Calibri" w:hAnsi="Calibri"/>
                <w:sz w:val="14"/>
              </w:rPr>
              <w:t>Corporates</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215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172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177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163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727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215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172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177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p>
            <w:pPr>
              <w:pStyle w:val="TableContents"/>
              <w:bidi w:val="0"/>
              <w:spacing w:before="0" w:after="283"/>
              <w:jc w:val="right"/>
              <w:rPr/>
            </w:pPr>
            <w:r>
              <w:rPr/>
              <w:t>163</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727</w:t>
            </w:r>
          </w:p>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Calibri" w:hAnsi="Calibri"/>
                <w:sz w:val="14"/>
              </w:rPr>
            </w:pPr>
            <w:r>
              <w:rPr>
                <w:rFonts w:ascii="Calibri" w:hAnsi="Calibri"/>
                <w:sz w:val="14"/>
              </w:rPr>
              <w:t>Tax, Audit &amp; Accounting Professionals</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208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110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76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220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614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208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110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76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p>
            <w:pPr>
              <w:pStyle w:val="TableContents"/>
              <w:bidi w:val="0"/>
              <w:spacing w:before="0" w:after="283"/>
              <w:jc w:val="right"/>
              <w:rPr/>
            </w:pPr>
            <w:r>
              <w:rPr/>
              <w:t>220</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614</w:t>
            </w:r>
          </w:p>
          <w:p>
            <w:pPr>
              <w:pStyle w:val="TableContents"/>
              <w:bidi w:val="0"/>
              <w:spacing w:before="0" w:after="283"/>
              <w:jc w:val="left"/>
              <w:rPr/>
            </w:pPr>
            <w:r>
              <w:rPr/>
              <w:t> </w:t>
            </w:r>
          </w:p>
        </w:tc>
      </w:tr>
      <w:tr>
        <w:trPr/>
        <w:tc>
          <w:tcPr>
            <w:tcW w:w="207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3911" w:type="dxa"/>
            <w:gridSpan w:val="13"/>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160" w:type="dxa"/>
            <w:gridSpan w:val="13"/>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3911" w:type="dxa"/>
            <w:gridSpan w:val="13"/>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2075" w:type="dxa"/>
            <w:tcBorders/>
          </w:tcPr>
          <w:p>
            <w:pPr>
              <w:pStyle w:val="TableContents"/>
              <w:bidi w:val="0"/>
              <w:spacing w:before="0" w:after="0"/>
              <w:jc w:val="left"/>
              <w:rPr/>
            </w:pPr>
            <w:r>
              <w:rPr/>
              <w:t>“</w:t>
            </w:r>
            <w:r>
              <w:rPr>
                <w:rFonts w:ascii="Calibri" w:hAnsi="Calibri"/>
                <w:sz w:val="14"/>
              </w:rPr>
              <w:t>Big 3” segments combined (1)</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759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621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606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709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2,695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759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621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606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p>
            <w:pPr>
              <w:pStyle w:val="TableContents"/>
              <w:bidi w:val="0"/>
              <w:spacing w:before="0" w:after="283"/>
              <w:jc w:val="right"/>
              <w:rPr/>
            </w:pPr>
            <w:r>
              <w:rPr/>
              <w:t>709</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2,695</w:t>
            </w:r>
          </w:p>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Calibri" w:hAnsi="Calibri"/>
                <w:sz w:val="14"/>
              </w:rPr>
            </w:pPr>
            <w:r>
              <w:rPr>
                <w:rFonts w:ascii="Calibri" w:hAnsi="Calibri"/>
                <w:sz w:val="14"/>
              </w:rPr>
              <w:t>Reuters</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45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42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48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174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45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42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p>
            <w:pPr>
              <w:pStyle w:val="TableContents"/>
              <w:bidi w:val="0"/>
              <w:spacing w:before="0" w:after="283"/>
              <w:jc w:val="right"/>
              <w:rPr/>
            </w:pPr>
            <w:r>
              <w:rPr/>
              <w:t>48</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174</w:t>
            </w:r>
          </w:p>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Calibri" w:hAnsi="Calibri"/>
                <w:sz w:val="14"/>
              </w:rPr>
            </w:pPr>
            <w:r>
              <w:rPr>
                <w:rFonts w:ascii="Calibri" w:hAnsi="Calibri"/>
                <w:sz w:val="14"/>
              </w:rPr>
              <w:t>Global Print</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44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41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46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54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185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(44)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(41)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(46)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(54)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(185)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Calibri" w:hAnsi="Calibri"/>
                <w:sz w:val="14"/>
              </w:rPr>
            </w:pPr>
            <w:r>
              <w:rPr>
                <w:rFonts w:ascii="Calibri" w:hAnsi="Calibri"/>
                <w:sz w:val="14"/>
              </w:rPr>
              <w:t>Corporate costs</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(33)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(29)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(22)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(34)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(118)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(33)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(32)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(33)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(36)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(134)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(66)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(61)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(55)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p>
            <w:pPr>
              <w:pStyle w:val="TableContents"/>
              <w:bidi w:val="0"/>
              <w:spacing w:before="0" w:after="283"/>
              <w:jc w:val="right"/>
              <w:rPr/>
            </w:pPr>
            <w:r>
              <w:rPr/>
              <w:t>(70)</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(252)</w:t>
            </w:r>
          </w:p>
          <w:p>
            <w:pPr>
              <w:pStyle w:val="TableContents"/>
              <w:bidi w:val="0"/>
              <w:spacing w:before="0" w:after="283"/>
              <w:jc w:val="left"/>
              <w:rPr/>
            </w:pPr>
            <w:r>
              <w:rPr/>
              <w:t> </w:t>
            </w:r>
          </w:p>
        </w:tc>
      </w:tr>
      <w:tr>
        <w:trPr/>
        <w:tc>
          <w:tcPr>
            <w:tcW w:w="207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3911" w:type="dxa"/>
            <w:gridSpan w:val="13"/>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160" w:type="dxa"/>
            <w:gridSpan w:val="13"/>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3911" w:type="dxa"/>
            <w:gridSpan w:val="13"/>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Calibri" w:hAnsi="Calibri"/>
                <w:b/>
                <w:sz w:val="14"/>
              </w:rPr>
            </w:pPr>
            <w:r>
              <w:rPr>
                <w:rFonts w:ascii="Calibri" w:hAnsi="Calibri"/>
                <w:b/>
                <w:sz w:val="14"/>
              </w:rPr>
              <w:t>Total adjusted EBITDA (1)</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b/>
              </w:rPr>
            </w:pPr>
            <w:r>
              <w:rPr>
                <w:b/>
              </w:rPr>
              <w:t>$809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b/>
              </w:rPr>
            </w:pPr>
            <w:r>
              <w:rPr>
                <w:b/>
              </w:rPr>
              <w:t>$678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b/>
              </w:rPr>
            </w:pPr>
            <w:r>
              <w:rPr>
                <w:b/>
              </w:rPr>
              <w:t>$672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b/>
              </w:rPr>
            </w:pPr>
            <w:r>
              <w:rPr>
                <w:b/>
              </w:rPr>
              <w:t>$777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b/>
              </w:rPr>
            </w:pPr>
            <w:r>
              <w:rPr>
                <w:b/>
              </w:rPr>
              <w:t>$2,936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b/>
              </w:rPr>
            </w:pPr>
            <w:r>
              <w:rPr>
                <w:b/>
              </w:rPr>
              <w:t>($77)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b/>
              </w:rPr>
            </w:pPr>
            <w:r>
              <w:rPr>
                <w:b/>
              </w:rPr>
              <w:t>($73)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b/>
              </w:rPr>
            </w:pPr>
            <w:r>
              <w:rPr>
                <w:b/>
              </w:rPr>
              <w:t>($79)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b/>
              </w:rPr>
            </w:pPr>
            <w:r>
              <w:rPr>
                <w:b/>
              </w:rPr>
              <w:t>($90)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b/>
              </w:rPr>
            </w:pPr>
            <w:r>
              <w:rPr>
                <w:b/>
              </w:rPr>
              <w:t>($319)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b/>
              </w:rPr>
            </w:pPr>
            <w:r>
              <w:rPr>
                <w:b/>
              </w:rPr>
              <w:t>$732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b/>
              </w:rPr>
            </w:pPr>
            <w:r>
              <w:rPr>
                <w:b/>
              </w:rPr>
              <w:t>$605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b/>
              </w:rPr>
            </w:pPr>
            <w:r>
              <w:rPr>
                <w:b/>
              </w:rPr>
              <w:t>$593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p>
            <w:pPr>
              <w:pStyle w:val="TableContents"/>
              <w:bidi w:val="0"/>
              <w:spacing w:before="0" w:after="283"/>
              <w:jc w:val="right"/>
              <w:rPr>
                <w:b/>
              </w:rPr>
            </w:pPr>
            <w:r>
              <w:rPr>
                <w:b/>
              </w:rPr>
              <w:t>$687</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b/>
              </w:rPr>
            </w:pPr>
            <w:r>
              <w:rPr>
                <w:b/>
              </w:rPr>
              <w:t>$2,617</w:t>
            </w:r>
          </w:p>
          <w:p>
            <w:pPr>
              <w:pStyle w:val="TableContents"/>
              <w:bidi w:val="0"/>
              <w:spacing w:before="0" w:after="283"/>
              <w:jc w:val="left"/>
              <w:rPr/>
            </w:pPr>
            <w:r>
              <w:rPr/>
              <w:t> </w:t>
            </w:r>
          </w:p>
        </w:tc>
      </w:tr>
      <w:tr>
        <w:trPr/>
        <w:tc>
          <w:tcPr>
            <w:tcW w:w="207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12" w:space="1" w:color="000000"/>
              </w:pBdr>
              <w:bidi w:val="0"/>
              <w:spacing w:before="0" w:after="0"/>
              <w:jc w:val="left"/>
              <w:rPr/>
            </w:pPr>
            <w:r>
              <w:rPr/>
              <w:t> </w:t>
            </w:r>
          </w:p>
        </w:tc>
        <w:tc>
          <w:tcPr>
            <w:tcW w:w="3911" w:type="dxa"/>
            <w:gridSpan w:val="13"/>
            <w:tcBorders/>
            <w:vAlign w:val="bottom"/>
          </w:tcPr>
          <w:p>
            <w:pPr>
              <w:pStyle w:val="TableContents"/>
              <w:pBdr>
                <w:top w:val="single" w:sz="1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12" w:space="1" w:color="000000"/>
              </w:pBdr>
              <w:bidi w:val="0"/>
              <w:spacing w:before="0" w:after="0"/>
              <w:jc w:val="left"/>
              <w:rPr/>
            </w:pPr>
            <w:r>
              <w:rPr/>
              <w:t> </w:t>
            </w:r>
          </w:p>
        </w:tc>
        <w:tc>
          <w:tcPr>
            <w:tcW w:w="818" w:type="dxa"/>
            <w:tcBorders/>
            <w:vAlign w:val="bottom"/>
          </w:tcPr>
          <w:p>
            <w:pPr>
              <w:pStyle w:val="TableContents"/>
              <w:pBdr>
                <w:top w:val="single" w:sz="1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12" w:space="1" w:color="000000"/>
              </w:pBdr>
              <w:bidi w:val="0"/>
              <w:spacing w:before="0" w:after="0"/>
              <w:jc w:val="left"/>
              <w:rPr/>
            </w:pPr>
            <w:r>
              <w:rPr/>
              <w:t> </w:t>
            </w:r>
          </w:p>
        </w:tc>
        <w:tc>
          <w:tcPr>
            <w:tcW w:w="4160" w:type="dxa"/>
            <w:gridSpan w:val="13"/>
            <w:tcBorders/>
            <w:vAlign w:val="bottom"/>
          </w:tcPr>
          <w:p>
            <w:pPr>
              <w:pStyle w:val="TableContents"/>
              <w:pBdr>
                <w:top w:val="single" w:sz="1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12" w:space="1" w:color="000000"/>
              </w:pBdr>
              <w:bidi w:val="0"/>
              <w:spacing w:before="0" w:after="0"/>
              <w:jc w:val="left"/>
              <w:rPr/>
            </w:pPr>
            <w:r>
              <w:rPr/>
              <w:t> </w:t>
            </w:r>
          </w:p>
        </w:tc>
        <w:tc>
          <w:tcPr>
            <w:tcW w:w="860" w:type="dxa"/>
            <w:tcBorders/>
            <w:vAlign w:val="bottom"/>
          </w:tcPr>
          <w:p>
            <w:pPr>
              <w:pStyle w:val="TableContents"/>
              <w:pBdr>
                <w:top w:val="single" w:sz="1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12" w:space="1" w:color="000000"/>
              </w:pBdr>
              <w:bidi w:val="0"/>
              <w:spacing w:before="0" w:after="0"/>
              <w:jc w:val="left"/>
              <w:rPr/>
            </w:pPr>
            <w:r>
              <w:rPr/>
              <w:t> </w:t>
            </w:r>
          </w:p>
        </w:tc>
        <w:tc>
          <w:tcPr>
            <w:tcW w:w="3911" w:type="dxa"/>
            <w:gridSpan w:val="13"/>
            <w:tcBorders/>
            <w:vAlign w:val="bottom"/>
          </w:tcPr>
          <w:p>
            <w:pPr>
              <w:pStyle w:val="TableContents"/>
              <w:pBdr>
                <w:top w:val="single" w:sz="1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12" w:space="1" w:color="000000"/>
              </w:pBdr>
              <w:bidi w:val="0"/>
              <w:spacing w:before="0" w:after="0"/>
              <w:jc w:val="left"/>
              <w:rPr/>
            </w:pPr>
            <w:r>
              <w:rPr/>
              <w:t> </w:t>
            </w:r>
          </w:p>
        </w:tc>
        <w:tc>
          <w:tcPr>
            <w:tcW w:w="818" w:type="dxa"/>
            <w:tcBorders/>
            <w:vAlign w:val="bottom"/>
          </w:tcPr>
          <w:p>
            <w:pPr>
              <w:pStyle w:val="TableContents"/>
              <w:pBdr>
                <w:top w:val="single" w:sz="1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Calibri" w:hAnsi="Calibri"/>
                <w:b/>
                <w:sz w:val="14"/>
                <w:u w:val="single"/>
              </w:rPr>
            </w:pPr>
            <w:r>
              <w:rPr>
                <w:rFonts w:ascii="Calibri" w:hAnsi="Calibri"/>
                <w:b/>
                <w:sz w:val="14"/>
                <w:u w:val="single"/>
              </w:rPr>
              <w:t>Adjusted EBITDA margin</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8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2075" w:type="dxa"/>
            <w:tcBorders/>
          </w:tcPr>
          <w:p>
            <w:pPr>
              <w:pStyle w:val="TableContents"/>
              <w:bidi w:val="0"/>
              <w:spacing w:before="0" w:after="0"/>
              <w:jc w:val="left"/>
              <w:rPr>
                <w:rFonts w:ascii="Calibri" w:hAnsi="Calibri"/>
                <w:sz w:val="14"/>
              </w:rPr>
            </w:pPr>
            <w:r>
              <w:rPr>
                <w:rFonts w:ascii="Calibri" w:hAnsi="Calibri"/>
                <w:sz w:val="14"/>
              </w:rPr>
              <w:t>Legal Professionals</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48.7%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48.1%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49.0%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44.7%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47.6%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48.7%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48.1%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49.0%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p>
            <w:pPr>
              <w:pStyle w:val="TableContents"/>
              <w:bidi w:val="0"/>
              <w:spacing w:before="0" w:after="283"/>
              <w:jc w:val="right"/>
              <w:rPr/>
            </w:pPr>
            <w:r>
              <w:rPr/>
              <w:t>44.7%</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47.6%</w:t>
            </w:r>
          </w:p>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Calibri" w:hAnsi="Calibri"/>
                <w:sz w:val="14"/>
              </w:rPr>
            </w:pPr>
            <w:r>
              <w:rPr>
                <w:rFonts w:ascii="Calibri" w:hAnsi="Calibri"/>
                <w:sz w:val="14"/>
              </w:rPr>
              <w:t>Corporates</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39.3%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35.7%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36.3%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32.2%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35.9%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39.3%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35.7%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36.3%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p>
            <w:pPr>
              <w:pStyle w:val="TableContents"/>
              <w:bidi w:val="0"/>
              <w:spacing w:before="0" w:after="283"/>
              <w:jc w:val="right"/>
              <w:rPr/>
            </w:pPr>
            <w:r>
              <w:rPr/>
              <w:t>32.2%</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35.9%</w:t>
            </w:r>
          </w:p>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Calibri" w:hAnsi="Calibri"/>
                <w:sz w:val="14"/>
              </w:rPr>
            </w:pPr>
            <w:r>
              <w:rPr>
                <w:rFonts w:ascii="Calibri" w:hAnsi="Calibri"/>
                <w:sz w:val="14"/>
              </w:rPr>
              <w:t>Tax, Audit &amp; Accounting Professionals</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56.6%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38.9%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30.6%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53.4%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46.9%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56.6%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38.9%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30.6%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p>
            <w:pPr>
              <w:pStyle w:val="TableContents"/>
              <w:bidi w:val="0"/>
              <w:spacing w:before="0" w:after="283"/>
              <w:jc w:val="right"/>
              <w:rPr/>
            </w:pPr>
            <w:r>
              <w:rPr/>
              <w:t>53.4%</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46.9%</w:t>
            </w:r>
          </w:p>
          <w:p>
            <w:pPr>
              <w:pStyle w:val="TableContents"/>
              <w:bidi w:val="0"/>
              <w:spacing w:before="0" w:after="283"/>
              <w:jc w:val="left"/>
              <w:rPr/>
            </w:pPr>
            <w:r>
              <w:rPr/>
              <w:t> </w:t>
            </w:r>
          </w:p>
        </w:tc>
      </w:tr>
      <w:tr>
        <w:trPr/>
        <w:tc>
          <w:tcPr>
            <w:tcW w:w="2075" w:type="dxa"/>
            <w:tcBorders/>
          </w:tcPr>
          <w:p>
            <w:pPr>
              <w:pStyle w:val="TableContents"/>
              <w:bidi w:val="0"/>
              <w:spacing w:before="0" w:after="0"/>
              <w:jc w:val="left"/>
              <w:rPr/>
            </w:pPr>
            <w:r>
              <w:rPr/>
              <w:t>“</w:t>
            </w:r>
            <w:r>
              <w:rPr>
                <w:rFonts w:ascii="Calibri" w:hAnsi="Calibri"/>
                <w:sz w:val="14"/>
              </w:rPr>
              <w:t>Big 3” segments combined (1)</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47.3%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42.3%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41.7%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43.0%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43.6%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47.3%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42.3%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41.7%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p>
            <w:pPr>
              <w:pStyle w:val="TableContents"/>
              <w:bidi w:val="0"/>
              <w:spacing w:before="0" w:after="283"/>
              <w:jc w:val="right"/>
              <w:rPr/>
            </w:pPr>
            <w:r>
              <w:rPr/>
              <w:t>43.0%</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43.6%</w:t>
            </w:r>
          </w:p>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Calibri" w:hAnsi="Calibri"/>
                <w:sz w:val="14"/>
              </w:rPr>
            </w:pPr>
            <w:r>
              <w:rPr>
                <w:rFonts w:ascii="Calibri" w:hAnsi="Calibri"/>
                <w:sz w:val="14"/>
              </w:rPr>
              <w:t>Reuters</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20.0%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20.8%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19.9%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21.0%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20.4%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20.0%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20.8%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19.9%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p>
            <w:pPr>
              <w:pStyle w:val="TableContents"/>
              <w:bidi w:val="0"/>
              <w:spacing w:before="0" w:after="283"/>
              <w:jc w:val="right"/>
              <w:rPr/>
            </w:pPr>
            <w:r>
              <w:rPr/>
              <w:t>21.0%</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20.4%</w:t>
            </w:r>
          </w:p>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Calibri" w:hAnsi="Calibri"/>
                <w:sz w:val="14"/>
              </w:rPr>
            </w:pPr>
            <w:r>
              <w:rPr>
                <w:rFonts w:ascii="Calibri" w:hAnsi="Calibri"/>
                <w:sz w:val="14"/>
              </w:rPr>
              <w:t>Global Print</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37.8%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36.0%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37.1%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39.6%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37.7%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Calibri" w:hAnsi="Calibri"/>
                <w:b/>
                <w:sz w:val="14"/>
              </w:rPr>
            </w:pPr>
            <w:r>
              <w:rPr>
                <w:rFonts w:ascii="Calibri" w:hAnsi="Calibri"/>
                <w:b/>
                <w:sz w:val="14"/>
              </w:rPr>
              <w:t>Total adjusted EBITDA margin (1)</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b/>
              </w:rPr>
            </w:pPr>
            <w:r>
              <w:rPr>
                <w:b/>
              </w:rPr>
              <w:t>42.3%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b/>
              </w:rPr>
            </w:pPr>
            <w:r>
              <w:rPr>
                <w:b/>
              </w:rPr>
              <w:t>37.8%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b/>
              </w:rPr>
            </w:pPr>
            <w:r>
              <w:rPr>
                <w:b/>
              </w:rPr>
              <w:t>37.7%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b/>
              </w:rPr>
            </w:pPr>
            <w:r>
              <w:rPr>
                <w:b/>
              </w:rPr>
              <w:t>38.7%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b/>
              </w:rPr>
            </w:pPr>
            <w:r>
              <w:rPr>
                <w:b/>
              </w:rPr>
              <w:t>39.2%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b/>
              </w:rPr>
            </w:pPr>
            <w:r>
              <w:rPr>
                <w:b/>
              </w:rPr>
              <w:t>(150) bp</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b/>
              </w:rPr>
            </w:pPr>
            <w:r>
              <w:rPr>
                <w:b/>
              </w:rPr>
              <w:t>(180) bp</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b/>
              </w:rPr>
            </w:pPr>
            <w:r>
              <w:rPr>
                <w:b/>
              </w:rPr>
              <w:t>(190) bp</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b/>
              </w:rPr>
            </w:pPr>
            <w:r>
              <w:rPr>
                <w:b/>
              </w:rPr>
              <w:t>(200) bp</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b/>
              </w:rPr>
            </w:pPr>
            <w:r>
              <w:rPr>
                <w:b/>
              </w:rPr>
              <w:t>(180) bp</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b/>
              </w:rPr>
            </w:pPr>
            <w:r>
              <w:rPr>
                <w:b/>
              </w:rPr>
              <w:t>40.8%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b/>
              </w:rPr>
            </w:pPr>
            <w:r>
              <w:rPr>
                <w:b/>
              </w:rPr>
              <w:t>36.0%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b/>
              </w:rPr>
            </w:pPr>
            <w:r>
              <w:rPr>
                <w:b/>
              </w:rPr>
              <w:t>35.8%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p>
            <w:pPr>
              <w:pStyle w:val="TableContents"/>
              <w:bidi w:val="0"/>
              <w:spacing w:before="0" w:after="283"/>
              <w:jc w:val="right"/>
              <w:rPr>
                <w:b/>
              </w:rPr>
            </w:pPr>
            <w:r>
              <w:rPr>
                <w:b/>
              </w:rPr>
              <w:t>36.7%</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b/>
              </w:rPr>
            </w:pPr>
            <w:r>
              <w:rPr>
                <w:b/>
              </w:rPr>
              <w:t>37.4%</w:t>
            </w:r>
          </w:p>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Calibri" w:hAnsi="Calibri"/>
                <w:b/>
                <w:sz w:val="14"/>
                <w:u w:val="single"/>
              </w:rPr>
            </w:pPr>
            <w:r>
              <w:rPr>
                <w:rFonts w:ascii="Calibri" w:hAnsi="Calibri"/>
                <w:b/>
                <w:sz w:val="14"/>
                <w:u w:val="single"/>
              </w:rPr>
              <w:t>Adjusted earnings</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8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2075" w:type="dxa"/>
            <w:tcBorders/>
          </w:tcPr>
          <w:p>
            <w:pPr>
              <w:pStyle w:val="TableContents"/>
              <w:bidi w:val="0"/>
              <w:spacing w:before="0" w:after="0"/>
              <w:jc w:val="left"/>
              <w:rPr>
                <w:rFonts w:ascii="Calibri" w:hAnsi="Calibri"/>
                <w:sz w:val="14"/>
              </w:rPr>
            </w:pPr>
            <w:r>
              <w:rPr>
                <w:rFonts w:ascii="Calibri" w:hAnsi="Calibri"/>
                <w:sz w:val="14"/>
              </w:rPr>
              <w:t>Adjusted EBITDA</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$809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$678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$672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$777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$2,936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($77)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($73)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($79)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($90)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($319)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$732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$605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$593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p>
            <w:pPr>
              <w:pStyle w:val="TableContents"/>
              <w:bidi w:val="0"/>
              <w:spacing w:before="0" w:after="283"/>
              <w:jc w:val="right"/>
              <w:rPr/>
            </w:pPr>
            <w:r>
              <w:rPr/>
              <w:t>$687</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$2,617</w:t>
            </w:r>
          </w:p>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Calibri" w:hAnsi="Calibri"/>
                <w:sz w:val="14"/>
                <w:u w:val="single"/>
              </w:rPr>
            </w:pPr>
            <w:r>
              <w:rPr>
                <w:rFonts w:ascii="Calibri" w:hAnsi="Calibri"/>
                <w:sz w:val="14"/>
                <w:u w:val="single"/>
              </w:rPr>
              <w:t>Adjustments:</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8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2075" w:type="dxa"/>
            <w:tcBorders/>
          </w:tcPr>
          <w:p>
            <w:pPr>
              <w:pStyle w:val="TableContents"/>
              <w:bidi w:val="0"/>
              <w:spacing w:before="0" w:after="0"/>
              <w:jc w:val="left"/>
              <w:rPr>
                <w:rFonts w:ascii="Calibri" w:hAnsi="Calibri"/>
                <w:sz w:val="14"/>
              </w:rPr>
            </w:pPr>
            <w:r>
              <w:rPr>
                <w:rFonts w:ascii="Calibri" w:hAnsi="Calibri"/>
                <w:sz w:val="14"/>
              </w:rPr>
              <w:t>Depreciation and Software Amortization (2)</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(152)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(154)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(158)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(162)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(626)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(150)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(152)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(155)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p>
            <w:pPr>
              <w:pStyle w:val="TableContents"/>
              <w:bidi w:val="0"/>
              <w:spacing w:before="0" w:after="283"/>
              <w:jc w:val="right"/>
              <w:rPr/>
            </w:pPr>
            <w:r>
              <w:rPr/>
              <w:t>(160)</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(617)</w:t>
            </w:r>
          </w:p>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Calibri" w:hAnsi="Calibri"/>
                <w:sz w:val="14"/>
              </w:rPr>
            </w:pPr>
            <w:r>
              <w:rPr>
                <w:rFonts w:ascii="Calibri" w:hAnsi="Calibri"/>
                <w:sz w:val="14"/>
              </w:rPr>
              <w:t>Net Interest expense</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(30)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(35)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(40)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(143)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(30)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(35)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p>
            <w:pPr>
              <w:pStyle w:val="TableContents"/>
              <w:bidi w:val="0"/>
              <w:spacing w:before="0" w:after="283"/>
              <w:jc w:val="right"/>
              <w:rPr/>
            </w:pPr>
            <w:r>
              <w:rPr/>
              <w:t>(40)</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(143)</w:t>
            </w:r>
          </w:p>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Calibri" w:hAnsi="Calibri"/>
                <w:sz w:val="14"/>
              </w:rPr>
            </w:pPr>
            <w:r>
              <w:rPr>
                <w:rFonts w:ascii="Calibri" w:hAnsi="Calibri"/>
                <w:sz w:val="14"/>
              </w:rPr>
              <w:t>Income tax</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(120)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(94)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(92)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(95)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(401)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12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11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12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16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51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(108)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(83)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(80)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p>
            <w:pPr>
              <w:pStyle w:val="TableContents"/>
              <w:bidi w:val="0"/>
              <w:spacing w:before="0" w:after="283"/>
              <w:jc w:val="right"/>
              <w:rPr/>
            </w:pPr>
            <w:r>
              <w:rPr/>
              <w:t>(79)</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(350)</w:t>
            </w:r>
          </w:p>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Calibri" w:hAnsi="Calibri"/>
                <w:sz w:val="14"/>
              </w:rPr>
            </w:pPr>
            <w:r>
              <w:rPr>
                <w:rFonts w:ascii="Calibri" w:hAnsi="Calibri"/>
                <w:sz w:val="14"/>
              </w:rPr>
              <w:t>Dividends declared on preference shares</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p>
            <w:pPr>
              <w:pStyle w:val="TableContents"/>
              <w:bidi w:val="0"/>
              <w:spacing w:before="0" w:after="283"/>
              <w:jc w:val="right"/>
              <w:rPr/>
            </w:pPr>
            <w:r>
              <w:rPr/>
              <w:t>(1)</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(4)</w:t>
            </w:r>
          </w:p>
          <w:p>
            <w:pPr>
              <w:pStyle w:val="TableContents"/>
              <w:bidi w:val="0"/>
              <w:spacing w:before="0" w:after="283"/>
              <w:jc w:val="left"/>
              <w:rPr/>
            </w:pPr>
            <w:r>
              <w:rPr/>
              <w:t> </w:t>
            </w:r>
          </w:p>
        </w:tc>
      </w:tr>
      <w:tr>
        <w:trPr/>
        <w:tc>
          <w:tcPr>
            <w:tcW w:w="207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3911" w:type="dxa"/>
            <w:gridSpan w:val="13"/>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160" w:type="dxa"/>
            <w:gridSpan w:val="13"/>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3911" w:type="dxa"/>
            <w:gridSpan w:val="13"/>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Calibri" w:hAnsi="Calibri"/>
                <w:b/>
                <w:sz w:val="14"/>
              </w:rPr>
            </w:pPr>
            <w:r>
              <w:rPr>
                <w:rFonts w:ascii="Calibri" w:hAnsi="Calibri"/>
                <w:b/>
                <w:sz w:val="14"/>
              </w:rPr>
              <w:t>Adjusted earnings (1)</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b/>
              </w:rPr>
            </w:pPr>
            <w:r>
              <w:rPr>
                <w:b/>
              </w:rPr>
              <w:t>$506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b/>
              </w:rPr>
            </w:pPr>
            <w:r>
              <w:rPr>
                <w:b/>
              </w:rPr>
              <w:t>$394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b/>
              </w:rPr>
            </w:pPr>
            <w:r>
              <w:rPr>
                <w:b/>
              </w:rPr>
              <w:t>$383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b/>
              </w:rPr>
            </w:pPr>
            <w:r>
              <w:rPr>
                <w:b/>
              </w:rPr>
              <w:t>$479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b/>
              </w:rPr>
            </w:pPr>
            <w:r>
              <w:rPr>
                <w:b/>
              </w:rPr>
              <w:t>$1,762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b/>
              </w:rPr>
            </w:pPr>
            <w:r>
              <w:rPr>
                <w:b/>
              </w:rPr>
              <w:t>($63)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b/>
              </w:rPr>
            </w:pPr>
            <w:r>
              <w:rPr>
                <w:b/>
              </w:rPr>
              <w:t>($60)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b/>
              </w:rPr>
            </w:pPr>
            <w:r>
              <w:rPr>
                <w:b/>
              </w:rPr>
              <w:t>($64)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b/>
              </w:rPr>
            </w:pPr>
            <w:r>
              <w:rPr>
                <w:b/>
              </w:rPr>
              <w:t>($72)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b/>
              </w:rPr>
            </w:pPr>
            <w:r>
              <w:rPr>
                <w:b/>
              </w:rPr>
              <w:t>($259)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b/>
              </w:rPr>
            </w:pPr>
            <w:r>
              <w:rPr>
                <w:b/>
              </w:rPr>
              <w:t>$443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b/>
              </w:rPr>
            </w:pPr>
            <w:r>
              <w:rPr>
                <w:b/>
              </w:rPr>
              <w:t>$334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b/>
              </w:rPr>
            </w:pPr>
            <w:r>
              <w:rPr>
                <w:b/>
              </w:rPr>
              <w:t>$319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p>
            <w:pPr>
              <w:pStyle w:val="TableContents"/>
              <w:bidi w:val="0"/>
              <w:spacing w:before="0" w:after="283"/>
              <w:jc w:val="right"/>
              <w:rPr>
                <w:b/>
              </w:rPr>
            </w:pPr>
            <w:r>
              <w:rPr>
                <w:b/>
              </w:rPr>
              <w:t>$407</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b/>
              </w:rPr>
            </w:pPr>
            <w:r>
              <w:rPr>
                <w:b/>
              </w:rPr>
              <w:t>$1,503</w:t>
            </w:r>
          </w:p>
          <w:p>
            <w:pPr>
              <w:pStyle w:val="TableContents"/>
              <w:bidi w:val="0"/>
              <w:spacing w:before="0" w:after="283"/>
              <w:jc w:val="left"/>
              <w:rPr/>
            </w:pPr>
            <w:r>
              <w:rPr/>
              <w:t> </w:t>
            </w:r>
          </w:p>
        </w:tc>
      </w:tr>
      <w:tr>
        <w:trPr/>
        <w:tc>
          <w:tcPr>
            <w:tcW w:w="207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12" w:space="1" w:color="000000"/>
              </w:pBdr>
              <w:bidi w:val="0"/>
              <w:spacing w:before="0" w:after="0"/>
              <w:jc w:val="left"/>
              <w:rPr/>
            </w:pPr>
            <w:r>
              <w:rPr/>
              <w:t> </w:t>
            </w:r>
          </w:p>
        </w:tc>
        <w:tc>
          <w:tcPr>
            <w:tcW w:w="3911" w:type="dxa"/>
            <w:gridSpan w:val="13"/>
            <w:tcBorders/>
            <w:vAlign w:val="bottom"/>
          </w:tcPr>
          <w:p>
            <w:pPr>
              <w:pStyle w:val="TableContents"/>
              <w:pBdr>
                <w:top w:val="single" w:sz="1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12" w:space="1" w:color="000000"/>
              </w:pBdr>
              <w:bidi w:val="0"/>
              <w:spacing w:before="0" w:after="0"/>
              <w:jc w:val="left"/>
              <w:rPr/>
            </w:pPr>
            <w:r>
              <w:rPr/>
              <w:t> </w:t>
            </w:r>
          </w:p>
        </w:tc>
        <w:tc>
          <w:tcPr>
            <w:tcW w:w="818" w:type="dxa"/>
            <w:tcBorders/>
            <w:vAlign w:val="bottom"/>
          </w:tcPr>
          <w:p>
            <w:pPr>
              <w:pStyle w:val="TableContents"/>
              <w:pBdr>
                <w:top w:val="single" w:sz="1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12" w:space="1" w:color="000000"/>
              </w:pBdr>
              <w:bidi w:val="0"/>
              <w:spacing w:before="0" w:after="0"/>
              <w:jc w:val="left"/>
              <w:rPr/>
            </w:pPr>
            <w:r>
              <w:rPr/>
              <w:t> </w:t>
            </w:r>
          </w:p>
        </w:tc>
        <w:tc>
          <w:tcPr>
            <w:tcW w:w="4160" w:type="dxa"/>
            <w:gridSpan w:val="13"/>
            <w:tcBorders/>
            <w:vAlign w:val="bottom"/>
          </w:tcPr>
          <w:p>
            <w:pPr>
              <w:pStyle w:val="TableContents"/>
              <w:pBdr>
                <w:top w:val="single" w:sz="1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12" w:space="1" w:color="000000"/>
              </w:pBdr>
              <w:bidi w:val="0"/>
              <w:spacing w:before="0" w:after="0"/>
              <w:jc w:val="left"/>
              <w:rPr/>
            </w:pPr>
            <w:r>
              <w:rPr/>
              <w:t> </w:t>
            </w:r>
          </w:p>
        </w:tc>
        <w:tc>
          <w:tcPr>
            <w:tcW w:w="860" w:type="dxa"/>
            <w:tcBorders/>
            <w:vAlign w:val="bottom"/>
          </w:tcPr>
          <w:p>
            <w:pPr>
              <w:pStyle w:val="TableContents"/>
              <w:pBdr>
                <w:top w:val="single" w:sz="1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12" w:space="1" w:color="000000"/>
              </w:pBdr>
              <w:bidi w:val="0"/>
              <w:spacing w:before="0" w:after="0"/>
              <w:jc w:val="left"/>
              <w:rPr/>
            </w:pPr>
            <w:r>
              <w:rPr/>
              <w:t> </w:t>
            </w:r>
          </w:p>
        </w:tc>
        <w:tc>
          <w:tcPr>
            <w:tcW w:w="3911" w:type="dxa"/>
            <w:gridSpan w:val="13"/>
            <w:tcBorders/>
            <w:vAlign w:val="bottom"/>
          </w:tcPr>
          <w:p>
            <w:pPr>
              <w:pStyle w:val="TableContents"/>
              <w:pBdr>
                <w:top w:val="single" w:sz="1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12" w:space="1" w:color="000000"/>
              </w:pBdr>
              <w:bidi w:val="0"/>
              <w:spacing w:before="0" w:after="0"/>
              <w:jc w:val="left"/>
              <w:rPr/>
            </w:pPr>
            <w:r>
              <w:rPr/>
              <w:t> </w:t>
            </w:r>
          </w:p>
        </w:tc>
        <w:tc>
          <w:tcPr>
            <w:tcW w:w="818" w:type="dxa"/>
            <w:tcBorders/>
            <w:vAlign w:val="bottom"/>
          </w:tcPr>
          <w:p>
            <w:pPr>
              <w:pStyle w:val="TableContents"/>
              <w:pBdr>
                <w:top w:val="single" w:sz="1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Calibri" w:hAnsi="Calibri"/>
                <w:b/>
                <w:sz w:val="14"/>
              </w:rPr>
            </w:pPr>
            <w:r>
              <w:rPr>
                <w:rFonts w:ascii="Calibri" w:hAnsi="Calibri"/>
                <w:b/>
                <w:sz w:val="14"/>
              </w:rPr>
              <w:t>Adjusted earnings per share (1)</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b/>
              </w:rPr>
            </w:pPr>
            <w:r>
              <w:rPr>
                <w:b/>
              </w:rPr>
              <w:t>$1.12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b/>
              </w:rPr>
            </w:pPr>
            <w:r>
              <w:rPr>
                <w:b/>
              </w:rPr>
              <w:t>$0.87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b/>
              </w:rPr>
            </w:pPr>
            <w:r>
              <w:rPr>
                <w:b/>
              </w:rPr>
              <w:t>$0.85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b/>
              </w:rPr>
            </w:pPr>
            <w:r>
              <w:rPr>
                <w:b/>
              </w:rPr>
              <w:t>$1.07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b/>
              </w:rPr>
            </w:pPr>
            <w:r>
              <w:rPr>
                <w:b/>
              </w:rPr>
              <w:t>$3.92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b/>
              </w:rPr>
            </w:pPr>
            <w:r>
              <w:rPr>
                <w:b/>
              </w:rPr>
              <w:t>($0.14)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b/>
              </w:rPr>
            </w:pPr>
            <w:r>
              <w:rPr>
                <w:b/>
              </w:rPr>
              <w:t>($0.13)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b/>
              </w:rPr>
            </w:pPr>
            <w:r>
              <w:rPr>
                <w:b/>
              </w:rPr>
              <w:t>($0.14)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b/>
              </w:rPr>
            </w:pPr>
            <w:r>
              <w:rPr>
                <w:b/>
              </w:rPr>
              <w:t>($0.16)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b/>
              </w:rPr>
            </w:pPr>
            <w:r>
              <w:rPr>
                <w:b/>
              </w:rPr>
              <w:t>($0.58)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b/>
              </w:rPr>
            </w:pPr>
            <w:r>
              <w:rPr>
                <w:b/>
              </w:rPr>
              <w:t>$0.98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b/>
              </w:rPr>
            </w:pPr>
            <w:r>
              <w:rPr>
                <w:b/>
              </w:rPr>
              <w:t>$0.74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b/>
              </w:rPr>
            </w:pPr>
            <w:r>
              <w:rPr>
                <w:b/>
              </w:rPr>
              <w:t>$0.71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p>
            <w:pPr>
              <w:pStyle w:val="TableContents"/>
              <w:bidi w:val="0"/>
              <w:spacing w:before="0" w:after="283"/>
              <w:jc w:val="right"/>
              <w:rPr>
                <w:b/>
              </w:rPr>
            </w:pPr>
            <w:r>
              <w:rPr>
                <w:b/>
              </w:rPr>
              <w:t>$0.91</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b/>
              </w:rPr>
            </w:pPr>
            <w:r>
              <w:rPr>
                <w:b/>
              </w:rPr>
              <w:t>$3.34</w:t>
            </w:r>
          </w:p>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Calibri" w:hAnsi="Calibri"/>
                <w:sz w:val="14"/>
              </w:rPr>
            </w:pPr>
            <w:r>
              <w:rPr>
                <w:rFonts w:ascii="Calibri" w:hAnsi="Calibri"/>
                <w:sz w:val="14"/>
              </w:rPr>
              <w:t>Weighted average shares (in millions)</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450.8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451.2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450.3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445.6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449.5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450.8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451.2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450.3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p>
            <w:pPr>
              <w:pStyle w:val="TableContents"/>
              <w:bidi w:val="0"/>
              <w:spacing w:before="0" w:after="283"/>
              <w:jc w:val="right"/>
              <w:rPr/>
            </w:pPr>
            <w:r>
              <w:rPr/>
              <w:t>445.6</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449.5</w:t>
            </w:r>
          </w:p>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40" w:type="dxa"/>
            </w:tcMar>
          </w:tcPr>
          <w:p>
            <w:pPr>
              <w:pStyle w:val="TableContents"/>
              <w:bidi w:val="0"/>
              <w:spacing w:before="0" w:after="0"/>
              <w:jc w:val="left"/>
              <w:rPr>
                <w:rFonts w:ascii="Calibri" w:hAnsi="Calibri"/>
                <w:sz w:val="14"/>
              </w:rPr>
            </w:pPr>
            <w:r>
              <w:rPr>
                <w:rFonts w:ascii="Calibri" w:hAnsi="Calibri"/>
                <w:sz w:val="14"/>
              </w:rPr>
              <w:t>The Company reports its results in millions of U.S. dollars, but computes margins using whole-dollars to be more precise. As a result, adjusted EBITDA margins calculated from reported amounts may differ from those presented.</w:t>
            </w:r>
          </w:p>
          <w:p>
            <w:pPr>
              <w:pStyle w:val="TableContents"/>
              <w:bidi w:val="0"/>
              <w:spacing w:before="0" w:after="0"/>
              <w:jc w:val="left"/>
              <w:rPr>
                <w:rFonts w:ascii="Calibri" w:hAnsi="Calibri"/>
                <w:sz w:val="14"/>
              </w:rPr>
            </w:pPr>
            <w:r>
              <w:rPr>
                <w:rFonts w:ascii="Calibri" w:hAnsi="Calibri"/>
                <w:sz w:val="14"/>
              </w:rPr>
              <w:t>(1) Non-IFRS measures. Refer to the reconciliations of adjusted EBITDA and adjusted earnings to most comparable IFRS measure and the reconciliation of adjusted EBITDA margin, both of which are included within this post. The “Big 3” segments are the combined Legal Professionals, Corporates and Tax, Audit &amp; Accounting Professionals segments. Information for the “Big 3” segments is useful to management and investors as these businesses comprise approximately 90% of total company revenues as revised and represent the core of the company’s business information services product offerings. All “Big 3” financial measures are non-IFRS.</w:t>
            </w:r>
          </w:p>
          <w:p>
            <w:pPr>
              <w:pStyle w:val="TableContents"/>
              <w:bidi w:val="0"/>
              <w:spacing w:before="0" w:after="0"/>
              <w:jc w:val="left"/>
              <w:rPr>
                <w:rFonts w:ascii="Calibri" w:hAnsi="Calibri"/>
                <w:sz w:val="14"/>
              </w:rPr>
            </w:pPr>
            <w:r>
              <w:rPr>
                <w:rFonts w:ascii="Calibri" w:hAnsi="Calibri"/>
                <w:sz w:val="14"/>
              </w:rPr>
              <w:t>(2) Represents depreciation and amortization of internally developed software.</w:t>
            </w:r>
          </w:p>
          <w:p>
            <w:pPr>
              <w:pStyle w:val="TableContents"/>
              <w:bidi w:val="0"/>
              <w:spacing w:before="0" w:after="20"/>
              <w:jc w:val="left"/>
              <w:rPr>
                <w:rFonts w:ascii="Calibri" w:hAnsi="Calibri"/>
                <w:sz w:val="14"/>
              </w:rPr>
            </w:pPr>
            <w:r>
              <w:rPr>
                <w:rFonts w:ascii="Calibri" w:hAnsi="Calibri"/>
                <w:sz w:val="14"/>
              </w:rPr>
              <w:t>(3) Reflects February 5, 2026 revisions between Legal Professionals, Corporates and Tax, Audit &amp; Accounting Professionals to transfer certain customers reflecting how the segments are managed prospectively.</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8298"/>
        <w:gridCol w:w="145"/>
        <w:gridCol w:w="1762"/>
      </w:tblGrid>
      <w:tr>
        <w:trPr/>
        <w:tc>
          <w:tcPr>
            <w:tcW w:w="8298"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r>
      <w:tr>
        <w:trPr/>
        <w:tc>
          <w:tcPr>
            <w:tcW w:w="8298" w:type="dxa"/>
            <w:tcBorders/>
          </w:tcPr>
          <w:p>
            <w:pPr>
              <w:pStyle w:val="TableContents"/>
              <w:bidi w:val="0"/>
              <w:spacing w:before="0" w:after="283"/>
              <w:jc w:val="left"/>
              <w:rPr>
                <w:b/>
                <w:sz w:val="15"/>
              </w:rPr>
            </w:pPr>
            <w:r>
              <w:rPr>
                <w:b/>
                <w:sz w:val="15"/>
              </w:rPr>
              <w:t>THOMSON REUTERS CORPORATION</w:t>
            </w:r>
          </w:p>
        </w:tc>
        <w:tc>
          <w:tcPr>
            <w:tcW w:w="145" w:type="dxa"/>
            <w:tcBorders/>
            <w:vAlign w:val="bottom"/>
          </w:tcPr>
          <w:p>
            <w:pPr>
              <w:pStyle w:val="TableContents"/>
              <w:bidi w:val="0"/>
              <w:spacing w:before="0" w:after="283"/>
              <w:jc w:val="left"/>
              <w:rPr/>
            </w:pPr>
            <w:r>
              <w:rPr/>
              <w:t>  </w:t>
            </w:r>
          </w:p>
        </w:tc>
        <w:tc>
          <w:tcPr>
            <w:tcW w:w="1762" w:type="dxa"/>
            <w:tcBorders/>
          </w:tcPr>
          <w:p>
            <w:pPr>
              <w:pStyle w:val="TableContents"/>
              <w:bidi w:val="0"/>
              <w:spacing w:before="0" w:after="283"/>
              <w:jc w:val="left"/>
              <w:rPr>
                <w:sz w:val="4"/>
                <w:szCs w:val="4"/>
              </w:rPr>
            </w:pPr>
            <w:r>
              <w:rPr>
                <w:sz w:val="4"/>
                <w:szCs w:val="4"/>
              </w:rPr>
            </w:r>
          </w:p>
        </w:tc>
      </w:tr>
      <w:tr>
        <w:trPr/>
        <w:tc>
          <w:tcPr>
            <w:tcW w:w="8298" w:type="dxa"/>
            <w:tcBorders/>
          </w:tcPr>
          <w:p>
            <w:pPr>
              <w:pStyle w:val="TableContents"/>
              <w:bidi w:val="0"/>
              <w:spacing w:before="0" w:after="283"/>
              <w:jc w:val="left"/>
              <w:rPr>
                <w:b/>
              </w:rPr>
            </w:pPr>
            <w:r>
              <w:rPr>
                <w:b/>
              </w:rPr>
              <w:t>SUPPLEMENTAL FINANCIAL INFORMATION- RECONCILIATION OF EARNINGS FROM CONTINUING OPERATIONS TO ADJUSTED EBITDA (1)</w:t>
            </w:r>
          </w:p>
        </w:tc>
        <w:tc>
          <w:tcPr>
            <w:tcW w:w="145" w:type="dxa"/>
            <w:tcBorders/>
            <w:vAlign w:val="bottom"/>
          </w:tcPr>
          <w:p>
            <w:pPr>
              <w:pStyle w:val="TableContents"/>
              <w:bidi w:val="0"/>
              <w:spacing w:before="0" w:after="283"/>
              <w:jc w:val="left"/>
              <w:rPr/>
            </w:pPr>
            <w:r>
              <w:rPr/>
              <w:t>  </w:t>
            </w:r>
          </w:p>
        </w:tc>
        <w:tc>
          <w:tcPr>
            <w:tcW w:w="1762" w:type="dxa"/>
            <w:tcBorders/>
          </w:tcPr>
          <w:p>
            <w:pPr>
              <w:pStyle w:val="TableContents"/>
              <w:bidi w:val="0"/>
              <w:spacing w:before="0" w:after="283"/>
              <w:jc w:val="center"/>
              <w:rPr>
                <w:b/>
              </w:rPr>
            </w:pPr>
            <w:r>
              <w:rPr>
                <w:b/>
              </w:rPr>
              <w:t>October 19, 2026</w:t>
            </w:r>
          </w:p>
        </w:tc>
      </w:tr>
      <w:tr>
        <w:trPr/>
        <w:tc>
          <w:tcPr>
            <w:tcW w:w="8298" w:type="dxa"/>
            <w:tcBorders/>
          </w:tcPr>
          <w:p>
            <w:pPr>
              <w:pStyle w:val="TableContents"/>
              <w:bidi w:val="0"/>
              <w:spacing w:before="0" w:after="283"/>
              <w:jc w:val="left"/>
              <w:rPr>
                <w:b/>
              </w:rPr>
            </w:pPr>
            <w:r>
              <w:rPr>
                <w:b/>
              </w:rPr>
              <w:t>(Unaudited)</w:t>
            </w:r>
          </w:p>
        </w:tc>
        <w:tc>
          <w:tcPr>
            <w:tcW w:w="145" w:type="dxa"/>
            <w:tcBorders/>
            <w:vAlign w:val="bottom"/>
          </w:tcPr>
          <w:p>
            <w:pPr>
              <w:pStyle w:val="TableContents"/>
              <w:bidi w:val="0"/>
              <w:spacing w:before="0" w:after="283"/>
              <w:jc w:val="left"/>
              <w:rPr/>
            </w:pPr>
            <w:r>
              <w:rPr/>
              <w:t>  </w:t>
            </w:r>
          </w:p>
        </w:tc>
        <w:tc>
          <w:tcPr>
            <w:tcW w:w="1762" w:type="dxa"/>
            <w:tcBorders/>
          </w:tcPr>
          <w:p>
            <w:pPr>
              <w:pStyle w:val="TableContents"/>
              <w:bidi w:val="0"/>
              <w:spacing w:before="0" w:after="283"/>
              <w:jc w:val="center"/>
              <w:rPr>
                <w:b/>
              </w:rPr>
            </w:pPr>
            <w:r>
              <w:rPr>
                <w:b/>
              </w:rPr>
              <w:t>Page 5</w:t>
            </w:r>
          </w:p>
        </w:tc>
      </w:tr>
      <w:tr>
        <w:trPr/>
        <w:tc>
          <w:tcPr>
            <w:tcW w:w="8298" w:type="dxa"/>
            <w:tcBorders/>
          </w:tcPr>
          <w:p>
            <w:pPr>
              <w:pStyle w:val="TableContents"/>
              <w:bidi w:val="0"/>
              <w:spacing w:before="0" w:after="283"/>
              <w:jc w:val="left"/>
              <w:rPr>
                <w:sz w:val="11"/>
              </w:rPr>
            </w:pPr>
            <w:r>
              <w:rPr>
                <w:sz w:val="11"/>
              </w:rPr>
              <w:t>(millions of U.S. dollars)</w:t>
            </w:r>
          </w:p>
        </w:tc>
        <w:tc>
          <w:tcPr>
            <w:tcW w:w="145" w:type="dxa"/>
            <w:tcBorders/>
            <w:vAlign w:val="bottom"/>
          </w:tcPr>
          <w:p>
            <w:pPr>
              <w:pStyle w:val="TableContents"/>
              <w:bidi w:val="0"/>
              <w:spacing w:before="0" w:after="283"/>
              <w:jc w:val="left"/>
              <w:rPr/>
            </w:pPr>
            <w:r>
              <w:rPr/>
              <w:t>  </w:t>
            </w:r>
          </w:p>
        </w:tc>
        <w:tc>
          <w:tcPr>
            <w:tcW w:w="1762"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8150" w:type="dxa"/>
        <w:jc w:val="center"/>
        <w:tblInd w:w="0" w:type="dxa"/>
        <w:tblLayout w:type="fixed"/>
        <w:tblCellMar>
          <w:top w:w="0" w:type="dxa"/>
          <w:left w:w="0" w:type="dxa"/>
          <w:bottom w:w="0" w:type="dxa"/>
          <w:right w:w="0" w:type="dxa"/>
        </w:tblCellMar>
      </w:tblPr>
      <w:tblGrid>
        <w:gridCol w:w="785"/>
        <w:gridCol w:w="60"/>
        <w:gridCol w:w="105"/>
        <w:gridCol w:w="1205"/>
        <w:gridCol w:w="95"/>
        <w:gridCol w:w="95"/>
        <w:gridCol w:w="110"/>
        <w:gridCol w:w="1200"/>
        <w:gridCol w:w="95"/>
        <w:gridCol w:w="95"/>
        <w:gridCol w:w="95"/>
        <w:gridCol w:w="1083"/>
        <w:gridCol w:w="60"/>
        <w:gridCol w:w="60"/>
        <w:gridCol w:w="140"/>
        <w:gridCol w:w="1170"/>
        <w:gridCol w:w="60"/>
        <w:gridCol w:w="60"/>
        <w:gridCol w:w="133"/>
        <w:gridCol w:w="1177"/>
        <w:gridCol w:w="60"/>
        <w:gridCol w:w="60"/>
        <w:gridCol w:w="122"/>
        <w:gridCol w:w="1023"/>
        <w:gridCol w:w="60"/>
        <w:gridCol w:w="60"/>
        <w:gridCol w:w="132"/>
        <w:gridCol w:w="1178"/>
        <w:gridCol w:w="127"/>
        <w:gridCol w:w="127"/>
        <w:gridCol w:w="132"/>
        <w:gridCol w:w="1178"/>
        <w:gridCol w:w="127"/>
        <w:gridCol w:w="127"/>
        <w:gridCol w:w="127"/>
        <w:gridCol w:w="1128"/>
        <w:gridCol w:w="60"/>
        <w:gridCol w:w="60"/>
        <w:gridCol w:w="105"/>
        <w:gridCol w:w="1205"/>
        <w:gridCol w:w="103"/>
        <w:gridCol w:w="103"/>
        <w:gridCol w:w="109"/>
        <w:gridCol w:w="1201"/>
        <w:gridCol w:w="103"/>
        <w:gridCol w:w="103"/>
        <w:gridCol w:w="103"/>
        <w:gridCol w:w="1184"/>
        <w:gridCol w:w="60"/>
      </w:tblGrid>
      <w:tr>
        <w:trPr/>
        <w:tc>
          <w:tcPr>
            <w:tcW w:w="7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7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78" w:type="dxa"/>
            <w:gridSpan w:val="10"/>
            <w:tcBorders/>
            <w:vAlign w:val="bottom"/>
          </w:tcPr>
          <w:p>
            <w:pPr>
              <w:pStyle w:val="TableContents"/>
              <w:bidi w:val="0"/>
              <w:spacing w:before="0" w:after="283"/>
              <w:jc w:val="center"/>
              <w:rPr>
                <w:b/>
                <w:u w:val="single"/>
              </w:rPr>
            </w:pPr>
            <w:r>
              <w:rPr>
                <w:b/>
                <w:u w:val="single"/>
              </w:rPr>
              <w:t>Three Months Ended March 31, 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5" w:type="dxa"/>
            <w:gridSpan w:val="10"/>
            <w:tcBorders/>
            <w:vAlign w:val="bottom"/>
          </w:tcPr>
          <w:p>
            <w:pPr>
              <w:pStyle w:val="TableContents"/>
              <w:bidi w:val="0"/>
              <w:spacing w:before="0" w:after="283"/>
              <w:jc w:val="center"/>
              <w:rPr>
                <w:b/>
                <w:u w:val="single"/>
              </w:rPr>
            </w:pPr>
            <w:r>
              <w:rPr>
                <w:b/>
                <w:u w:val="single"/>
              </w:rPr>
              <w:t>Three Months Ended June 30, 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83" w:type="dxa"/>
            <w:gridSpan w:val="10"/>
            <w:tcBorders/>
            <w:vAlign w:val="bottom"/>
          </w:tcPr>
          <w:p>
            <w:pPr>
              <w:pStyle w:val="TableContents"/>
              <w:bidi w:val="0"/>
              <w:spacing w:before="0" w:after="283"/>
              <w:jc w:val="center"/>
              <w:rPr>
                <w:b/>
                <w:u w:val="single"/>
              </w:rPr>
            </w:pPr>
            <w:r>
              <w:rPr>
                <w:b/>
                <w:u w:val="single"/>
              </w:rPr>
              <w:t>Three Months Ended September 30, 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19" w:type="dxa"/>
            <w:gridSpan w:val="10"/>
            <w:tcBorders/>
            <w:vAlign w:val="bottom"/>
          </w:tcPr>
          <w:p>
            <w:pPr>
              <w:pStyle w:val="TableContents"/>
              <w:bidi w:val="0"/>
              <w:spacing w:before="0" w:after="283"/>
              <w:jc w:val="center"/>
              <w:rPr>
                <w:b/>
                <w:u w:val="single"/>
              </w:rPr>
            </w:pPr>
            <w:r>
              <w:rPr>
                <w:b/>
                <w:u w:val="single"/>
              </w:rPr>
              <w:t>Three Months Ended December 31, 2025</w:t>
            </w:r>
          </w:p>
        </w:tc>
        <w:tc>
          <w:tcPr>
            <w:tcW w:w="60" w:type="dxa"/>
            <w:tcBorders/>
            <w:vAlign w:val="bottom"/>
          </w:tcPr>
          <w:p>
            <w:pPr>
              <w:pStyle w:val="TableContents"/>
              <w:bidi w:val="0"/>
              <w:spacing w:before="0" w:after="283"/>
              <w:jc w:val="left"/>
              <w:rPr/>
            </w:pPr>
            <w:r>
              <w:rPr/>
              <w:t> </w:t>
            </w:r>
          </w:p>
        </w:tc>
      </w:tr>
      <w:tr>
        <w:trPr/>
        <w:tc>
          <w:tcPr>
            <w:tcW w:w="7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center"/>
              <w:rPr>
                <w:b/>
                <w:u w:val="single"/>
              </w:rPr>
            </w:pPr>
            <w:r>
              <w:rPr>
                <w:b/>
                <w:u w:val="single"/>
              </w:rPr>
              <w:t>As Reported</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center"/>
              <w:rPr>
                <w:b/>
                <w:u w:val="single"/>
              </w:rPr>
            </w:pPr>
            <w:r>
              <w:rPr>
                <w:b/>
                <w:u w:val="single"/>
              </w:rPr>
              <w:t>Adjustments</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78" w:type="dxa"/>
            <w:gridSpan w:val="2"/>
            <w:tcBorders/>
            <w:vAlign w:val="bottom"/>
          </w:tcPr>
          <w:p>
            <w:pPr>
              <w:pStyle w:val="TableContents"/>
              <w:bidi w:val="0"/>
              <w:spacing w:before="0" w:after="283"/>
              <w:jc w:val="center"/>
              <w:rPr>
                <w:b/>
                <w:u w:val="single"/>
              </w:rPr>
            </w:pPr>
            <w:r>
              <w:rPr>
                <w:b/>
                <w:u w:val="single"/>
              </w:rPr>
              <w:t>As Revised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center"/>
              <w:rPr>
                <w:b/>
                <w:u w:val="single"/>
              </w:rPr>
            </w:pPr>
            <w:r>
              <w:rPr>
                <w:b/>
                <w:u w:val="single"/>
              </w:rPr>
              <w:t>As Reported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center"/>
              <w:rPr>
                <w:b/>
                <w:u w:val="single"/>
              </w:rPr>
            </w:pPr>
            <w:r>
              <w:rPr>
                <w:b/>
                <w:u w:val="single"/>
              </w:rPr>
              <w:t>Adjustments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vAlign w:val="bottom"/>
          </w:tcPr>
          <w:p>
            <w:pPr>
              <w:pStyle w:val="TableContents"/>
              <w:bidi w:val="0"/>
              <w:spacing w:before="0" w:after="283"/>
              <w:jc w:val="center"/>
              <w:rPr>
                <w:b/>
                <w:u w:val="single"/>
              </w:rPr>
            </w:pPr>
            <w:r>
              <w:rPr>
                <w:b/>
                <w:u w:val="single"/>
              </w:rPr>
              <w:t>As Revised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center"/>
              <w:rPr>
                <w:b/>
                <w:u w:val="single"/>
              </w:rPr>
            </w:pPr>
            <w:r>
              <w:rPr>
                <w:b/>
                <w:u w:val="single"/>
              </w:rPr>
              <w:t>As Reported</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center"/>
              <w:rPr>
                <w:b/>
                <w:u w:val="single"/>
              </w:rPr>
            </w:pPr>
            <w:r>
              <w:rPr>
                <w:b/>
                <w:u w:val="single"/>
              </w:rPr>
              <w:t>Adjustments</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255" w:type="dxa"/>
            <w:gridSpan w:val="2"/>
            <w:tcBorders/>
            <w:vAlign w:val="bottom"/>
          </w:tcPr>
          <w:p>
            <w:pPr>
              <w:pStyle w:val="TableContents"/>
              <w:bidi w:val="0"/>
              <w:spacing w:before="0" w:after="283"/>
              <w:jc w:val="center"/>
              <w:rPr>
                <w:b/>
                <w:u w:val="single"/>
              </w:rPr>
            </w:pPr>
            <w:r>
              <w:rPr>
                <w:b/>
                <w:u w:val="single"/>
              </w:rPr>
              <w:t>As Revised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center"/>
              <w:rPr>
                <w:b/>
                <w:u w:val="single"/>
              </w:rPr>
            </w:pPr>
            <w:r>
              <w:rPr>
                <w:b/>
                <w:u w:val="single"/>
              </w:rPr>
              <w:t>As Reported</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center"/>
              <w:rPr>
                <w:b/>
                <w:u w:val="single"/>
              </w:rPr>
            </w:pPr>
            <w:r>
              <w:rPr>
                <w:b/>
                <w:u w:val="single"/>
              </w:rPr>
              <w:t>Adjustments</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287" w:type="dxa"/>
            <w:gridSpan w:val="2"/>
            <w:tcBorders/>
            <w:vAlign w:val="bottom"/>
          </w:tcPr>
          <w:p>
            <w:pPr>
              <w:pStyle w:val="TableContents"/>
              <w:bidi w:val="0"/>
              <w:spacing w:before="0" w:after="283"/>
              <w:jc w:val="center"/>
              <w:rPr>
                <w:b/>
                <w:u w:val="single"/>
              </w:rPr>
            </w:pPr>
            <w:r>
              <w:rPr>
                <w:b/>
                <w:u w:val="single"/>
              </w:rPr>
              <w:t>As Revised</w:t>
            </w:r>
          </w:p>
        </w:tc>
        <w:tc>
          <w:tcPr>
            <w:tcW w:w="60" w:type="dxa"/>
            <w:tcBorders/>
            <w:vAlign w:val="bottom"/>
          </w:tcPr>
          <w:p>
            <w:pPr>
              <w:pStyle w:val="TableContents"/>
              <w:bidi w:val="0"/>
              <w:spacing w:before="0" w:after="283"/>
              <w:jc w:val="left"/>
              <w:rPr/>
            </w:pPr>
            <w:r>
              <w:rPr/>
              <w:t> </w:t>
            </w:r>
          </w:p>
        </w:tc>
      </w:tr>
      <w:tr>
        <w:trPr/>
        <w:tc>
          <w:tcPr>
            <w:tcW w:w="785" w:type="dxa"/>
            <w:tcBorders/>
          </w:tcPr>
          <w:p>
            <w:pPr>
              <w:pStyle w:val="TableContents"/>
              <w:bidi w:val="0"/>
              <w:spacing w:before="0" w:after="0"/>
              <w:jc w:val="left"/>
              <w:rPr>
                <w:rFonts w:ascii="Arial" w:hAnsi="Arial"/>
                <w:b/>
                <w:sz w:val="13"/>
              </w:rPr>
            </w:pPr>
            <w:r>
              <w:rPr>
                <w:rFonts w:ascii="Arial" w:hAnsi="Arial"/>
                <w:b/>
                <w:sz w:val="13"/>
              </w:rPr>
              <w:t>Earnings from continuing operations</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$425</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($63)</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$362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$297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($60)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$237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$428</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($64)</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$364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$333</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right"/>
              <w:rPr/>
            </w:pPr>
            <w:r>
              <w:rPr/>
              <w:t>($71)</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$262</w:t>
            </w:r>
          </w:p>
        </w:tc>
        <w:tc>
          <w:tcPr>
            <w:tcW w:w="60" w:type="dxa"/>
            <w:tcBorders/>
            <w:vAlign w:val="bottom"/>
          </w:tcPr>
          <w:p>
            <w:pPr>
              <w:pStyle w:val="TableContents"/>
              <w:bidi w:val="0"/>
              <w:spacing w:before="0" w:after="283"/>
              <w:jc w:val="left"/>
              <w:rPr/>
            </w:pPr>
            <w:r>
              <w:rPr/>
              <w:t> </w:t>
            </w:r>
          </w:p>
        </w:tc>
      </w:tr>
      <w:tr>
        <w:trPr/>
        <w:tc>
          <w:tcPr>
            <w:tcW w:w="785" w:type="dxa"/>
            <w:tcBorders/>
          </w:tcPr>
          <w:p>
            <w:pPr>
              <w:pStyle w:val="TableContents"/>
              <w:bidi w:val="0"/>
              <w:spacing w:before="0" w:after="0"/>
              <w:jc w:val="left"/>
              <w:rPr>
                <w:rFonts w:ascii="Arial" w:hAnsi="Arial"/>
                <w:sz w:val="13"/>
              </w:rPr>
            </w:pPr>
            <w:r>
              <w:rPr>
                <w:rFonts w:ascii="Arial" w:hAnsi="Arial"/>
                <w:sz w:val="13"/>
              </w:rPr>
              <w:t>Adjustments to remove:</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1205"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200"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sz w:val="4"/>
                <w:szCs w:val="4"/>
              </w:rPr>
            </w:pPr>
            <w:r>
              <w:rPr>
                <w:sz w:val="4"/>
                <w:szCs w:val="4"/>
              </w:rPr>
            </w:r>
          </w:p>
        </w:tc>
        <w:tc>
          <w:tcPr>
            <w:tcW w:w="108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sz w:val="4"/>
                <w:szCs w:val="4"/>
              </w:rPr>
            </w:pPr>
            <w:r>
              <w:rPr>
                <w:sz w:val="4"/>
                <w:szCs w:val="4"/>
              </w:rPr>
            </w:r>
          </w:p>
        </w:tc>
        <w:tc>
          <w:tcPr>
            <w:tcW w:w="117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sz w:val="4"/>
                <w:szCs w:val="4"/>
              </w:rPr>
            </w:pPr>
            <w:r>
              <w:rPr>
                <w:sz w:val="4"/>
                <w:szCs w:val="4"/>
              </w:rPr>
            </w:r>
          </w:p>
        </w:tc>
        <w:tc>
          <w:tcPr>
            <w:tcW w:w="10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sz w:val="4"/>
                <w:szCs w:val="4"/>
              </w:rPr>
            </w:pPr>
            <w:r>
              <w:rPr>
                <w:sz w:val="4"/>
                <w:szCs w:val="4"/>
              </w:rPr>
            </w:r>
          </w:p>
        </w:tc>
        <w:tc>
          <w:tcPr>
            <w:tcW w:w="1178"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sz w:val="4"/>
                <w:szCs w:val="4"/>
              </w:rPr>
            </w:pPr>
            <w:r>
              <w:rPr>
                <w:sz w:val="4"/>
                <w:szCs w:val="4"/>
              </w:rPr>
            </w:r>
          </w:p>
        </w:tc>
        <w:tc>
          <w:tcPr>
            <w:tcW w:w="1178"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sz w:val="4"/>
                <w:szCs w:val="4"/>
              </w:rPr>
            </w:pPr>
            <w:r>
              <w:rPr>
                <w:sz w:val="4"/>
                <w:szCs w:val="4"/>
              </w:rPr>
            </w:r>
          </w:p>
        </w:tc>
        <w:tc>
          <w:tcPr>
            <w:tcW w:w="112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1205"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sz w:val="4"/>
                <w:szCs w:val="4"/>
              </w:rPr>
            </w:pPr>
            <w:r>
              <w:rPr>
                <w:sz w:val="4"/>
                <w:szCs w:val="4"/>
              </w:rPr>
            </w:r>
          </w:p>
        </w:tc>
        <w:tc>
          <w:tcPr>
            <w:tcW w:w="1201"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sz w:val="4"/>
                <w:szCs w:val="4"/>
              </w:rPr>
            </w:pPr>
            <w:r>
              <w:rPr>
                <w:sz w:val="4"/>
                <w:szCs w:val="4"/>
              </w:rPr>
            </w:r>
          </w:p>
        </w:tc>
        <w:tc>
          <w:tcPr>
            <w:tcW w:w="118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785" w:type="dxa"/>
            <w:tcBorders/>
          </w:tcPr>
          <w:p>
            <w:pPr>
              <w:pStyle w:val="TableContents"/>
              <w:bidi w:val="0"/>
              <w:spacing w:before="0" w:after="0"/>
              <w:jc w:val="left"/>
              <w:rPr>
                <w:rFonts w:ascii="Arial" w:hAnsi="Arial"/>
                <w:sz w:val="13"/>
              </w:rPr>
            </w:pPr>
            <w:r>
              <w:rPr>
                <w:rFonts w:ascii="Arial" w:hAnsi="Arial"/>
                <w:sz w:val="13"/>
              </w:rPr>
              <w:t>Tax expense</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92</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(12)</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52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121</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(12)</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109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158</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right"/>
              <w:rPr/>
            </w:pPr>
            <w:r>
              <w:rPr/>
              <w:t>(16)</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142</w:t>
            </w:r>
          </w:p>
        </w:tc>
        <w:tc>
          <w:tcPr>
            <w:tcW w:w="60" w:type="dxa"/>
            <w:tcBorders/>
            <w:vAlign w:val="bottom"/>
          </w:tcPr>
          <w:p>
            <w:pPr>
              <w:pStyle w:val="TableContents"/>
              <w:bidi w:val="0"/>
              <w:spacing w:before="0" w:after="283"/>
              <w:jc w:val="left"/>
              <w:rPr/>
            </w:pPr>
            <w:r>
              <w:rPr/>
              <w:t> </w:t>
            </w:r>
          </w:p>
        </w:tc>
      </w:tr>
      <w:tr>
        <w:trPr/>
        <w:tc>
          <w:tcPr>
            <w:tcW w:w="785" w:type="dxa"/>
            <w:tcBorders/>
          </w:tcPr>
          <w:p>
            <w:pPr>
              <w:pStyle w:val="TableContents"/>
              <w:bidi w:val="0"/>
              <w:spacing w:before="0" w:after="0"/>
              <w:jc w:val="left"/>
              <w:rPr>
                <w:rFonts w:ascii="Arial" w:hAnsi="Arial"/>
                <w:sz w:val="13"/>
              </w:rPr>
            </w:pPr>
            <w:r>
              <w:rPr>
                <w:rFonts w:ascii="Arial" w:hAnsi="Arial"/>
                <w:sz w:val="13"/>
              </w:rPr>
              <w:t>Other finance costs (income)</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10</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48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48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(7)</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- </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4</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right"/>
              <w:rPr/>
            </w:pPr>
            <w:r>
              <w:rPr/>
              <w:t>- </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4</w:t>
            </w:r>
          </w:p>
        </w:tc>
        <w:tc>
          <w:tcPr>
            <w:tcW w:w="60" w:type="dxa"/>
            <w:tcBorders/>
            <w:vAlign w:val="bottom"/>
          </w:tcPr>
          <w:p>
            <w:pPr>
              <w:pStyle w:val="TableContents"/>
              <w:bidi w:val="0"/>
              <w:spacing w:before="0" w:after="283"/>
              <w:jc w:val="left"/>
              <w:rPr/>
            </w:pPr>
            <w:r>
              <w:rPr/>
              <w:t> </w:t>
            </w:r>
          </w:p>
        </w:tc>
      </w:tr>
      <w:tr>
        <w:trPr/>
        <w:tc>
          <w:tcPr>
            <w:tcW w:w="785" w:type="dxa"/>
            <w:tcBorders/>
          </w:tcPr>
          <w:p>
            <w:pPr>
              <w:pStyle w:val="TableContents"/>
              <w:bidi w:val="0"/>
              <w:spacing w:before="0" w:after="0"/>
              <w:jc w:val="left"/>
              <w:rPr>
                <w:rFonts w:ascii="Arial" w:hAnsi="Arial"/>
                <w:sz w:val="13"/>
              </w:rPr>
            </w:pPr>
            <w:r>
              <w:rPr>
                <w:rFonts w:ascii="Arial" w:hAnsi="Arial"/>
                <w:sz w:val="13"/>
              </w:rPr>
              <w:t>Net interest expense</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30</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38</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- </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40</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right"/>
              <w:rPr/>
            </w:pPr>
            <w:r>
              <w:rPr/>
              <w:t>- </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40</w:t>
            </w:r>
          </w:p>
        </w:tc>
        <w:tc>
          <w:tcPr>
            <w:tcW w:w="60" w:type="dxa"/>
            <w:tcBorders/>
            <w:vAlign w:val="bottom"/>
          </w:tcPr>
          <w:p>
            <w:pPr>
              <w:pStyle w:val="TableContents"/>
              <w:bidi w:val="0"/>
              <w:spacing w:before="0" w:after="283"/>
              <w:jc w:val="left"/>
              <w:rPr/>
            </w:pPr>
            <w:r>
              <w:rPr/>
              <w:t> </w:t>
            </w:r>
          </w:p>
        </w:tc>
      </w:tr>
      <w:tr>
        <w:trPr/>
        <w:tc>
          <w:tcPr>
            <w:tcW w:w="785" w:type="dxa"/>
            <w:tcBorders/>
          </w:tcPr>
          <w:p>
            <w:pPr>
              <w:pStyle w:val="TableContents"/>
              <w:bidi w:val="0"/>
              <w:spacing w:before="0" w:after="0"/>
              <w:jc w:val="left"/>
              <w:rPr>
                <w:rFonts w:ascii="Arial" w:hAnsi="Arial"/>
                <w:sz w:val="13"/>
              </w:rPr>
            </w:pPr>
            <w:r>
              <w:rPr>
                <w:rFonts w:ascii="Arial" w:hAnsi="Arial"/>
                <w:sz w:val="13"/>
              </w:rPr>
              <w:t>Amortization of other identifiable intangible assets</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25</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24</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- </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25</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right"/>
              <w:rPr/>
            </w:pPr>
            <w:r>
              <w:rPr/>
              <w:t>- </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25</w:t>
            </w:r>
          </w:p>
        </w:tc>
        <w:tc>
          <w:tcPr>
            <w:tcW w:w="60" w:type="dxa"/>
            <w:tcBorders/>
            <w:vAlign w:val="bottom"/>
          </w:tcPr>
          <w:p>
            <w:pPr>
              <w:pStyle w:val="TableContents"/>
              <w:bidi w:val="0"/>
              <w:spacing w:before="0" w:after="283"/>
              <w:jc w:val="left"/>
              <w:rPr/>
            </w:pPr>
            <w:r>
              <w:rPr/>
              <w:t> </w:t>
            </w:r>
          </w:p>
        </w:tc>
      </w:tr>
      <w:tr>
        <w:trPr/>
        <w:tc>
          <w:tcPr>
            <w:tcW w:w="785" w:type="dxa"/>
            <w:tcBorders/>
          </w:tcPr>
          <w:p>
            <w:pPr>
              <w:pStyle w:val="TableContents"/>
              <w:bidi w:val="0"/>
              <w:spacing w:before="0" w:after="0"/>
              <w:jc w:val="left"/>
              <w:rPr>
                <w:rFonts w:ascii="Arial" w:hAnsi="Arial"/>
                <w:sz w:val="13"/>
              </w:rPr>
            </w:pPr>
            <w:r>
              <w:rPr>
                <w:rFonts w:ascii="Arial" w:hAnsi="Arial"/>
                <w:sz w:val="13"/>
              </w:rPr>
              <w:t>Amortization of software</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174</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174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178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178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182</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(1)</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181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187</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right"/>
              <w:rPr/>
            </w:pPr>
            <w:r>
              <w:rPr/>
              <w:t>- </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187</w:t>
            </w:r>
          </w:p>
        </w:tc>
        <w:tc>
          <w:tcPr>
            <w:tcW w:w="60" w:type="dxa"/>
            <w:tcBorders/>
            <w:vAlign w:val="bottom"/>
          </w:tcPr>
          <w:p>
            <w:pPr>
              <w:pStyle w:val="TableContents"/>
              <w:bidi w:val="0"/>
              <w:spacing w:before="0" w:after="283"/>
              <w:jc w:val="left"/>
              <w:rPr/>
            </w:pPr>
            <w:r>
              <w:rPr/>
              <w:t> </w:t>
            </w:r>
          </w:p>
        </w:tc>
      </w:tr>
      <w:tr>
        <w:trPr/>
        <w:tc>
          <w:tcPr>
            <w:tcW w:w="785" w:type="dxa"/>
            <w:tcBorders/>
          </w:tcPr>
          <w:p>
            <w:pPr>
              <w:pStyle w:val="TableContents"/>
              <w:bidi w:val="0"/>
              <w:spacing w:before="0" w:after="0"/>
              <w:jc w:val="left"/>
              <w:rPr>
                <w:rFonts w:ascii="Arial" w:hAnsi="Arial"/>
                <w:sz w:val="13"/>
              </w:rPr>
            </w:pPr>
            <w:r>
              <w:rPr>
                <w:rFonts w:ascii="Arial" w:hAnsi="Arial"/>
                <w:sz w:val="13"/>
              </w:rPr>
              <w:t>Depreciation</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27</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(2)</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28</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(2)</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28</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right"/>
              <w:rPr/>
            </w:pPr>
            <w:r>
              <w:rPr/>
              <w:t>(2)</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26</w:t>
            </w:r>
          </w:p>
        </w:tc>
        <w:tc>
          <w:tcPr>
            <w:tcW w:w="60" w:type="dxa"/>
            <w:tcBorders/>
            <w:vAlign w:val="bottom"/>
          </w:tcPr>
          <w:p>
            <w:pPr>
              <w:pStyle w:val="TableContents"/>
              <w:bidi w:val="0"/>
              <w:spacing w:before="0" w:after="283"/>
              <w:jc w:val="left"/>
              <w:rPr/>
            </w:pPr>
            <w:r>
              <w:rPr/>
              <w:t> </w:t>
            </w:r>
          </w:p>
        </w:tc>
      </w:tr>
      <w:tr>
        <w:trPr/>
        <w:tc>
          <w:tcPr>
            <w:tcW w:w="7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4073" w:type="dxa"/>
            <w:gridSpan w:val="9"/>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865" w:type="dxa"/>
            <w:gridSpan w:val="9"/>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pBdr>
                <w:top w:val="single" w:sz="2" w:space="1" w:color="000000"/>
              </w:pBdr>
              <w:bidi w:val="0"/>
              <w:spacing w:before="0" w:after="0"/>
              <w:jc w:val="left"/>
              <w:rPr/>
            </w:pPr>
            <w:r>
              <w:rPr/>
              <w:t> </w:t>
            </w:r>
          </w:p>
        </w:tc>
        <w:tc>
          <w:tcPr>
            <w:tcW w:w="4251" w:type="dxa"/>
            <w:gridSpan w:val="9"/>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4214" w:type="dxa"/>
            <w:gridSpan w:val="9"/>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785" w:type="dxa"/>
            <w:tcBorders/>
          </w:tcPr>
          <w:p>
            <w:pPr>
              <w:pStyle w:val="TableContents"/>
              <w:bidi w:val="0"/>
              <w:spacing w:before="0" w:after="0"/>
              <w:jc w:val="left"/>
              <w:rPr>
                <w:rFonts w:ascii="Arial" w:hAnsi="Arial"/>
                <w:b/>
                <w:sz w:val="13"/>
              </w:rPr>
            </w:pPr>
            <w:r>
              <w:rPr>
                <w:rFonts w:ascii="Arial" w:hAnsi="Arial"/>
                <w:b/>
                <w:sz w:val="13"/>
              </w:rPr>
              <w:t>EBITDA</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783</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(77)</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706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662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(73)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589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814</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(79)</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735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775</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right"/>
              <w:rPr/>
            </w:pPr>
            <w:r>
              <w:rPr/>
              <w:t>(89)</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686</w:t>
            </w:r>
          </w:p>
        </w:tc>
        <w:tc>
          <w:tcPr>
            <w:tcW w:w="60" w:type="dxa"/>
            <w:tcBorders/>
            <w:vAlign w:val="bottom"/>
          </w:tcPr>
          <w:p>
            <w:pPr>
              <w:pStyle w:val="TableContents"/>
              <w:bidi w:val="0"/>
              <w:spacing w:before="0" w:after="283"/>
              <w:jc w:val="left"/>
              <w:rPr/>
            </w:pPr>
            <w:r>
              <w:rPr/>
              <w:t> </w:t>
            </w:r>
          </w:p>
        </w:tc>
      </w:tr>
      <w:tr>
        <w:trPr/>
        <w:tc>
          <w:tcPr>
            <w:tcW w:w="785" w:type="dxa"/>
            <w:tcBorders/>
          </w:tcPr>
          <w:p>
            <w:pPr>
              <w:pStyle w:val="TableContents"/>
              <w:bidi w:val="0"/>
              <w:spacing w:before="0" w:after="0"/>
              <w:jc w:val="left"/>
              <w:rPr>
                <w:rFonts w:ascii="Arial" w:hAnsi="Arial"/>
                <w:sz w:val="13"/>
              </w:rPr>
            </w:pPr>
            <w:r>
              <w:rPr>
                <w:rFonts w:ascii="Arial" w:hAnsi="Arial"/>
                <w:sz w:val="13"/>
              </w:rPr>
              <w:t>Adjustments to remove:</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1205"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200"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sz w:val="4"/>
                <w:szCs w:val="4"/>
              </w:rPr>
            </w:pPr>
            <w:r>
              <w:rPr>
                <w:sz w:val="4"/>
                <w:szCs w:val="4"/>
              </w:rPr>
            </w:r>
          </w:p>
        </w:tc>
        <w:tc>
          <w:tcPr>
            <w:tcW w:w="108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sz w:val="4"/>
                <w:szCs w:val="4"/>
              </w:rPr>
            </w:pPr>
            <w:r>
              <w:rPr>
                <w:sz w:val="4"/>
                <w:szCs w:val="4"/>
              </w:rPr>
            </w:r>
          </w:p>
        </w:tc>
        <w:tc>
          <w:tcPr>
            <w:tcW w:w="117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sz w:val="4"/>
                <w:szCs w:val="4"/>
              </w:rPr>
            </w:pPr>
            <w:r>
              <w:rPr>
                <w:sz w:val="4"/>
                <w:szCs w:val="4"/>
              </w:rPr>
            </w:r>
          </w:p>
        </w:tc>
        <w:tc>
          <w:tcPr>
            <w:tcW w:w="10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sz w:val="4"/>
                <w:szCs w:val="4"/>
              </w:rPr>
            </w:pPr>
            <w:r>
              <w:rPr>
                <w:sz w:val="4"/>
                <w:szCs w:val="4"/>
              </w:rPr>
            </w:r>
          </w:p>
        </w:tc>
        <w:tc>
          <w:tcPr>
            <w:tcW w:w="1178"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sz w:val="4"/>
                <w:szCs w:val="4"/>
              </w:rPr>
            </w:pPr>
            <w:r>
              <w:rPr>
                <w:sz w:val="4"/>
                <w:szCs w:val="4"/>
              </w:rPr>
            </w:r>
          </w:p>
        </w:tc>
        <w:tc>
          <w:tcPr>
            <w:tcW w:w="1178"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sz w:val="4"/>
                <w:szCs w:val="4"/>
              </w:rPr>
            </w:pPr>
            <w:r>
              <w:rPr>
                <w:sz w:val="4"/>
                <w:szCs w:val="4"/>
              </w:rPr>
            </w:r>
          </w:p>
        </w:tc>
        <w:tc>
          <w:tcPr>
            <w:tcW w:w="112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1205"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sz w:val="4"/>
                <w:szCs w:val="4"/>
              </w:rPr>
            </w:pPr>
            <w:r>
              <w:rPr>
                <w:sz w:val="4"/>
                <w:szCs w:val="4"/>
              </w:rPr>
            </w:r>
          </w:p>
        </w:tc>
        <w:tc>
          <w:tcPr>
            <w:tcW w:w="1201"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sz w:val="4"/>
                <w:szCs w:val="4"/>
              </w:rPr>
            </w:pPr>
            <w:r>
              <w:rPr>
                <w:sz w:val="4"/>
                <w:szCs w:val="4"/>
              </w:rPr>
            </w:r>
          </w:p>
        </w:tc>
        <w:tc>
          <w:tcPr>
            <w:tcW w:w="118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785" w:type="dxa"/>
            <w:tcBorders/>
          </w:tcPr>
          <w:p>
            <w:pPr>
              <w:pStyle w:val="TableContents"/>
              <w:bidi w:val="0"/>
              <w:spacing w:before="0" w:after="0"/>
              <w:jc w:val="left"/>
              <w:rPr>
                <w:rFonts w:ascii="Arial" w:hAnsi="Arial"/>
                <w:sz w:val="13"/>
              </w:rPr>
            </w:pPr>
            <w:r>
              <w:rPr>
                <w:rFonts w:ascii="Arial" w:hAnsi="Arial"/>
                <w:sz w:val="13"/>
              </w:rPr>
              <w:t>Share of post-tax losses in equity method investments</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6</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13</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- </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5</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right"/>
              <w:rPr/>
            </w:pPr>
            <w:r>
              <w:rPr/>
              <w:t>- </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r>
      <w:tr>
        <w:trPr/>
        <w:tc>
          <w:tcPr>
            <w:tcW w:w="785" w:type="dxa"/>
            <w:tcBorders/>
          </w:tcPr>
          <w:p>
            <w:pPr>
              <w:pStyle w:val="TableContents"/>
              <w:bidi w:val="0"/>
              <w:spacing w:before="0" w:after="0"/>
              <w:jc w:val="left"/>
              <w:rPr>
                <w:rFonts w:ascii="Arial" w:hAnsi="Arial"/>
                <w:sz w:val="13"/>
              </w:rPr>
            </w:pPr>
            <w:r>
              <w:rPr>
                <w:rFonts w:ascii="Arial" w:hAnsi="Arial"/>
                <w:sz w:val="13"/>
              </w:rPr>
              <w:t>Other operating losses (gains), net</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3</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(160)</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- </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(160)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(2)</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right"/>
              <w:rPr/>
            </w:pPr>
            <w:r>
              <w:rPr/>
              <w:t>(1)</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(3)</w:t>
            </w:r>
          </w:p>
        </w:tc>
        <w:tc>
          <w:tcPr>
            <w:tcW w:w="60" w:type="dxa"/>
            <w:tcBorders/>
            <w:vAlign w:val="bottom"/>
          </w:tcPr>
          <w:p>
            <w:pPr>
              <w:pStyle w:val="TableContents"/>
              <w:bidi w:val="0"/>
              <w:spacing w:before="0" w:after="283"/>
              <w:jc w:val="left"/>
              <w:rPr/>
            </w:pPr>
            <w:r>
              <w:rPr/>
              <w:t> </w:t>
            </w:r>
          </w:p>
        </w:tc>
      </w:tr>
      <w:tr>
        <w:trPr/>
        <w:tc>
          <w:tcPr>
            <w:tcW w:w="785" w:type="dxa"/>
            <w:tcBorders/>
          </w:tcPr>
          <w:p>
            <w:pPr>
              <w:pStyle w:val="TableContents"/>
              <w:bidi w:val="0"/>
              <w:spacing w:before="0" w:after="0"/>
              <w:jc w:val="left"/>
              <w:rPr>
                <w:rFonts w:ascii="Arial" w:hAnsi="Arial"/>
                <w:sz w:val="13"/>
              </w:rPr>
            </w:pPr>
            <w:r>
              <w:rPr>
                <w:rFonts w:ascii="Arial" w:hAnsi="Arial"/>
                <w:sz w:val="13"/>
              </w:rPr>
              <w:t>Fair value adjustments (2)</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17</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17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17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17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5</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- </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(1)</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right"/>
              <w:rPr/>
            </w:pPr>
            <w:r>
              <w:rPr/>
              <w:t>- </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r>
      <w:tr>
        <w:trPr/>
        <w:tc>
          <w:tcPr>
            <w:tcW w:w="7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4073" w:type="dxa"/>
            <w:gridSpan w:val="9"/>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865" w:type="dxa"/>
            <w:gridSpan w:val="9"/>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pBdr>
                <w:top w:val="single" w:sz="2" w:space="1" w:color="000000"/>
              </w:pBdr>
              <w:bidi w:val="0"/>
              <w:spacing w:before="0" w:after="0"/>
              <w:jc w:val="left"/>
              <w:rPr/>
            </w:pPr>
            <w:r>
              <w:rPr/>
              <w:t> </w:t>
            </w:r>
          </w:p>
        </w:tc>
        <w:tc>
          <w:tcPr>
            <w:tcW w:w="4251" w:type="dxa"/>
            <w:gridSpan w:val="9"/>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4214" w:type="dxa"/>
            <w:gridSpan w:val="9"/>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785" w:type="dxa"/>
            <w:tcBorders/>
          </w:tcPr>
          <w:p>
            <w:pPr>
              <w:pStyle w:val="TableContents"/>
              <w:bidi w:val="0"/>
              <w:spacing w:before="0" w:after="0"/>
              <w:jc w:val="left"/>
              <w:rPr>
                <w:rFonts w:ascii="Arial" w:hAnsi="Arial"/>
                <w:b/>
                <w:sz w:val="13"/>
              </w:rPr>
            </w:pPr>
            <w:r>
              <w:rPr>
                <w:rFonts w:ascii="Arial" w:hAnsi="Arial"/>
                <w:b/>
                <w:sz w:val="13"/>
              </w:rPr>
              <w:t>Adjusted EBITDA(1)</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$809</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($77)</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$732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$678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($73)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$605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$672</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($79)</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$593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$777</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right"/>
              <w:rPr/>
            </w:pPr>
            <w:r>
              <w:rPr/>
              <w:t>($90)</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$687</w:t>
            </w:r>
          </w:p>
        </w:tc>
        <w:tc>
          <w:tcPr>
            <w:tcW w:w="60" w:type="dxa"/>
            <w:tcBorders/>
            <w:vAlign w:val="bottom"/>
          </w:tcPr>
          <w:p>
            <w:pPr>
              <w:pStyle w:val="TableContents"/>
              <w:bidi w:val="0"/>
              <w:spacing w:before="0" w:after="283"/>
              <w:jc w:val="left"/>
              <w:rPr/>
            </w:pPr>
            <w:r>
              <w:rPr/>
              <w:t> </w:t>
            </w:r>
          </w:p>
        </w:tc>
      </w:tr>
      <w:tr>
        <w:trPr/>
        <w:tc>
          <w:tcPr>
            <w:tcW w:w="7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12" w:space="1" w:color="000000"/>
              </w:pBdr>
              <w:bidi w:val="0"/>
              <w:spacing w:before="0" w:after="0"/>
              <w:jc w:val="left"/>
              <w:rPr/>
            </w:pPr>
            <w:r>
              <w:rPr/>
              <w:t> </w:t>
            </w:r>
          </w:p>
        </w:tc>
        <w:tc>
          <w:tcPr>
            <w:tcW w:w="4073" w:type="dxa"/>
            <w:gridSpan w:val="9"/>
            <w:tcBorders/>
            <w:vAlign w:val="bottom"/>
          </w:tcPr>
          <w:p>
            <w:pPr>
              <w:pStyle w:val="TableContents"/>
              <w:pBdr>
                <w:top w:val="single" w:sz="1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12" w:space="1" w:color="000000"/>
              </w:pBdr>
              <w:bidi w:val="0"/>
              <w:spacing w:before="0" w:after="0"/>
              <w:jc w:val="left"/>
              <w:rPr/>
            </w:pPr>
            <w:r>
              <w:rPr/>
              <w:t> </w:t>
            </w:r>
          </w:p>
        </w:tc>
        <w:tc>
          <w:tcPr>
            <w:tcW w:w="3865" w:type="dxa"/>
            <w:gridSpan w:val="9"/>
            <w:tcBorders/>
            <w:vAlign w:val="bottom"/>
          </w:tcPr>
          <w:p>
            <w:pPr>
              <w:pStyle w:val="TableContents"/>
              <w:pBdr>
                <w:top w:val="single" w:sz="1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pBdr>
                <w:top w:val="single" w:sz="12" w:space="1" w:color="000000"/>
              </w:pBdr>
              <w:bidi w:val="0"/>
              <w:spacing w:before="0" w:after="0"/>
              <w:jc w:val="left"/>
              <w:rPr/>
            </w:pPr>
            <w:r>
              <w:rPr/>
              <w:t> </w:t>
            </w:r>
          </w:p>
        </w:tc>
        <w:tc>
          <w:tcPr>
            <w:tcW w:w="4251" w:type="dxa"/>
            <w:gridSpan w:val="9"/>
            <w:tcBorders/>
            <w:vAlign w:val="bottom"/>
          </w:tcPr>
          <w:p>
            <w:pPr>
              <w:pStyle w:val="TableContents"/>
              <w:pBdr>
                <w:top w:val="single" w:sz="1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12" w:space="1" w:color="000000"/>
              </w:pBdr>
              <w:bidi w:val="0"/>
              <w:spacing w:before="0" w:after="0"/>
              <w:jc w:val="left"/>
              <w:rPr/>
            </w:pPr>
            <w:r>
              <w:rPr/>
              <w:t> </w:t>
            </w:r>
          </w:p>
        </w:tc>
        <w:tc>
          <w:tcPr>
            <w:tcW w:w="4214" w:type="dxa"/>
            <w:gridSpan w:val="9"/>
            <w:tcBorders/>
            <w:vAlign w:val="bottom"/>
          </w:tcPr>
          <w:p>
            <w:pPr>
              <w:pStyle w:val="TableContents"/>
              <w:pBdr>
                <w:top w:val="single" w:sz="1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rHeight w:val="240" w:hRule="atLeast"/>
        </w:trPr>
        <w:tc>
          <w:tcPr>
            <w:tcW w:w="785" w:type="dxa"/>
            <w:tcBorders/>
            <w:vAlign w:val="center"/>
          </w:tcPr>
          <w:p>
            <w:pPr>
              <w:pStyle w:val="TableContents"/>
              <w:bidi w:val="0"/>
              <w:spacing w:before="0" w:after="283"/>
              <w:jc w:val="left"/>
              <w:rPr>
                <w:sz w:val="4"/>
                <w:szCs w:val="4"/>
              </w:rPr>
            </w:pPr>
            <w:r>
              <w:rPr>
                <w:sz w:val="4"/>
                <w:szCs w:val="4"/>
              </w:rPr>
            </w:r>
          </w:p>
        </w:tc>
        <w:tc>
          <w:tcPr>
            <w:tcW w:w="4298" w:type="dxa"/>
            <w:gridSpan w:val="12"/>
            <w:tcBorders/>
            <w:vAlign w:val="center"/>
          </w:tcPr>
          <w:p>
            <w:pPr>
              <w:pStyle w:val="TableContents"/>
              <w:bidi w:val="0"/>
              <w:spacing w:before="0" w:after="283"/>
              <w:jc w:val="left"/>
              <w:rPr>
                <w:sz w:val="4"/>
                <w:szCs w:val="4"/>
              </w:rPr>
            </w:pPr>
            <w:r>
              <w:rPr>
                <w:sz w:val="4"/>
                <w:szCs w:val="4"/>
              </w:rPr>
            </w:r>
          </w:p>
        </w:tc>
        <w:tc>
          <w:tcPr>
            <w:tcW w:w="4125" w:type="dxa"/>
            <w:gridSpan w:val="12"/>
            <w:tcBorders/>
            <w:vAlign w:val="center"/>
          </w:tcPr>
          <w:p>
            <w:pPr>
              <w:pStyle w:val="TableContents"/>
              <w:bidi w:val="0"/>
              <w:spacing w:before="0" w:after="283"/>
              <w:jc w:val="left"/>
              <w:rPr>
                <w:sz w:val="4"/>
                <w:szCs w:val="4"/>
              </w:rPr>
            </w:pPr>
            <w:r>
              <w:rPr>
                <w:sz w:val="4"/>
                <w:szCs w:val="4"/>
              </w:rPr>
            </w:r>
          </w:p>
        </w:tc>
        <w:tc>
          <w:tcPr>
            <w:tcW w:w="4503" w:type="dxa"/>
            <w:gridSpan w:val="12"/>
            <w:tcBorders/>
            <w:vAlign w:val="center"/>
          </w:tcPr>
          <w:p>
            <w:pPr>
              <w:pStyle w:val="TableContents"/>
              <w:bidi w:val="0"/>
              <w:spacing w:before="0" w:after="283"/>
              <w:jc w:val="left"/>
              <w:rPr>
                <w:sz w:val="4"/>
                <w:szCs w:val="4"/>
              </w:rPr>
            </w:pPr>
            <w:r>
              <w:rPr>
                <w:sz w:val="4"/>
                <w:szCs w:val="4"/>
              </w:rPr>
            </w:r>
          </w:p>
        </w:tc>
        <w:tc>
          <w:tcPr>
            <w:tcW w:w="4439" w:type="dxa"/>
            <w:gridSpan w:val="12"/>
            <w:tcBorders/>
            <w:vAlign w:val="center"/>
          </w:tcPr>
          <w:p>
            <w:pPr>
              <w:pStyle w:val="TableContents"/>
              <w:bidi w:val="0"/>
              <w:spacing w:before="0" w:after="283"/>
              <w:jc w:val="left"/>
              <w:rPr>
                <w:sz w:val="4"/>
                <w:szCs w:val="4"/>
              </w:rPr>
            </w:pPr>
            <w:r>
              <w:rPr>
                <w:sz w:val="4"/>
                <w:szCs w:val="4"/>
              </w:rPr>
            </w:r>
          </w:p>
        </w:tc>
      </w:tr>
      <w:tr>
        <w:trPr/>
        <w:tc>
          <w:tcPr>
            <w:tcW w:w="7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78" w:type="dxa"/>
            <w:gridSpan w:val="10"/>
            <w:tcBorders/>
            <w:vAlign w:val="bottom"/>
          </w:tcPr>
          <w:p>
            <w:pPr>
              <w:pStyle w:val="TableContents"/>
              <w:bidi w:val="0"/>
              <w:spacing w:before="0" w:after="283"/>
              <w:jc w:val="center"/>
              <w:rPr>
                <w:b/>
                <w:u w:val="single"/>
              </w:rPr>
            </w:pPr>
            <w:r>
              <w:rPr>
                <w:b/>
                <w:u w:val="single"/>
              </w:rPr>
              <w:t>Full Year Ended December 31, 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5" w:type="dxa"/>
            <w:gridSpan w:val="10"/>
            <w:tcBorders/>
            <w:vAlign w:val="bottom"/>
          </w:tcPr>
          <w:p>
            <w:pPr>
              <w:pStyle w:val="TableContents"/>
              <w:bidi w:val="0"/>
              <w:spacing w:before="0" w:after="283"/>
              <w:jc w:val="center"/>
              <w:rPr>
                <w:b/>
                <w:u w:val="single"/>
              </w:rPr>
            </w:pPr>
            <w:r>
              <w:rPr>
                <w:b/>
                <w:u w:val="single"/>
              </w:rPr>
              <w:t>Three Months Ended March 31, 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83" w:type="dxa"/>
            <w:gridSpan w:val="10"/>
            <w:tcBorders/>
            <w:vAlign w:val="bottom"/>
          </w:tcPr>
          <w:p>
            <w:pPr>
              <w:pStyle w:val="TableContents"/>
              <w:bidi w:val="0"/>
              <w:spacing w:before="0" w:after="283"/>
              <w:jc w:val="center"/>
              <w:rPr>
                <w:b/>
                <w:u w:val="single"/>
              </w:rPr>
            </w:pPr>
            <w:r>
              <w:rPr>
                <w:b/>
                <w:u w:val="single"/>
              </w:rPr>
              <w:t>Three Months Ended June 30, 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19" w:type="dxa"/>
            <w:gridSpan w:val="10"/>
            <w:tcBorders/>
            <w:vAlign w:val="bottom"/>
          </w:tcPr>
          <w:p>
            <w:pPr>
              <w:pStyle w:val="TableContents"/>
              <w:bidi w:val="0"/>
              <w:spacing w:before="0" w:after="283"/>
              <w:jc w:val="center"/>
              <w:rPr>
                <w:b/>
                <w:u w:val="single"/>
              </w:rPr>
            </w:pPr>
            <w:r>
              <w:rPr>
                <w:b/>
                <w:u w:val="single"/>
              </w:rPr>
              <w:t>YTD (Six Months Ended June 30, 2026)</w:t>
            </w:r>
          </w:p>
        </w:tc>
        <w:tc>
          <w:tcPr>
            <w:tcW w:w="60" w:type="dxa"/>
            <w:tcBorders/>
            <w:vAlign w:val="bottom"/>
          </w:tcPr>
          <w:p>
            <w:pPr>
              <w:pStyle w:val="TableContents"/>
              <w:bidi w:val="0"/>
              <w:spacing w:before="0" w:after="283"/>
              <w:jc w:val="left"/>
              <w:rPr/>
            </w:pPr>
            <w:r>
              <w:rPr/>
              <w:t> </w:t>
            </w:r>
          </w:p>
        </w:tc>
      </w:tr>
      <w:tr>
        <w:trPr/>
        <w:tc>
          <w:tcPr>
            <w:tcW w:w="7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center"/>
              <w:rPr>
                <w:b/>
                <w:u w:val="single"/>
              </w:rPr>
            </w:pPr>
            <w:r>
              <w:rPr>
                <w:b/>
                <w:u w:val="single"/>
              </w:rPr>
              <w:t>As Reported</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center"/>
              <w:rPr>
                <w:b/>
                <w:u w:val="single"/>
              </w:rPr>
            </w:pPr>
            <w:r>
              <w:rPr>
                <w:b/>
                <w:u w:val="single"/>
              </w:rPr>
              <w:t>Adjustments</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78" w:type="dxa"/>
            <w:gridSpan w:val="2"/>
            <w:tcBorders/>
            <w:vAlign w:val="bottom"/>
          </w:tcPr>
          <w:p>
            <w:pPr>
              <w:pStyle w:val="TableContents"/>
              <w:bidi w:val="0"/>
              <w:spacing w:before="0" w:after="283"/>
              <w:jc w:val="center"/>
              <w:rPr>
                <w:b/>
                <w:u w:val="single"/>
              </w:rPr>
            </w:pPr>
            <w:r>
              <w:rPr>
                <w:b/>
                <w:u w:val="single"/>
              </w:rPr>
              <w:t>As Revised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center"/>
              <w:rPr>
                <w:b/>
                <w:u w:val="single"/>
              </w:rPr>
            </w:pPr>
            <w:r>
              <w:rPr>
                <w:b/>
                <w:u w:val="single"/>
              </w:rPr>
              <w:t>As Reported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center"/>
              <w:rPr>
                <w:b/>
                <w:u w:val="single"/>
              </w:rPr>
            </w:pPr>
            <w:r>
              <w:rPr>
                <w:b/>
                <w:u w:val="single"/>
              </w:rPr>
              <w:t>Adjustments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vAlign w:val="bottom"/>
          </w:tcPr>
          <w:p>
            <w:pPr>
              <w:pStyle w:val="TableContents"/>
              <w:bidi w:val="0"/>
              <w:spacing w:before="0" w:after="283"/>
              <w:jc w:val="center"/>
              <w:rPr>
                <w:b/>
                <w:u w:val="single"/>
              </w:rPr>
            </w:pPr>
            <w:r>
              <w:rPr>
                <w:b/>
                <w:u w:val="single"/>
              </w:rPr>
              <w:t>As Revised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center"/>
              <w:rPr>
                <w:b/>
                <w:u w:val="single"/>
              </w:rPr>
            </w:pPr>
            <w:r>
              <w:rPr>
                <w:b/>
                <w:u w:val="single"/>
              </w:rPr>
              <w:t>As Reported</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center"/>
              <w:rPr>
                <w:b/>
                <w:u w:val="single"/>
              </w:rPr>
            </w:pPr>
            <w:r>
              <w:rPr>
                <w:b/>
                <w:u w:val="single"/>
              </w:rPr>
              <w:t>Adjustments</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255" w:type="dxa"/>
            <w:gridSpan w:val="2"/>
            <w:tcBorders/>
            <w:vAlign w:val="bottom"/>
          </w:tcPr>
          <w:p>
            <w:pPr>
              <w:pStyle w:val="TableContents"/>
              <w:bidi w:val="0"/>
              <w:spacing w:before="0" w:after="283"/>
              <w:jc w:val="center"/>
              <w:rPr>
                <w:b/>
                <w:u w:val="single"/>
              </w:rPr>
            </w:pPr>
            <w:r>
              <w:rPr>
                <w:b/>
                <w:u w:val="single"/>
              </w:rPr>
              <w:t>As Revised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center"/>
              <w:rPr>
                <w:b/>
                <w:u w:val="single"/>
              </w:rPr>
            </w:pPr>
            <w:r>
              <w:rPr>
                <w:b/>
                <w:u w:val="single"/>
              </w:rPr>
              <w:t>As Reported</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center"/>
              <w:rPr>
                <w:b/>
                <w:u w:val="single"/>
              </w:rPr>
            </w:pPr>
            <w:r>
              <w:rPr>
                <w:b/>
                <w:u w:val="single"/>
              </w:rPr>
              <w:t>Adjustments</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287" w:type="dxa"/>
            <w:gridSpan w:val="2"/>
            <w:tcBorders/>
            <w:vAlign w:val="bottom"/>
          </w:tcPr>
          <w:p>
            <w:pPr>
              <w:pStyle w:val="TableContents"/>
              <w:bidi w:val="0"/>
              <w:spacing w:before="0" w:after="283"/>
              <w:jc w:val="center"/>
              <w:rPr>
                <w:b/>
                <w:u w:val="single"/>
              </w:rPr>
            </w:pPr>
            <w:r>
              <w:rPr>
                <w:b/>
                <w:u w:val="single"/>
              </w:rPr>
              <w:t>As Revised</w:t>
            </w:r>
          </w:p>
        </w:tc>
        <w:tc>
          <w:tcPr>
            <w:tcW w:w="60" w:type="dxa"/>
            <w:tcBorders/>
            <w:vAlign w:val="bottom"/>
          </w:tcPr>
          <w:p>
            <w:pPr>
              <w:pStyle w:val="TableContents"/>
              <w:bidi w:val="0"/>
              <w:spacing w:before="0" w:after="283"/>
              <w:jc w:val="left"/>
              <w:rPr/>
            </w:pPr>
            <w:r>
              <w:rPr/>
              <w:t> </w:t>
            </w:r>
          </w:p>
        </w:tc>
      </w:tr>
      <w:tr>
        <w:trPr/>
        <w:tc>
          <w:tcPr>
            <w:tcW w:w="785" w:type="dxa"/>
            <w:tcBorders/>
          </w:tcPr>
          <w:p>
            <w:pPr>
              <w:pStyle w:val="TableContents"/>
              <w:bidi w:val="0"/>
              <w:spacing w:before="0" w:after="0"/>
              <w:jc w:val="left"/>
              <w:rPr>
                <w:rFonts w:ascii="Arial" w:hAnsi="Arial"/>
                <w:b/>
                <w:sz w:val="13"/>
              </w:rPr>
            </w:pPr>
            <w:r>
              <w:rPr>
                <w:rFonts w:ascii="Arial" w:hAnsi="Arial"/>
                <w:b/>
                <w:sz w:val="13"/>
              </w:rPr>
              <w:t>Earnings from continuing operations</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$1,483</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($258)</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$1,225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$477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$420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$444</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($51)</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$393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$921</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right"/>
              <w:rPr/>
            </w:pPr>
            <w:r>
              <w:rPr/>
              <w:t>($108)</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$813</w:t>
            </w:r>
          </w:p>
        </w:tc>
        <w:tc>
          <w:tcPr>
            <w:tcW w:w="60" w:type="dxa"/>
            <w:tcBorders/>
            <w:vAlign w:val="bottom"/>
          </w:tcPr>
          <w:p>
            <w:pPr>
              <w:pStyle w:val="TableContents"/>
              <w:bidi w:val="0"/>
              <w:spacing w:before="0" w:after="283"/>
              <w:jc w:val="left"/>
              <w:rPr/>
            </w:pPr>
            <w:r>
              <w:rPr/>
              <w:t> </w:t>
            </w:r>
          </w:p>
        </w:tc>
      </w:tr>
      <w:tr>
        <w:trPr/>
        <w:tc>
          <w:tcPr>
            <w:tcW w:w="785" w:type="dxa"/>
            <w:tcBorders/>
          </w:tcPr>
          <w:p>
            <w:pPr>
              <w:pStyle w:val="TableContents"/>
              <w:bidi w:val="0"/>
              <w:spacing w:before="0" w:after="0"/>
              <w:jc w:val="left"/>
              <w:rPr>
                <w:rFonts w:ascii="Arial" w:hAnsi="Arial"/>
                <w:sz w:val="13"/>
              </w:rPr>
            </w:pPr>
            <w:r>
              <w:rPr>
                <w:rFonts w:ascii="Arial" w:hAnsi="Arial"/>
                <w:sz w:val="13"/>
              </w:rPr>
              <w:t>Adjustments to remove:</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1205"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200"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sz w:val="4"/>
                <w:szCs w:val="4"/>
              </w:rPr>
            </w:pPr>
            <w:r>
              <w:rPr>
                <w:sz w:val="4"/>
                <w:szCs w:val="4"/>
              </w:rPr>
            </w:r>
          </w:p>
        </w:tc>
        <w:tc>
          <w:tcPr>
            <w:tcW w:w="108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sz w:val="4"/>
                <w:szCs w:val="4"/>
              </w:rPr>
            </w:pPr>
            <w:r>
              <w:rPr>
                <w:sz w:val="4"/>
                <w:szCs w:val="4"/>
              </w:rPr>
            </w:r>
          </w:p>
        </w:tc>
        <w:tc>
          <w:tcPr>
            <w:tcW w:w="117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sz w:val="4"/>
                <w:szCs w:val="4"/>
              </w:rPr>
            </w:pPr>
            <w:r>
              <w:rPr>
                <w:sz w:val="4"/>
                <w:szCs w:val="4"/>
              </w:rPr>
            </w:r>
          </w:p>
        </w:tc>
        <w:tc>
          <w:tcPr>
            <w:tcW w:w="10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sz w:val="4"/>
                <w:szCs w:val="4"/>
              </w:rPr>
            </w:pPr>
            <w:r>
              <w:rPr>
                <w:sz w:val="4"/>
                <w:szCs w:val="4"/>
              </w:rPr>
            </w:r>
          </w:p>
        </w:tc>
        <w:tc>
          <w:tcPr>
            <w:tcW w:w="1178"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sz w:val="4"/>
                <w:szCs w:val="4"/>
              </w:rPr>
            </w:pPr>
            <w:r>
              <w:rPr>
                <w:sz w:val="4"/>
                <w:szCs w:val="4"/>
              </w:rPr>
            </w:r>
          </w:p>
        </w:tc>
        <w:tc>
          <w:tcPr>
            <w:tcW w:w="1178"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sz w:val="4"/>
                <w:szCs w:val="4"/>
              </w:rPr>
            </w:pPr>
            <w:r>
              <w:rPr>
                <w:sz w:val="4"/>
                <w:szCs w:val="4"/>
              </w:rPr>
            </w:r>
          </w:p>
        </w:tc>
        <w:tc>
          <w:tcPr>
            <w:tcW w:w="112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1205"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sz w:val="4"/>
                <w:szCs w:val="4"/>
              </w:rPr>
            </w:pPr>
            <w:r>
              <w:rPr>
                <w:sz w:val="4"/>
                <w:szCs w:val="4"/>
              </w:rPr>
            </w:r>
          </w:p>
        </w:tc>
        <w:tc>
          <w:tcPr>
            <w:tcW w:w="1201"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sz w:val="4"/>
                <w:szCs w:val="4"/>
              </w:rPr>
            </w:pPr>
            <w:r>
              <w:rPr>
                <w:sz w:val="4"/>
                <w:szCs w:val="4"/>
              </w:rPr>
            </w:r>
          </w:p>
        </w:tc>
        <w:tc>
          <w:tcPr>
            <w:tcW w:w="118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785" w:type="dxa"/>
            <w:tcBorders/>
          </w:tcPr>
          <w:p>
            <w:pPr>
              <w:pStyle w:val="TableContents"/>
              <w:bidi w:val="0"/>
              <w:spacing w:before="0" w:after="0"/>
              <w:jc w:val="left"/>
              <w:rPr>
                <w:rFonts w:ascii="Arial" w:hAnsi="Arial"/>
                <w:sz w:val="13"/>
              </w:rPr>
            </w:pPr>
            <w:r>
              <w:rPr>
                <w:rFonts w:ascii="Arial" w:hAnsi="Arial"/>
                <w:sz w:val="13"/>
              </w:rPr>
              <w:t>Tax expense</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423</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(51)</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372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125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114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71</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(9)</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62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196</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right"/>
              <w:rPr/>
            </w:pPr>
            <w:r>
              <w:rPr/>
              <w:t>(20)</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176</w:t>
            </w:r>
          </w:p>
        </w:tc>
        <w:tc>
          <w:tcPr>
            <w:tcW w:w="60" w:type="dxa"/>
            <w:tcBorders/>
            <w:vAlign w:val="bottom"/>
          </w:tcPr>
          <w:p>
            <w:pPr>
              <w:pStyle w:val="TableContents"/>
              <w:bidi w:val="0"/>
              <w:spacing w:before="0" w:after="283"/>
              <w:jc w:val="left"/>
              <w:rPr/>
            </w:pPr>
            <w:r>
              <w:rPr/>
              <w:t> </w:t>
            </w:r>
          </w:p>
        </w:tc>
      </w:tr>
      <w:tr>
        <w:trPr/>
        <w:tc>
          <w:tcPr>
            <w:tcW w:w="785" w:type="dxa"/>
            <w:tcBorders/>
          </w:tcPr>
          <w:p>
            <w:pPr>
              <w:pStyle w:val="TableContents"/>
              <w:bidi w:val="0"/>
              <w:spacing w:before="0" w:after="0"/>
              <w:jc w:val="left"/>
              <w:rPr>
                <w:rFonts w:ascii="Arial" w:hAnsi="Arial"/>
                <w:sz w:val="13"/>
              </w:rPr>
            </w:pPr>
            <w:r>
              <w:rPr>
                <w:rFonts w:ascii="Arial" w:hAnsi="Arial"/>
                <w:sz w:val="13"/>
              </w:rPr>
              <w:t>Other finance costs (income)</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55</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55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(8)</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- </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(17)</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right"/>
              <w:rPr/>
            </w:pPr>
            <w:r>
              <w:rPr/>
              <w:t>- </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(17)</w:t>
            </w:r>
          </w:p>
        </w:tc>
        <w:tc>
          <w:tcPr>
            <w:tcW w:w="60" w:type="dxa"/>
            <w:tcBorders/>
            <w:vAlign w:val="bottom"/>
          </w:tcPr>
          <w:p>
            <w:pPr>
              <w:pStyle w:val="TableContents"/>
              <w:bidi w:val="0"/>
              <w:spacing w:before="0" w:after="283"/>
              <w:jc w:val="left"/>
              <w:rPr/>
            </w:pPr>
            <w:r>
              <w:rPr/>
              <w:t> </w:t>
            </w:r>
          </w:p>
        </w:tc>
      </w:tr>
      <w:tr>
        <w:trPr/>
        <w:tc>
          <w:tcPr>
            <w:tcW w:w="785" w:type="dxa"/>
            <w:tcBorders/>
          </w:tcPr>
          <w:p>
            <w:pPr>
              <w:pStyle w:val="TableContents"/>
              <w:bidi w:val="0"/>
              <w:spacing w:before="0" w:after="0"/>
              <w:jc w:val="left"/>
              <w:rPr>
                <w:rFonts w:ascii="Arial" w:hAnsi="Arial"/>
                <w:sz w:val="13"/>
              </w:rPr>
            </w:pPr>
            <w:r>
              <w:rPr>
                <w:rFonts w:ascii="Arial" w:hAnsi="Arial"/>
                <w:sz w:val="13"/>
              </w:rPr>
              <w:t>Net interest expense</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143</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143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47</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- </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47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86</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right"/>
              <w:rPr/>
            </w:pPr>
            <w:r>
              <w:rPr/>
              <w:t>- </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86</w:t>
            </w:r>
          </w:p>
        </w:tc>
        <w:tc>
          <w:tcPr>
            <w:tcW w:w="60" w:type="dxa"/>
            <w:tcBorders/>
            <w:vAlign w:val="bottom"/>
          </w:tcPr>
          <w:p>
            <w:pPr>
              <w:pStyle w:val="TableContents"/>
              <w:bidi w:val="0"/>
              <w:spacing w:before="0" w:after="283"/>
              <w:jc w:val="left"/>
              <w:rPr/>
            </w:pPr>
            <w:r>
              <w:rPr/>
              <w:t> </w:t>
            </w:r>
          </w:p>
        </w:tc>
      </w:tr>
      <w:tr>
        <w:trPr/>
        <w:tc>
          <w:tcPr>
            <w:tcW w:w="785" w:type="dxa"/>
            <w:tcBorders/>
          </w:tcPr>
          <w:p>
            <w:pPr>
              <w:pStyle w:val="TableContents"/>
              <w:bidi w:val="0"/>
              <w:spacing w:before="0" w:after="0"/>
              <w:jc w:val="left"/>
              <w:rPr>
                <w:rFonts w:ascii="Arial" w:hAnsi="Arial"/>
                <w:sz w:val="13"/>
              </w:rPr>
            </w:pPr>
            <w:r>
              <w:rPr>
                <w:rFonts w:ascii="Arial" w:hAnsi="Arial"/>
                <w:sz w:val="13"/>
              </w:rPr>
              <w:t>Amortization of other identifiable intangible assets</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98</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98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25</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- </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49</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right"/>
              <w:rPr/>
            </w:pPr>
            <w:r>
              <w:rPr/>
              <w:t>- </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49</w:t>
            </w:r>
          </w:p>
        </w:tc>
        <w:tc>
          <w:tcPr>
            <w:tcW w:w="60" w:type="dxa"/>
            <w:tcBorders/>
            <w:vAlign w:val="bottom"/>
          </w:tcPr>
          <w:p>
            <w:pPr>
              <w:pStyle w:val="TableContents"/>
              <w:bidi w:val="0"/>
              <w:spacing w:before="0" w:after="283"/>
              <w:jc w:val="left"/>
              <w:rPr/>
            </w:pPr>
            <w:r>
              <w:rPr/>
              <w:t> </w:t>
            </w:r>
          </w:p>
        </w:tc>
      </w:tr>
      <w:tr>
        <w:trPr/>
        <w:tc>
          <w:tcPr>
            <w:tcW w:w="785" w:type="dxa"/>
            <w:tcBorders/>
          </w:tcPr>
          <w:p>
            <w:pPr>
              <w:pStyle w:val="TableContents"/>
              <w:bidi w:val="0"/>
              <w:spacing w:before="0" w:after="0"/>
              <w:jc w:val="left"/>
              <w:rPr>
                <w:rFonts w:ascii="Arial" w:hAnsi="Arial"/>
                <w:sz w:val="13"/>
              </w:rPr>
            </w:pPr>
            <w:r>
              <w:rPr>
                <w:rFonts w:ascii="Arial" w:hAnsi="Arial"/>
                <w:sz w:val="13"/>
              </w:rPr>
              <w:t>Amortization of software</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721</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(1)</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720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193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193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201</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- </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201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394</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right"/>
              <w:rPr/>
            </w:pPr>
            <w:r>
              <w:rPr/>
              <w:t>- </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394</w:t>
            </w:r>
          </w:p>
        </w:tc>
        <w:tc>
          <w:tcPr>
            <w:tcW w:w="60" w:type="dxa"/>
            <w:tcBorders/>
            <w:vAlign w:val="bottom"/>
          </w:tcPr>
          <w:p>
            <w:pPr>
              <w:pStyle w:val="TableContents"/>
              <w:bidi w:val="0"/>
              <w:spacing w:before="0" w:after="283"/>
              <w:jc w:val="left"/>
              <w:rPr/>
            </w:pPr>
            <w:r>
              <w:rPr/>
              <w:t> </w:t>
            </w:r>
          </w:p>
        </w:tc>
      </w:tr>
      <w:tr>
        <w:trPr/>
        <w:tc>
          <w:tcPr>
            <w:tcW w:w="785" w:type="dxa"/>
            <w:tcBorders/>
          </w:tcPr>
          <w:p>
            <w:pPr>
              <w:pStyle w:val="TableContents"/>
              <w:bidi w:val="0"/>
              <w:spacing w:before="0" w:after="0"/>
              <w:jc w:val="left"/>
              <w:rPr>
                <w:rFonts w:ascii="Arial" w:hAnsi="Arial"/>
                <w:sz w:val="13"/>
              </w:rPr>
            </w:pPr>
            <w:r>
              <w:rPr>
                <w:rFonts w:ascii="Arial" w:hAnsi="Arial"/>
                <w:sz w:val="13"/>
              </w:rPr>
              <w:t>Depreciation</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111</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(8)</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103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27</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(2)</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55</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right"/>
              <w:rPr/>
            </w:pPr>
            <w:r>
              <w:rPr/>
              <w:t>(4)</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51</w:t>
            </w:r>
          </w:p>
        </w:tc>
        <w:tc>
          <w:tcPr>
            <w:tcW w:w="60" w:type="dxa"/>
            <w:tcBorders/>
            <w:vAlign w:val="bottom"/>
          </w:tcPr>
          <w:p>
            <w:pPr>
              <w:pStyle w:val="TableContents"/>
              <w:bidi w:val="0"/>
              <w:spacing w:before="0" w:after="283"/>
              <w:jc w:val="left"/>
              <w:rPr/>
            </w:pPr>
            <w:r>
              <w:rPr/>
              <w:t> </w:t>
            </w:r>
          </w:p>
        </w:tc>
      </w:tr>
      <w:tr>
        <w:trPr/>
        <w:tc>
          <w:tcPr>
            <w:tcW w:w="7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4073" w:type="dxa"/>
            <w:gridSpan w:val="9"/>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865" w:type="dxa"/>
            <w:gridSpan w:val="9"/>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pBdr>
                <w:top w:val="single" w:sz="2" w:space="1" w:color="000000"/>
              </w:pBdr>
              <w:bidi w:val="0"/>
              <w:spacing w:before="0" w:after="0"/>
              <w:jc w:val="left"/>
              <w:rPr/>
            </w:pPr>
            <w:r>
              <w:rPr/>
              <w:t> </w:t>
            </w:r>
          </w:p>
        </w:tc>
        <w:tc>
          <w:tcPr>
            <w:tcW w:w="4251" w:type="dxa"/>
            <w:gridSpan w:val="9"/>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4214" w:type="dxa"/>
            <w:gridSpan w:val="9"/>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785" w:type="dxa"/>
            <w:tcBorders/>
          </w:tcPr>
          <w:p>
            <w:pPr>
              <w:pStyle w:val="TableContents"/>
              <w:bidi w:val="0"/>
              <w:spacing w:before="0" w:after="0"/>
              <w:jc w:val="left"/>
              <w:rPr>
                <w:rFonts w:ascii="Arial" w:hAnsi="Arial"/>
                <w:b/>
                <w:sz w:val="13"/>
              </w:rPr>
            </w:pPr>
            <w:r>
              <w:rPr>
                <w:rFonts w:ascii="Arial" w:hAnsi="Arial"/>
                <w:b/>
                <w:sz w:val="13"/>
              </w:rPr>
              <w:t>EBITDA</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3,034</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(318)</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2,716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877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807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807</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(62)</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745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1,684</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right"/>
              <w:rPr/>
            </w:pPr>
            <w:r>
              <w:rPr/>
              <w:t>(132)</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1,552</w:t>
            </w:r>
          </w:p>
        </w:tc>
        <w:tc>
          <w:tcPr>
            <w:tcW w:w="60" w:type="dxa"/>
            <w:tcBorders/>
            <w:vAlign w:val="bottom"/>
          </w:tcPr>
          <w:p>
            <w:pPr>
              <w:pStyle w:val="TableContents"/>
              <w:bidi w:val="0"/>
              <w:spacing w:before="0" w:after="283"/>
              <w:jc w:val="left"/>
              <w:rPr/>
            </w:pPr>
            <w:r>
              <w:rPr/>
              <w:t> </w:t>
            </w:r>
          </w:p>
        </w:tc>
      </w:tr>
      <w:tr>
        <w:trPr/>
        <w:tc>
          <w:tcPr>
            <w:tcW w:w="785" w:type="dxa"/>
            <w:tcBorders/>
          </w:tcPr>
          <w:p>
            <w:pPr>
              <w:pStyle w:val="TableContents"/>
              <w:bidi w:val="0"/>
              <w:spacing w:before="0" w:after="0"/>
              <w:jc w:val="left"/>
              <w:rPr>
                <w:rFonts w:ascii="Arial" w:hAnsi="Arial"/>
                <w:sz w:val="13"/>
              </w:rPr>
            </w:pPr>
            <w:r>
              <w:rPr>
                <w:rFonts w:ascii="Arial" w:hAnsi="Arial"/>
                <w:sz w:val="13"/>
              </w:rPr>
              <w:t>Adjustments to remove:</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1205"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200"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sz w:val="4"/>
                <w:szCs w:val="4"/>
              </w:rPr>
            </w:pPr>
            <w:r>
              <w:rPr>
                <w:sz w:val="4"/>
                <w:szCs w:val="4"/>
              </w:rPr>
            </w:r>
          </w:p>
        </w:tc>
        <w:tc>
          <w:tcPr>
            <w:tcW w:w="108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sz w:val="4"/>
                <w:szCs w:val="4"/>
              </w:rPr>
            </w:pPr>
            <w:r>
              <w:rPr>
                <w:sz w:val="4"/>
                <w:szCs w:val="4"/>
              </w:rPr>
            </w:r>
          </w:p>
        </w:tc>
        <w:tc>
          <w:tcPr>
            <w:tcW w:w="117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sz w:val="4"/>
                <w:szCs w:val="4"/>
              </w:rPr>
            </w:pPr>
            <w:r>
              <w:rPr>
                <w:sz w:val="4"/>
                <w:szCs w:val="4"/>
              </w:rPr>
            </w:r>
          </w:p>
        </w:tc>
        <w:tc>
          <w:tcPr>
            <w:tcW w:w="10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sz w:val="4"/>
                <w:szCs w:val="4"/>
              </w:rPr>
            </w:pPr>
            <w:r>
              <w:rPr>
                <w:sz w:val="4"/>
                <w:szCs w:val="4"/>
              </w:rPr>
            </w:r>
          </w:p>
        </w:tc>
        <w:tc>
          <w:tcPr>
            <w:tcW w:w="1178"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sz w:val="4"/>
                <w:szCs w:val="4"/>
              </w:rPr>
            </w:pPr>
            <w:r>
              <w:rPr>
                <w:sz w:val="4"/>
                <w:szCs w:val="4"/>
              </w:rPr>
            </w:r>
          </w:p>
        </w:tc>
        <w:tc>
          <w:tcPr>
            <w:tcW w:w="1178"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sz w:val="4"/>
                <w:szCs w:val="4"/>
              </w:rPr>
            </w:pPr>
            <w:r>
              <w:rPr>
                <w:sz w:val="4"/>
                <w:szCs w:val="4"/>
              </w:rPr>
            </w:r>
          </w:p>
        </w:tc>
        <w:tc>
          <w:tcPr>
            <w:tcW w:w="112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1205"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sz w:val="4"/>
                <w:szCs w:val="4"/>
              </w:rPr>
            </w:pPr>
            <w:r>
              <w:rPr>
                <w:sz w:val="4"/>
                <w:szCs w:val="4"/>
              </w:rPr>
            </w:r>
          </w:p>
        </w:tc>
        <w:tc>
          <w:tcPr>
            <w:tcW w:w="1201"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sz w:val="4"/>
                <w:szCs w:val="4"/>
              </w:rPr>
            </w:pPr>
            <w:r>
              <w:rPr>
                <w:sz w:val="4"/>
                <w:szCs w:val="4"/>
              </w:rPr>
            </w:r>
          </w:p>
        </w:tc>
        <w:tc>
          <w:tcPr>
            <w:tcW w:w="118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785" w:type="dxa"/>
            <w:tcBorders/>
          </w:tcPr>
          <w:p>
            <w:pPr>
              <w:pStyle w:val="TableContents"/>
              <w:bidi w:val="0"/>
              <w:spacing w:before="0" w:after="0"/>
              <w:jc w:val="left"/>
              <w:rPr>
                <w:rFonts w:ascii="Arial" w:hAnsi="Arial"/>
                <w:sz w:val="13"/>
              </w:rPr>
            </w:pPr>
            <w:r>
              <w:rPr>
                <w:rFonts w:ascii="Arial" w:hAnsi="Arial"/>
                <w:sz w:val="13"/>
              </w:rPr>
              <w:t>Share of post-tax losses in equity method investments</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28</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4</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- </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11</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right"/>
              <w:rPr/>
            </w:pPr>
            <w:r>
              <w:rPr/>
              <w:t>- </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11</w:t>
            </w:r>
          </w:p>
        </w:tc>
        <w:tc>
          <w:tcPr>
            <w:tcW w:w="60" w:type="dxa"/>
            <w:tcBorders/>
            <w:vAlign w:val="bottom"/>
          </w:tcPr>
          <w:p>
            <w:pPr>
              <w:pStyle w:val="TableContents"/>
              <w:bidi w:val="0"/>
              <w:spacing w:before="0" w:after="283"/>
              <w:jc w:val="left"/>
              <w:rPr/>
            </w:pPr>
            <w:r>
              <w:rPr/>
              <w:t> </w:t>
            </w:r>
          </w:p>
        </w:tc>
      </w:tr>
      <w:tr>
        <w:trPr/>
        <w:tc>
          <w:tcPr>
            <w:tcW w:w="785" w:type="dxa"/>
            <w:tcBorders/>
          </w:tcPr>
          <w:p>
            <w:pPr>
              <w:pStyle w:val="TableContents"/>
              <w:bidi w:val="0"/>
              <w:spacing w:before="0" w:after="0"/>
              <w:jc w:val="left"/>
              <w:rPr>
                <w:rFonts w:ascii="Arial" w:hAnsi="Arial"/>
                <w:sz w:val="13"/>
              </w:rPr>
            </w:pPr>
            <w:r>
              <w:rPr>
                <w:rFonts w:ascii="Arial" w:hAnsi="Arial"/>
                <w:sz w:val="13"/>
              </w:rPr>
              <w:t>Other operating (gains) losses, net</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(164)</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(1)</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(165)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(68)</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(5)</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(73)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(68)</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right"/>
              <w:rPr/>
            </w:pPr>
            <w:r>
              <w:rPr/>
              <w:t>(5)</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(73)</w:t>
            </w:r>
          </w:p>
        </w:tc>
        <w:tc>
          <w:tcPr>
            <w:tcW w:w="60" w:type="dxa"/>
            <w:tcBorders/>
            <w:vAlign w:val="bottom"/>
          </w:tcPr>
          <w:p>
            <w:pPr>
              <w:pStyle w:val="TableContents"/>
              <w:bidi w:val="0"/>
              <w:spacing w:before="0" w:after="283"/>
              <w:jc w:val="left"/>
              <w:rPr/>
            </w:pPr>
            <w:r>
              <w:rPr/>
              <w:t> </w:t>
            </w:r>
          </w:p>
        </w:tc>
      </w:tr>
      <w:tr>
        <w:trPr/>
        <w:tc>
          <w:tcPr>
            <w:tcW w:w="785" w:type="dxa"/>
            <w:tcBorders/>
          </w:tcPr>
          <w:p>
            <w:pPr>
              <w:pStyle w:val="TableContents"/>
              <w:bidi w:val="0"/>
              <w:spacing w:before="0" w:after="0"/>
              <w:jc w:val="left"/>
              <w:rPr>
                <w:rFonts w:ascii="Arial" w:hAnsi="Arial"/>
                <w:sz w:val="13"/>
              </w:rPr>
            </w:pPr>
            <w:r>
              <w:rPr>
                <w:rFonts w:ascii="Arial" w:hAnsi="Arial"/>
                <w:sz w:val="13"/>
              </w:rPr>
              <w:t>Fair value adjustments (2)</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38</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2</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- </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(1)</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right"/>
              <w:rPr/>
            </w:pPr>
            <w:r>
              <w:rPr/>
              <w:t>- </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r>
      <w:tr>
        <w:trPr/>
        <w:tc>
          <w:tcPr>
            <w:tcW w:w="7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4073" w:type="dxa"/>
            <w:gridSpan w:val="9"/>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865" w:type="dxa"/>
            <w:gridSpan w:val="9"/>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pBdr>
                <w:top w:val="single" w:sz="2" w:space="1" w:color="000000"/>
              </w:pBdr>
              <w:bidi w:val="0"/>
              <w:spacing w:before="0" w:after="0"/>
              <w:jc w:val="left"/>
              <w:rPr/>
            </w:pPr>
            <w:r>
              <w:rPr/>
              <w:t> </w:t>
            </w:r>
          </w:p>
        </w:tc>
        <w:tc>
          <w:tcPr>
            <w:tcW w:w="4251" w:type="dxa"/>
            <w:gridSpan w:val="9"/>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4214" w:type="dxa"/>
            <w:gridSpan w:val="9"/>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785" w:type="dxa"/>
            <w:tcBorders/>
          </w:tcPr>
          <w:p>
            <w:pPr>
              <w:pStyle w:val="TableContents"/>
              <w:bidi w:val="0"/>
              <w:spacing w:before="0" w:after="0"/>
              <w:jc w:val="left"/>
              <w:rPr>
                <w:rFonts w:ascii="Arial" w:hAnsi="Arial"/>
                <w:b/>
                <w:sz w:val="13"/>
              </w:rPr>
            </w:pPr>
            <w:r>
              <w:rPr>
                <w:rFonts w:ascii="Arial" w:hAnsi="Arial"/>
                <w:b/>
                <w:sz w:val="13"/>
              </w:rPr>
              <w:t>Adjusted EBITDA(1)</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$2,936</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($319)</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$2,617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$881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$811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$745</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($67)</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$678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$1,626</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right"/>
              <w:rPr/>
            </w:pPr>
            <w:r>
              <w:rPr/>
              <w:t>($137)</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$1,489</w:t>
            </w:r>
          </w:p>
        </w:tc>
        <w:tc>
          <w:tcPr>
            <w:tcW w:w="60" w:type="dxa"/>
            <w:tcBorders/>
            <w:vAlign w:val="bottom"/>
          </w:tcPr>
          <w:p>
            <w:pPr>
              <w:pStyle w:val="TableContents"/>
              <w:bidi w:val="0"/>
              <w:spacing w:before="0" w:after="283"/>
              <w:jc w:val="left"/>
              <w:rPr/>
            </w:pPr>
            <w:r>
              <w:rPr/>
              <w:t> </w:t>
            </w:r>
          </w:p>
        </w:tc>
      </w:tr>
      <w:tr>
        <w:trPr/>
        <w:tc>
          <w:tcPr>
            <w:tcW w:w="7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12" w:space="1" w:color="000000"/>
              </w:pBdr>
              <w:bidi w:val="0"/>
              <w:spacing w:before="0" w:after="0"/>
              <w:jc w:val="left"/>
              <w:rPr/>
            </w:pPr>
            <w:r>
              <w:rPr/>
              <w:t> </w:t>
            </w:r>
          </w:p>
        </w:tc>
        <w:tc>
          <w:tcPr>
            <w:tcW w:w="4073" w:type="dxa"/>
            <w:gridSpan w:val="9"/>
            <w:tcBorders/>
            <w:vAlign w:val="bottom"/>
          </w:tcPr>
          <w:p>
            <w:pPr>
              <w:pStyle w:val="TableContents"/>
              <w:pBdr>
                <w:top w:val="single" w:sz="1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12" w:space="1" w:color="000000"/>
              </w:pBdr>
              <w:bidi w:val="0"/>
              <w:spacing w:before="0" w:after="0"/>
              <w:jc w:val="left"/>
              <w:rPr/>
            </w:pPr>
            <w:r>
              <w:rPr/>
              <w:t> </w:t>
            </w:r>
          </w:p>
        </w:tc>
        <w:tc>
          <w:tcPr>
            <w:tcW w:w="3865" w:type="dxa"/>
            <w:gridSpan w:val="9"/>
            <w:tcBorders/>
            <w:vAlign w:val="bottom"/>
          </w:tcPr>
          <w:p>
            <w:pPr>
              <w:pStyle w:val="TableContents"/>
              <w:pBdr>
                <w:top w:val="single" w:sz="1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pBdr>
                <w:top w:val="single" w:sz="12" w:space="1" w:color="000000"/>
              </w:pBdr>
              <w:bidi w:val="0"/>
              <w:spacing w:before="0" w:after="0"/>
              <w:jc w:val="left"/>
              <w:rPr/>
            </w:pPr>
            <w:r>
              <w:rPr/>
              <w:t> </w:t>
            </w:r>
          </w:p>
        </w:tc>
        <w:tc>
          <w:tcPr>
            <w:tcW w:w="4251" w:type="dxa"/>
            <w:gridSpan w:val="9"/>
            <w:tcBorders/>
            <w:vAlign w:val="bottom"/>
          </w:tcPr>
          <w:p>
            <w:pPr>
              <w:pStyle w:val="TableContents"/>
              <w:pBdr>
                <w:top w:val="single" w:sz="1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12" w:space="1" w:color="000000"/>
              </w:pBdr>
              <w:bidi w:val="0"/>
              <w:spacing w:before="0" w:after="0"/>
              <w:jc w:val="left"/>
              <w:rPr/>
            </w:pPr>
            <w:r>
              <w:rPr/>
              <w:t> </w:t>
            </w:r>
          </w:p>
        </w:tc>
        <w:tc>
          <w:tcPr>
            <w:tcW w:w="4214" w:type="dxa"/>
            <w:gridSpan w:val="9"/>
            <w:tcBorders/>
            <w:vAlign w:val="bottom"/>
          </w:tcPr>
          <w:p>
            <w:pPr>
              <w:pStyle w:val="TableContents"/>
              <w:pBdr>
                <w:top w:val="single" w:sz="1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pBdr/>
        <w:bidi w:val="0"/>
        <w:spacing w:before="0" w:after="0"/>
        <w:jc w:val="left"/>
        <w:rPr>
          <w:rFonts w:ascii="Calibri" w:hAnsi="Calibri"/>
          <w:sz w:val="12"/>
          <w:bdr w:val="single" w:sz="12" w:space="2" w:color="000000"/>
        </w:rPr>
      </w:pPr>
      <w:r>
        <w:rPr>
          <w:rFonts w:ascii="Calibri" w:hAnsi="Calibri"/>
          <w:sz w:val="12"/>
          <w:bdr w:val="single" w:sz="12" w:space="2" w:color="000000"/>
        </w:rPr>
        <w:t xml:space="preserve">(1) The Company defines adjusted EBITDA as earnings or losses from continuing operations before tax expense or benefit, net interest expense, other finance costs or income, depreciation, amortization of software and other identifiable intangible assets, Thomson Reuters share of post-tax earnings or losses in equity method investments, other operating gains and losses, certain asset impairment charges, and fair value adjustments, including those related to acquired deferred revenue. The related margin is adjusted EBITDA expressed as a percentage of revenues. For purposes of this calculation, revenues are before fair value adjustments to acquired deferred revenue. See reconciliation of adjusted EBITDA margin included in this post. These measures provide a consistent basis to evaluate operating profitability and performance trends by excluding items that the Company does not consider to be controllable activities for this purpose. </w:t>
      </w:r>
    </w:p>
    <w:p>
      <w:pPr>
        <w:pStyle w:val="TextBody"/>
        <w:pBdr/>
        <w:bidi w:val="0"/>
        <w:spacing w:before="160" w:after="0"/>
        <w:jc w:val="left"/>
        <w:rPr>
          <w:rFonts w:ascii="Calibri" w:hAnsi="Calibri"/>
          <w:sz w:val="12"/>
          <w:bdr w:val="single" w:sz="12" w:space="2" w:color="000000"/>
        </w:rPr>
      </w:pPr>
      <w:r>
        <w:rPr>
          <w:rFonts w:ascii="Calibri" w:hAnsi="Calibri"/>
          <w:sz w:val="12"/>
          <w:bdr w:val="single" w:sz="12" w:space="2" w:color="000000"/>
        </w:rPr>
        <w:t xml:space="preserve">(2) Fair value adjustments primarily represent gains or losses due to changes in foreign currency exchange rates on intercompany balances that arise in the ordinary course of business, which are a component of operating expenses, as well as adjustments related to acquired deferred revenue.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293"/>
        <w:gridCol w:w="141"/>
        <w:gridCol w:w="1771"/>
      </w:tblGrid>
      <w:tr>
        <w:trPr/>
        <w:tc>
          <w:tcPr>
            <w:tcW w:w="8293"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r>
      <w:tr>
        <w:trPr/>
        <w:tc>
          <w:tcPr>
            <w:tcW w:w="8293" w:type="dxa"/>
            <w:tcBorders/>
          </w:tcPr>
          <w:p>
            <w:pPr>
              <w:pStyle w:val="TableContents"/>
              <w:bidi w:val="0"/>
              <w:spacing w:before="0" w:after="283"/>
              <w:jc w:val="left"/>
              <w:rPr>
                <w:b/>
              </w:rPr>
            </w:pPr>
            <w:r>
              <w:rPr>
                <w:b/>
              </w:rPr>
              <w:t>THOMSON REUTERS CORPORATION</w:t>
            </w:r>
          </w:p>
        </w:tc>
        <w:tc>
          <w:tcPr>
            <w:tcW w:w="141" w:type="dxa"/>
            <w:tcBorders/>
            <w:vAlign w:val="bottom"/>
          </w:tcPr>
          <w:p>
            <w:pPr>
              <w:pStyle w:val="TableContents"/>
              <w:bidi w:val="0"/>
              <w:spacing w:before="0" w:after="283"/>
              <w:jc w:val="left"/>
              <w:rPr/>
            </w:pPr>
            <w:r>
              <w:rPr/>
              <w:t>  </w:t>
            </w:r>
          </w:p>
        </w:tc>
        <w:tc>
          <w:tcPr>
            <w:tcW w:w="1771" w:type="dxa"/>
            <w:tcBorders/>
          </w:tcPr>
          <w:p>
            <w:pPr>
              <w:pStyle w:val="TableContents"/>
              <w:bidi w:val="0"/>
              <w:spacing w:before="0" w:after="283"/>
              <w:jc w:val="left"/>
              <w:rPr>
                <w:sz w:val="4"/>
                <w:szCs w:val="4"/>
              </w:rPr>
            </w:pPr>
            <w:r>
              <w:rPr>
                <w:sz w:val="4"/>
                <w:szCs w:val="4"/>
              </w:rPr>
            </w:r>
          </w:p>
        </w:tc>
      </w:tr>
      <w:tr>
        <w:trPr/>
        <w:tc>
          <w:tcPr>
            <w:tcW w:w="8293" w:type="dxa"/>
            <w:tcBorders/>
          </w:tcPr>
          <w:p>
            <w:pPr>
              <w:pStyle w:val="TableContents"/>
              <w:bidi w:val="0"/>
              <w:spacing w:before="0" w:after="283"/>
              <w:jc w:val="left"/>
              <w:rPr>
                <w:b/>
              </w:rPr>
            </w:pPr>
            <w:r>
              <w:rPr>
                <w:b/>
              </w:rPr>
              <w:t>SUPPLEMENTAL FINANCIAL INFORMATION- RECONCILIATION OF NET EARNINGS TO ADJUSTED EARNINGS AND ADJUSTED EPS (earnings per share) (1)</w:t>
            </w:r>
          </w:p>
        </w:tc>
        <w:tc>
          <w:tcPr>
            <w:tcW w:w="141" w:type="dxa"/>
            <w:tcBorders/>
            <w:vAlign w:val="bottom"/>
          </w:tcPr>
          <w:p>
            <w:pPr>
              <w:pStyle w:val="TableContents"/>
              <w:bidi w:val="0"/>
              <w:spacing w:before="0" w:after="283"/>
              <w:jc w:val="left"/>
              <w:rPr/>
            </w:pPr>
            <w:r>
              <w:rPr/>
              <w:t>  </w:t>
            </w:r>
          </w:p>
        </w:tc>
        <w:tc>
          <w:tcPr>
            <w:tcW w:w="1771" w:type="dxa"/>
            <w:tcBorders/>
          </w:tcPr>
          <w:p>
            <w:pPr>
              <w:pStyle w:val="TableContents"/>
              <w:bidi w:val="0"/>
              <w:spacing w:before="0" w:after="283"/>
              <w:jc w:val="left"/>
              <w:rPr>
                <w:b/>
              </w:rPr>
            </w:pPr>
            <w:r>
              <w:rPr>
                <w:b/>
              </w:rPr>
              <w:t>October 19, 2026</w:t>
            </w:r>
          </w:p>
        </w:tc>
      </w:tr>
      <w:tr>
        <w:trPr/>
        <w:tc>
          <w:tcPr>
            <w:tcW w:w="8293" w:type="dxa"/>
            <w:tcBorders/>
          </w:tcPr>
          <w:p>
            <w:pPr>
              <w:pStyle w:val="TableContents"/>
              <w:bidi w:val="0"/>
              <w:spacing w:before="0" w:after="283"/>
              <w:jc w:val="left"/>
              <w:rPr/>
            </w:pPr>
            <w:r>
              <w:rPr/>
              <w:t>(Unaudited)</w:t>
            </w:r>
          </w:p>
        </w:tc>
        <w:tc>
          <w:tcPr>
            <w:tcW w:w="141" w:type="dxa"/>
            <w:tcBorders/>
            <w:vAlign w:val="bottom"/>
          </w:tcPr>
          <w:p>
            <w:pPr>
              <w:pStyle w:val="TableContents"/>
              <w:bidi w:val="0"/>
              <w:spacing w:before="0" w:after="283"/>
              <w:jc w:val="left"/>
              <w:rPr/>
            </w:pPr>
            <w:r>
              <w:rPr/>
              <w:t>  </w:t>
            </w:r>
          </w:p>
        </w:tc>
        <w:tc>
          <w:tcPr>
            <w:tcW w:w="1771" w:type="dxa"/>
            <w:tcBorders/>
          </w:tcPr>
          <w:p>
            <w:pPr>
              <w:pStyle w:val="TableContents"/>
              <w:bidi w:val="0"/>
              <w:spacing w:before="0" w:after="283"/>
              <w:jc w:val="center"/>
              <w:rPr>
                <w:b/>
              </w:rPr>
            </w:pPr>
            <w:r>
              <w:rPr>
                <w:b/>
              </w:rPr>
              <w:t>Page 6</w:t>
            </w:r>
          </w:p>
        </w:tc>
      </w:tr>
      <w:tr>
        <w:trPr/>
        <w:tc>
          <w:tcPr>
            <w:tcW w:w="8293" w:type="dxa"/>
            <w:tcBorders/>
          </w:tcPr>
          <w:p>
            <w:pPr>
              <w:pStyle w:val="TableContents"/>
              <w:bidi w:val="0"/>
              <w:spacing w:before="0" w:after="283"/>
              <w:jc w:val="left"/>
              <w:rPr/>
            </w:pPr>
            <w:r>
              <w:rPr/>
              <w:t>(millions of U.S. dollars)</w:t>
            </w:r>
          </w:p>
        </w:tc>
        <w:tc>
          <w:tcPr>
            <w:tcW w:w="141" w:type="dxa"/>
            <w:tcBorders/>
            <w:vAlign w:val="bottom"/>
          </w:tcPr>
          <w:p>
            <w:pPr>
              <w:pStyle w:val="TableContents"/>
              <w:bidi w:val="0"/>
              <w:spacing w:before="0" w:after="283"/>
              <w:jc w:val="left"/>
              <w:rPr/>
            </w:pPr>
            <w:r>
              <w:rPr/>
              <w:t>  </w:t>
            </w:r>
          </w:p>
        </w:tc>
        <w:tc>
          <w:tcPr>
            <w:tcW w:w="1771"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8920" w:type="dxa"/>
        <w:jc w:val="center"/>
        <w:tblInd w:w="0" w:type="dxa"/>
        <w:tblLayout w:type="fixed"/>
        <w:tblCellMar>
          <w:top w:w="0" w:type="dxa"/>
          <w:left w:w="0" w:type="dxa"/>
          <w:bottom w:w="0" w:type="dxa"/>
          <w:right w:w="0" w:type="dxa"/>
        </w:tblCellMar>
      </w:tblPr>
      <w:tblGrid>
        <w:gridCol w:w="1700"/>
        <w:gridCol w:w="120"/>
        <w:gridCol w:w="106"/>
        <w:gridCol w:w="1204"/>
        <w:gridCol w:w="60"/>
        <w:gridCol w:w="120"/>
        <w:gridCol w:w="123"/>
        <w:gridCol w:w="1187"/>
        <w:gridCol w:w="60"/>
        <w:gridCol w:w="120"/>
        <w:gridCol w:w="92"/>
        <w:gridCol w:w="1053"/>
        <w:gridCol w:w="60"/>
        <w:gridCol w:w="120"/>
        <w:gridCol w:w="126"/>
        <w:gridCol w:w="1184"/>
        <w:gridCol w:w="60"/>
        <w:gridCol w:w="120"/>
        <w:gridCol w:w="152"/>
        <w:gridCol w:w="1158"/>
        <w:gridCol w:w="60"/>
        <w:gridCol w:w="120"/>
        <w:gridCol w:w="110"/>
        <w:gridCol w:w="1035"/>
        <w:gridCol w:w="60"/>
        <w:gridCol w:w="120"/>
        <w:gridCol w:w="126"/>
        <w:gridCol w:w="1184"/>
        <w:gridCol w:w="60"/>
        <w:gridCol w:w="120"/>
        <w:gridCol w:w="152"/>
        <w:gridCol w:w="1158"/>
        <w:gridCol w:w="60"/>
        <w:gridCol w:w="120"/>
        <w:gridCol w:w="116"/>
        <w:gridCol w:w="1029"/>
        <w:gridCol w:w="60"/>
        <w:gridCol w:w="120"/>
        <w:gridCol w:w="126"/>
        <w:gridCol w:w="1184"/>
        <w:gridCol w:w="60"/>
        <w:gridCol w:w="120"/>
        <w:gridCol w:w="123"/>
        <w:gridCol w:w="1187"/>
        <w:gridCol w:w="60"/>
        <w:gridCol w:w="120"/>
        <w:gridCol w:w="110"/>
        <w:gridCol w:w="1035"/>
        <w:gridCol w:w="60"/>
      </w:tblGrid>
      <w:tr>
        <w:trPr/>
        <w:tc>
          <w:tcPr>
            <w:tcW w:w="17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70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125" w:type="dxa"/>
            <w:gridSpan w:val="10"/>
            <w:tcBorders/>
            <w:vAlign w:val="bottom"/>
          </w:tcPr>
          <w:p>
            <w:pPr>
              <w:pStyle w:val="TableContents"/>
              <w:bidi w:val="0"/>
              <w:spacing w:before="0" w:after="283"/>
              <w:jc w:val="center"/>
              <w:rPr>
                <w:b/>
                <w:u w:val="single"/>
              </w:rPr>
            </w:pPr>
            <w:r>
              <w:rPr>
                <w:b/>
                <w:u w:val="single"/>
              </w:rPr>
              <w:t>Three Months Ended March 31, 2025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125" w:type="dxa"/>
            <w:gridSpan w:val="10"/>
            <w:tcBorders/>
            <w:vAlign w:val="bottom"/>
          </w:tcPr>
          <w:p>
            <w:pPr>
              <w:pStyle w:val="TableContents"/>
              <w:bidi w:val="0"/>
              <w:spacing w:before="0" w:after="283"/>
              <w:jc w:val="center"/>
              <w:rPr>
                <w:b/>
                <w:u w:val="single"/>
              </w:rPr>
            </w:pPr>
            <w:r>
              <w:rPr>
                <w:b/>
                <w:u w:val="single"/>
              </w:rPr>
              <w:t>Three Months Ended June 30, 2025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125" w:type="dxa"/>
            <w:gridSpan w:val="10"/>
            <w:tcBorders/>
            <w:vAlign w:val="bottom"/>
          </w:tcPr>
          <w:p>
            <w:pPr>
              <w:pStyle w:val="TableContents"/>
              <w:bidi w:val="0"/>
              <w:spacing w:before="0" w:after="283"/>
              <w:jc w:val="center"/>
              <w:rPr>
                <w:b/>
                <w:u w:val="single"/>
              </w:rPr>
            </w:pPr>
            <w:r>
              <w:rPr>
                <w:b/>
                <w:u w:val="single"/>
              </w:rPr>
              <w:t>Three Months Ended September 30, 2025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125" w:type="dxa"/>
            <w:gridSpan w:val="10"/>
            <w:tcBorders/>
            <w:vAlign w:val="bottom"/>
          </w:tcPr>
          <w:p>
            <w:pPr>
              <w:pStyle w:val="TableContents"/>
              <w:bidi w:val="0"/>
              <w:spacing w:before="0" w:after="283"/>
              <w:jc w:val="center"/>
              <w:rPr>
                <w:b/>
                <w:u w:val="single"/>
              </w:rPr>
            </w:pPr>
            <w:r>
              <w:rPr>
                <w:b/>
                <w:u w:val="single"/>
              </w:rPr>
              <w:t>Three Months Ended December 31, 2025</w:t>
            </w:r>
          </w:p>
        </w:tc>
        <w:tc>
          <w:tcPr>
            <w:tcW w:w="60" w:type="dxa"/>
            <w:tcBorders/>
            <w:vAlign w:val="bottom"/>
          </w:tcPr>
          <w:p>
            <w:pPr>
              <w:pStyle w:val="TableContents"/>
              <w:bidi w:val="0"/>
              <w:spacing w:before="0" w:after="283"/>
              <w:jc w:val="left"/>
              <w:rPr/>
            </w:pPr>
            <w:r>
              <w:rPr/>
              <w:t> </w:t>
            </w:r>
          </w:p>
        </w:tc>
      </w:tr>
      <w:tr>
        <w:trPr/>
        <w:tc>
          <w:tcPr>
            <w:tcW w:w="170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center"/>
              <w:rPr>
                <w:b/>
                <w:u w:val="single"/>
              </w:rPr>
            </w:pPr>
            <w:r>
              <w:rPr>
                <w:b/>
                <w:u w:val="single"/>
              </w:rPr>
              <w:t>As Reported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center"/>
              <w:rPr>
                <w:b/>
                <w:u w:val="single"/>
              </w:rPr>
            </w:pPr>
            <w:r>
              <w:rPr>
                <w:b/>
                <w:u w:val="single"/>
              </w:rPr>
              <w:t>Adjustments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45" w:type="dxa"/>
            <w:gridSpan w:val="2"/>
            <w:tcBorders/>
            <w:vAlign w:val="bottom"/>
          </w:tcPr>
          <w:p>
            <w:pPr>
              <w:pStyle w:val="TableContents"/>
              <w:bidi w:val="0"/>
              <w:spacing w:before="0" w:after="283"/>
              <w:jc w:val="center"/>
              <w:rPr>
                <w:b/>
                <w:u w:val="single"/>
              </w:rPr>
            </w:pPr>
            <w:r>
              <w:rPr>
                <w:b/>
                <w:u w:val="single"/>
              </w:rPr>
              <w:t>As Revised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center"/>
              <w:rPr>
                <w:b/>
                <w:u w:val="single"/>
              </w:rPr>
            </w:pPr>
            <w:r>
              <w:rPr>
                <w:b/>
                <w:u w:val="single"/>
              </w:rPr>
              <w:t>As Reported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center"/>
              <w:rPr>
                <w:b/>
                <w:u w:val="single"/>
              </w:rPr>
            </w:pPr>
            <w:r>
              <w:rPr>
                <w:b/>
                <w:u w:val="single"/>
              </w:rPr>
              <w:t>Adjustments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45" w:type="dxa"/>
            <w:gridSpan w:val="2"/>
            <w:tcBorders/>
            <w:vAlign w:val="bottom"/>
          </w:tcPr>
          <w:p>
            <w:pPr>
              <w:pStyle w:val="TableContents"/>
              <w:bidi w:val="0"/>
              <w:spacing w:before="0" w:after="283"/>
              <w:jc w:val="center"/>
              <w:rPr>
                <w:b/>
                <w:u w:val="single"/>
              </w:rPr>
            </w:pPr>
            <w:r>
              <w:rPr>
                <w:b/>
                <w:u w:val="single"/>
              </w:rPr>
              <w:t>As Revised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center"/>
              <w:rPr>
                <w:b/>
                <w:u w:val="single"/>
              </w:rPr>
            </w:pPr>
            <w:r>
              <w:rPr>
                <w:b/>
                <w:u w:val="single"/>
              </w:rPr>
              <w:t>As Reported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center"/>
              <w:rPr>
                <w:b/>
                <w:u w:val="single"/>
              </w:rPr>
            </w:pPr>
            <w:r>
              <w:rPr>
                <w:b/>
                <w:u w:val="single"/>
              </w:rPr>
              <w:t>Adjustments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45" w:type="dxa"/>
            <w:gridSpan w:val="2"/>
            <w:tcBorders/>
            <w:vAlign w:val="bottom"/>
          </w:tcPr>
          <w:p>
            <w:pPr>
              <w:pStyle w:val="TableContents"/>
              <w:bidi w:val="0"/>
              <w:spacing w:before="0" w:after="283"/>
              <w:jc w:val="center"/>
              <w:rPr>
                <w:b/>
                <w:u w:val="single"/>
              </w:rPr>
            </w:pPr>
            <w:r>
              <w:rPr>
                <w:b/>
                <w:u w:val="single"/>
              </w:rPr>
              <w:t>As Revised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center"/>
              <w:rPr>
                <w:b/>
                <w:u w:val="single"/>
              </w:rPr>
            </w:pPr>
            <w:r>
              <w:rPr>
                <w:b/>
                <w:u w:val="single"/>
              </w:rPr>
              <w:t>As Reported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center"/>
              <w:rPr>
                <w:b/>
                <w:u w:val="single"/>
              </w:rPr>
            </w:pPr>
            <w:r>
              <w:rPr>
                <w:b/>
                <w:u w:val="single"/>
              </w:rPr>
              <w:t>Adjustments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45" w:type="dxa"/>
            <w:gridSpan w:val="2"/>
            <w:tcBorders/>
            <w:vAlign w:val="bottom"/>
          </w:tcPr>
          <w:p>
            <w:pPr>
              <w:pStyle w:val="TableContents"/>
              <w:bidi w:val="0"/>
              <w:spacing w:before="0" w:after="283"/>
              <w:jc w:val="center"/>
              <w:rPr>
                <w:b/>
                <w:u w:val="single"/>
              </w:rPr>
            </w:pPr>
            <w:r>
              <w:rPr>
                <w:b/>
                <w:u w:val="single"/>
              </w:rPr>
              <w:t>As Revised</w:t>
            </w:r>
          </w:p>
        </w:tc>
        <w:tc>
          <w:tcPr>
            <w:tcW w:w="60"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Calibri" w:hAnsi="Calibri"/>
                <w:b/>
                <w:sz w:val="12"/>
              </w:rPr>
            </w:pPr>
            <w:r>
              <w:rPr>
                <w:rFonts w:ascii="Calibri" w:hAnsi="Calibri"/>
                <w:b/>
                <w:sz w:val="12"/>
              </w:rPr>
              <w:t>Net Earnings</w:t>
            </w:r>
          </w:p>
        </w:tc>
        <w:tc>
          <w:tcPr>
            <w:tcW w:w="12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$434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$434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$313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$313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$423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$423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$332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$332</w:t>
            </w:r>
          </w:p>
        </w:tc>
        <w:tc>
          <w:tcPr>
            <w:tcW w:w="60"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Calibri" w:hAnsi="Calibri"/>
                <w:sz w:val="12"/>
              </w:rPr>
            </w:pPr>
            <w:r>
              <w:rPr>
                <w:rFonts w:ascii="Calibri" w:hAnsi="Calibri"/>
                <w:sz w:val="12"/>
              </w:rPr>
              <w:t>Adjustments to remove:</w:t>
            </w:r>
          </w:p>
        </w:tc>
        <w:tc>
          <w:tcPr>
            <w:tcW w:w="12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sz w:val="4"/>
                <w:szCs w:val="4"/>
              </w:rPr>
            </w:pPr>
            <w:r>
              <w:rPr>
                <w:sz w:val="4"/>
                <w:szCs w:val="4"/>
              </w:rPr>
            </w:r>
          </w:p>
        </w:tc>
        <w:tc>
          <w:tcPr>
            <w:tcW w:w="120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sz w:val="4"/>
                <w:szCs w:val="4"/>
              </w:rPr>
            </w:pPr>
            <w:r>
              <w:rPr>
                <w:sz w:val="4"/>
                <w:szCs w:val="4"/>
              </w:rPr>
            </w:r>
          </w:p>
        </w:tc>
        <w:tc>
          <w:tcPr>
            <w:tcW w:w="11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sz w:val="4"/>
                <w:szCs w:val="4"/>
              </w:rPr>
            </w:pPr>
            <w:r>
              <w:rPr>
                <w:sz w:val="4"/>
                <w:szCs w:val="4"/>
              </w:rPr>
            </w:r>
          </w:p>
        </w:tc>
        <w:tc>
          <w:tcPr>
            <w:tcW w:w="105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sz w:val="4"/>
                <w:szCs w:val="4"/>
              </w:rPr>
            </w:pPr>
            <w:r>
              <w:rPr>
                <w:sz w:val="4"/>
                <w:szCs w:val="4"/>
              </w:rPr>
            </w:r>
          </w:p>
        </w:tc>
        <w:tc>
          <w:tcPr>
            <w:tcW w:w="118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11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0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sz w:val="4"/>
                <w:szCs w:val="4"/>
              </w:rPr>
            </w:pPr>
            <w:r>
              <w:rPr>
                <w:sz w:val="4"/>
                <w:szCs w:val="4"/>
              </w:rPr>
            </w:r>
          </w:p>
        </w:tc>
        <w:tc>
          <w:tcPr>
            <w:tcW w:w="118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11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sz w:val="4"/>
                <w:szCs w:val="4"/>
              </w:rPr>
            </w:pPr>
            <w:r>
              <w:rPr>
                <w:sz w:val="4"/>
                <w:szCs w:val="4"/>
              </w:rPr>
            </w:r>
          </w:p>
        </w:tc>
        <w:tc>
          <w:tcPr>
            <w:tcW w:w="102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sz w:val="4"/>
                <w:szCs w:val="4"/>
              </w:rPr>
            </w:pPr>
            <w:r>
              <w:rPr>
                <w:sz w:val="4"/>
                <w:szCs w:val="4"/>
              </w:rPr>
            </w:r>
          </w:p>
        </w:tc>
        <w:tc>
          <w:tcPr>
            <w:tcW w:w="118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sz w:val="4"/>
                <w:szCs w:val="4"/>
              </w:rPr>
            </w:pPr>
            <w:r>
              <w:rPr>
                <w:sz w:val="4"/>
                <w:szCs w:val="4"/>
              </w:rPr>
            </w:r>
          </w:p>
        </w:tc>
        <w:tc>
          <w:tcPr>
            <w:tcW w:w="11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0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700" w:type="dxa"/>
            <w:tcBorders/>
          </w:tcPr>
          <w:p>
            <w:pPr>
              <w:pStyle w:val="TableContents"/>
              <w:bidi w:val="0"/>
              <w:spacing w:before="0" w:after="0"/>
              <w:jc w:val="left"/>
              <w:rPr>
                <w:rFonts w:ascii="Calibri" w:hAnsi="Calibri"/>
                <w:sz w:val="12"/>
              </w:rPr>
            </w:pPr>
            <w:r>
              <w:rPr>
                <w:rFonts w:ascii="Calibri" w:hAnsi="Calibri"/>
                <w:sz w:val="12"/>
              </w:rPr>
              <w:t>Fair value adjustments (2)</w:t>
            </w:r>
          </w:p>
        </w:tc>
        <w:tc>
          <w:tcPr>
            <w:tcW w:w="12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17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17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17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17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Calibri" w:hAnsi="Calibri"/>
                <w:sz w:val="12"/>
              </w:rPr>
            </w:pPr>
            <w:r>
              <w:rPr>
                <w:rFonts w:ascii="Calibri" w:hAnsi="Calibri"/>
                <w:sz w:val="12"/>
              </w:rPr>
              <w:t>Amortization of acquired software</w:t>
            </w:r>
          </w:p>
        </w:tc>
        <w:tc>
          <w:tcPr>
            <w:tcW w:w="12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49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49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52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11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52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52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52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53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53</w:t>
            </w:r>
          </w:p>
        </w:tc>
        <w:tc>
          <w:tcPr>
            <w:tcW w:w="60"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Calibri" w:hAnsi="Calibri"/>
                <w:sz w:val="12"/>
              </w:rPr>
            </w:pPr>
            <w:r>
              <w:rPr>
                <w:rFonts w:ascii="Calibri" w:hAnsi="Calibri"/>
                <w:sz w:val="12"/>
              </w:rPr>
              <w:t>Amortization of other identifiable intangible assets</w:t>
            </w:r>
          </w:p>
        </w:tc>
        <w:tc>
          <w:tcPr>
            <w:tcW w:w="12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25</w:t>
            </w:r>
          </w:p>
        </w:tc>
        <w:tc>
          <w:tcPr>
            <w:tcW w:w="60"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Calibri" w:hAnsi="Calibri"/>
                <w:sz w:val="12"/>
              </w:rPr>
            </w:pPr>
            <w:r>
              <w:rPr>
                <w:rFonts w:ascii="Calibri" w:hAnsi="Calibri"/>
                <w:sz w:val="12"/>
              </w:rPr>
              <w:t>Other operating losses (gains), net</w:t>
            </w:r>
          </w:p>
        </w:tc>
        <w:tc>
          <w:tcPr>
            <w:tcW w:w="12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(160)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(160)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(3)</w:t>
            </w:r>
          </w:p>
        </w:tc>
        <w:tc>
          <w:tcPr>
            <w:tcW w:w="60"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Calibri" w:hAnsi="Calibri"/>
                <w:sz w:val="12"/>
              </w:rPr>
            </w:pPr>
            <w:r>
              <w:rPr>
                <w:rFonts w:ascii="Calibri" w:hAnsi="Calibri"/>
                <w:sz w:val="12"/>
              </w:rPr>
              <w:t>Other finance costs (income)</w:t>
            </w:r>
          </w:p>
        </w:tc>
        <w:tc>
          <w:tcPr>
            <w:tcW w:w="12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10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10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48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48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4</w:t>
            </w:r>
          </w:p>
        </w:tc>
        <w:tc>
          <w:tcPr>
            <w:tcW w:w="60"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Calibri" w:hAnsi="Calibri"/>
                <w:sz w:val="12"/>
              </w:rPr>
            </w:pPr>
            <w:r>
              <w:rPr>
                <w:rFonts w:ascii="Calibri" w:hAnsi="Calibri"/>
                <w:sz w:val="12"/>
              </w:rPr>
              <w:t>Share of post-tax losses in equity method investments</w:t>
            </w:r>
          </w:p>
        </w:tc>
        <w:tc>
          <w:tcPr>
            <w:tcW w:w="12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13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13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Calibri" w:hAnsi="Calibri"/>
                <w:sz w:val="12"/>
              </w:rPr>
            </w:pPr>
            <w:r>
              <w:rPr>
                <w:rFonts w:ascii="Calibri" w:hAnsi="Calibri"/>
                <w:sz w:val="12"/>
              </w:rPr>
              <w:t>Tax on above items</w:t>
            </w:r>
          </w:p>
        </w:tc>
        <w:tc>
          <w:tcPr>
            <w:tcW w:w="12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(22)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(22)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16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16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Calibri" w:hAnsi="Calibri"/>
                <w:sz w:val="12"/>
              </w:rPr>
            </w:pPr>
            <w:r>
              <w:rPr>
                <w:rFonts w:ascii="Calibri" w:hAnsi="Calibri"/>
                <w:sz w:val="12"/>
              </w:rPr>
              <w:t>Tax items impacting comparability</w:t>
            </w:r>
          </w:p>
        </w:tc>
        <w:tc>
          <w:tcPr>
            <w:tcW w:w="12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(21)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(21)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11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11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66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sz w:val="4"/>
                <w:szCs w:val="4"/>
              </w:rPr>
            </w:pPr>
            <w:r>
              <w:rPr>
                <w:sz w:val="4"/>
                <w:szCs w:val="4"/>
              </w:rPr>
            </w:r>
          </w:p>
        </w:tc>
        <w:tc>
          <w:tcPr>
            <w:tcW w:w="11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66</w:t>
            </w:r>
          </w:p>
        </w:tc>
        <w:tc>
          <w:tcPr>
            <w:tcW w:w="60"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Calibri" w:hAnsi="Calibri"/>
                <w:sz w:val="12"/>
              </w:rPr>
            </w:pPr>
            <w:r>
              <w:rPr>
                <w:rFonts w:ascii="Calibri" w:hAnsi="Calibri"/>
                <w:sz w:val="12"/>
              </w:rPr>
              <w:t>(Earnings) loss from discontinued operations, net of tax</w:t>
            </w:r>
          </w:p>
        </w:tc>
        <w:tc>
          <w:tcPr>
            <w:tcW w:w="12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(63)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(72)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(16)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(60)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(76)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(64)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(59)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(71)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(70)</w:t>
            </w:r>
          </w:p>
        </w:tc>
        <w:tc>
          <w:tcPr>
            <w:tcW w:w="60"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Calibri" w:hAnsi="Calibri"/>
                <w:sz w:val="12"/>
              </w:rPr>
            </w:pPr>
            <w:r>
              <w:rPr>
                <w:rFonts w:ascii="Calibri" w:hAnsi="Calibri"/>
                <w:sz w:val="12"/>
              </w:rPr>
              <w:t>Interim period effective tax rate normalization (3)</w:t>
            </w:r>
          </w:p>
        </w:tc>
        <w:tc>
          <w:tcPr>
            <w:tcW w:w="12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sz w:val="4"/>
                <w:szCs w:val="4"/>
              </w:rPr>
            </w:pPr>
            <w:r>
              <w:rPr>
                <w:sz w:val="4"/>
                <w:szCs w:val="4"/>
              </w:rPr>
            </w:r>
          </w:p>
        </w:tc>
        <w:tc>
          <w:tcPr>
            <w:tcW w:w="11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Calibri" w:hAnsi="Calibri"/>
                <w:sz w:val="12"/>
              </w:rPr>
            </w:pPr>
            <w:r>
              <w:rPr>
                <w:rFonts w:ascii="Calibri" w:hAnsi="Calibri"/>
                <w:sz w:val="12"/>
              </w:rPr>
              <w:t>Dividends declared on preference shares</w:t>
            </w:r>
          </w:p>
        </w:tc>
        <w:tc>
          <w:tcPr>
            <w:tcW w:w="12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r>
      <w:tr>
        <w:trPr/>
        <w:tc>
          <w:tcPr>
            <w:tcW w:w="170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4019" w:type="dxa"/>
            <w:gridSpan w:val="9"/>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pBdr>
                <w:top w:val="single" w:sz="2" w:space="1" w:color="000000"/>
              </w:pBdr>
              <w:bidi w:val="0"/>
              <w:spacing w:before="0" w:after="0"/>
              <w:jc w:val="left"/>
              <w:rPr/>
            </w:pPr>
            <w:r>
              <w:rPr/>
              <w:t> </w:t>
            </w:r>
          </w:p>
        </w:tc>
        <w:tc>
          <w:tcPr>
            <w:tcW w:w="3999" w:type="dxa"/>
            <w:gridSpan w:val="9"/>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pBdr>
                <w:top w:val="single" w:sz="2" w:space="1" w:color="000000"/>
              </w:pBdr>
              <w:bidi w:val="0"/>
              <w:spacing w:before="0" w:after="0"/>
              <w:jc w:val="left"/>
              <w:rPr/>
            </w:pPr>
            <w:r>
              <w:rPr/>
              <w:t> </w:t>
            </w:r>
          </w:p>
        </w:tc>
        <w:tc>
          <w:tcPr>
            <w:tcW w:w="3999" w:type="dxa"/>
            <w:gridSpan w:val="9"/>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pBdr>
                <w:top w:val="single" w:sz="2" w:space="1" w:color="000000"/>
              </w:pBdr>
              <w:bidi w:val="0"/>
              <w:spacing w:before="0" w:after="0"/>
              <w:jc w:val="left"/>
              <w:rPr/>
            </w:pPr>
            <w:r>
              <w:rPr/>
              <w:t> </w:t>
            </w:r>
          </w:p>
        </w:tc>
        <w:tc>
          <w:tcPr>
            <w:tcW w:w="3999" w:type="dxa"/>
            <w:gridSpan w:val="9"/>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700" w:type="dxa"/>
            <w:tcBorders/>
            <w:vAlign w:val="bottom"/>
          </w:tcPr>
          <w:p>
            <w:pPr>
              <w:pStyle w:val="TableContents"/>
              <w:bidi w:val="0"/>
              <w:spacing w:before="0" w:after="0"/>
              <w:jc w:val="left"/>
              <w:rPr>
                <w:rFonts w:ascii="Calibri" w:hAnsi="Calibri"/>
                <w:b/>
                <w:sz w:val="12"/>
              </w:rPr>
            </w:pPr>
            <w:r>
              <w:rPr>
                <w:rFonts w:ascii="Calibri" w:hAnsi="Calibri"/>
                <w:b/>
                <w:sz w:val="12"/>
              </w:rPr>
              <w:t>Adjusted Earnings(1)</w:t>
            </w:r>
          </w:p>
        </w:tc>
        <w:tc>
          <w:tcPr>
            <w:tcW w:w="12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b/>
              </w:rPr>
            </w:pPr>
            <w:r>
              <w:rPr>
                <w:b/>
              </w:rPr>
              <w:t>$506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b/>
              </w:rPr>
            </w:pPr>
            <w:r>
              <w:rPr>
                <w:b/>
              </w:rPr>
              <w:t>($63)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b/>
              </w:rPr>
            </w:pPr>
            <w:r>
              <w:rPr>
                <w:b/>
              </w:rPr>
              <w:t>$443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b/>
              </w:rPr>
            </w:pPr>
            <w:r>
              <w:rPr>
                <w:b/>
              </w:rPr>
              <w:t>$394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b/>
              </w:rPr>
            </w:pPr>
            <w:r>
              <w:rPr>
                <w:b/>
              </w:rPr>
              <w:t>($60)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b/>
              </w:rPr>
            </w:pPr>
            <w:r>
              <w:rPr>
                <w:b/>
              </w:rPr>
              <w:t>$334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b/>
              </w:rPr>
            </w:pPr>
            <w:r>
              <w:rPr>
                <w:b/>
              </w:rPr>
              <w:t>$383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b/>
              </w:rPr>
            </w:pPr>
            <w:r>
              <w:rPr>
                <w:b/>
              </w:rPr>
              <w:t>($64)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b/>
              </w:rPr>
            </w:pPr>
            <w:r>
              <w:rPr>
                <w:b/>
              </w:rPr>
              <w:t>$319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b/>
              </w:rPr>
            </w:pPr>
            <w:r>
              <w:rPr>
                <w:b/>
              </w:rPr>
              <w:t>$479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b/>
              </w:rPr>
            </w:pPr>
            <w:r>
              <w:rPr>
                <w:b/>
              </w:rPr>
              <w:t>($72)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b/>
              </w:rPr>
            </w:pPr>
            <w:r>
              <w:rPr>
                <w:b/>
              </w:rPr>
              <w:t>$407</w:t>
            </w:r>
          </w:p>
        </w:tc>
        <w:tc>
          <w:tcPr>
            <w:tcW w:w="60" w:type="dxa"/>
            <w:tcBorders/>
            <w:vAlign w:val="bottom"/>
          </w:tcPr>
          <w:p>
            <w:pPr>
              <w:pStyle w:val="TableContents"/>
              <w:bidi w:val="0"/>
              <w:spacing w:before="0" w:after="283"/>
              <w:jc w:val="left"/>
              <w:rPr/>
            </w:pPr>
            <w:r>
              <w:rPr/>
              <w:t> </w:t>
            </w:r>
          </w:p>
        </w:tc>
      </w:tr>
      <w:tr>
        <w:trPr/>
        <w:tc>
          <w:tcPr>
            <w:tcW w:w="170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12" w:space="1" w:color="000000"/>
              </w:pBdr>
              <w:bidi w:val="0"/>
              <w:spacing w:before="0" w:after="0"/>
              <w:jc w:val="left"/>
              <w:rPr/>
            </w:pPr>
            <w:r>
              <w:rPr/>
              <w:t> </w:t>
            </w:r>
          </w:p>
        </w:tc>
        <w:tc>
          <w:tcPr>
            <w:tcW w:w="4019" w:type="dxa"/>
            <w:gridSpan w:val="9"/>
            <w:tcBorders/>
            <w:vAlign w:val="bottom"/>
          </w:tcPr>
          <w:p>
            <w:pPr>
              <w:pStyle w:val="TableContents"/>
              <w:pBdr>
                <w:top w:val="single" w:sz="1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pBdr>
                <w:top w:val="single" w:sz="12" w:space="1" w:color="000000"/>
              </w:pBdr>
              <w:bidi w:val="0"/>
              <w:spacing w:before="0" w:after="0"/>
              <w:jc w:val="left"/>
              <w:rPr/>
            </w:pPr>
            <w:r>
              <w:rPr/>
              <w:t> </w:t>
            </w:r>
          </w:p>
        </w:tc>
        <w:tc>
          <w:tcPr>
            <w:tcW w:w="3999" w:type="dxa"/>
            <w:gridSpan w:val="9"/>
            <w:tcBorders/>
            <w:vAlign w:val="bottom"/>
          </w:tcPr>
          <w:p>
            <w:pPr>
              <w:pStyle w:val="TableContents"/>
              <w:pBdr>
                <w:top w:val="single" w:sz="1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pBdr>
                <w:top w:val="single" w:sz="12" w:space="1" w:color="000000"/>
              </w:pBdr>
              <w:bidi w:val="0"/>
              <w:spacing w:before="0" w:after="0"/>
              <w:jc w:val="left"/>
              <w:rPr/>
            </w:pPr>
            <w:r>
              <w:rPr/>
              <w:t> </w:t>
            </w:r>
          </w:p>
        </w:tc>
        <w:tc>
          <w:tcPr>
            <w:tcW w:w="3999" w:type="dxa"/>
            <w:gridSpan w:val="9"/>
            <w:tcBorders/>
            <w:vAlign w:val="bottom"/>
          </w:tcPr>
          <w:p>
            <w:pPr>
              <w:pStyle w:val="TableContents"/>
              <w:pBdr>
                <w:top w:val="single" w:sz="1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pBdr>
                <w:top w:val="single" w:sz="12" w:space="1" w:color="000000"/>
              </w:pBdr>
              <w:bidi w:val="0"/>
              <w:spacing w:before="0" w:after="0"/>
              <w:jc w:val="left"/>
              <w:rPr/>
            </w:pPr>
            <w:r>
              <w:rPr/>
              <w:t> </w:t>
            </w:r>
          </w:p>
        </w:tc>
        <w:tc>
          <w:tcPr>
            <w:tcW w:w="3999" w:type="dxa"/>
            <w:gridSpan w:val="9"/>
            <w:tcBorders/>
            <w:vAlign w:val="bottom"/>
          </w:tcPr>
          <w:p>
            <w:pPr>
              <w:pStyle w:val="TableContents"/>
              <w:pBdr>
                <w:top w:val="single" w:sz="1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700" w:type="dxa"/>
            <w:tcBorders/>
            <w:vAlign w:val="bottom"/>
          </w:tcPr>
          <w:p>
            <w:pPr>
              <w:pStyle w:val="TableContents"/>
              <w:bidi w:val="0"/>
              <w:spacing w:before="0" w:after="0"/>
              <w:jc w:val="left"/>
              <w:rPr>
                <w:rFonts w:ascii="Calibri" w:hAnsi="Calibri"/>
                <w:b/>
                <w:sz w:val="12"/>
              </w:rPr>
            </w:pPr>
            <w:r>
              <w:rPr>
                <w:rFonts w:ascii="Calibri" w:hAnsi="Calibri"/>
                <w:b/>
                <w:sz w:val="12"/>
              </w:rPr>
              <w:t>Adjusted EPS (1)</w:t>
            </w:r>
          </w:p>
        </w:tc>
        <w:tc>
          <w:tcPr>
            <w:tcW w:w="12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b/>
              </w:rPr>
            </w:pPr>
            <w:r>
              <w:rPr>
                <w:b/>
              </w:rPr>
              <w:t>$1.12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sz w:val="4"/>
                <w:szCs w:val="4"/>
              </w:rPr>
            </w:pPr>
            <w:r>
              <w:rPr>
                <w:sz w:val="4"/>
                <w:szCs w:val="4"/>
              </w:rPr>
            </w:r>
          </w:p>
        </w:tc>
        <w:tc>
          <w:tcPr>
            <w:tcW w:w="11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b/>
              </w:rPr>
            </w:pPr>
            <w:r>
              <w:rPr>
                <w:b/>
              </w:rPr>
              <w:t>$0.98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b/>
              </w:rPr>
            </w:pPr>
            <w:r>
              <w:rPr>
                <w:b/>
              </w:rPr>
              <w:t>$0.87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11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b/>
              </w:rPr>
            </w:pPr>
            <w:r>
              <w:rPr>
                <w:b/>
              </w:rPr>
              <w:t>$0.74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b/>
              </w:rPr>
            </w:pPr>
            <w:r>
              <w:rPr>
                <w:b/>
              </w:rPr>
              <w:t>$0.85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11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b/>
              </w:rPr>
            </w:pPr>
            <w:r>
              <w:rPr>
                <w:b/>
              </w:rPr>
              <w:t>$0.71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b/>
              </w:rPr>
            </w:pPr>
            <w:r>
              <w:rPr>
                <w:b/>
              </w:rPr>
              <w:t>$1.07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sz w:val="4"/>
                <w:szCs w:val="4"/>
              </w:rPr>
            </w:pPr>
            <w:r>
              <w:rPr>
                <w:sz w:val="4"/>
                <w:szCs w:val="4"/>
              </w:rPr>
            </w:r>
          </w:p>
        </w:tc>
        <w:tc>
          <w:tcPr>
            <w:tcW w:w="11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b/>
              </w:rPr>
            </w:pPr>
            <w:r>
              <w:rPr>
                <w:b/>
              </w:rPr>
              <w:t>$0.91</w:t>
            </w:r>
          </w:p>
        </w:tc>
        <w:tc>
          <w:tcPr>
            <w:tcW w:w="60"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283"/>
              <w:jc w:val="left"/>
              <w:rPr/>
            </w:pPr>
            <w:r>
              <w:rPr/>
              <w:t>Diluted weighted-average common shares (millions)</w:t>
            </w:r>
          </w:p>
        </w:tc>
        <w:tc>
          <w:tcPr>
            <w:tcW w:w="12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450.8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sz w:val="4"/>
                <w:szCs w:val="4"/>
              </w:rPr>
            </w:pPr>
            <w:r>
              <w:rPr>
                <w:sz w:val="4"/>
                <w:szCs w:val="4"/>
              </w:rPr>
            </w:r>
          </w:p>
        </w:tc>
        <w:tc>
          <w:tcPr>
            <w:tcW w:w="11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450.8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451.2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11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451.2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450.3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11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450.3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445.6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sz w:val="4"/>
                <w:szCs w:val="4"/>
              </w:rPr>
            </w:pPr>
            <w:r>
              <w:rPr>
                <w:sz w:val="4"/>
                <w:szCs w:val="4"/>
              </w:rPr>
            </w:r>
          </w:p>
        </w:tc>
        <w:tc>
          <w:tcPr>
            <w:tcW w:w="11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445.6</w:t>
            </w:r>
          </w:p>
        </w:tc>
        <w:tc>
          <w:tcPr>
            <w:tcW w:w="60" w:type="dxa"/>
            <w:tcBorders/>
            <w:vAlign w:val="bottom"/>
          </w:tcPr>
          <w:p>
            <w:pPr>
              <w:pStyle w:val="TableContents"/>
              <w:bidi w:val="0"/>
              <w:spacing w:before="0" w:after="283"/>
              <w:jc w:val="left"/>
              <w:rPr/>
            </w:pPr>
            <w:r>
              <w:rPr/>
              <w:t> </w:t>
            </w:r>
          </w:p>
        </w:tc>
      </w:tr>
      <w:tr>
        <w:trPr>
          <w:trHeight w:val="240" w:hRule="atLeast"/>
        </w:trPr>
        <w:tc>
          <w:tcPr>
            <w:tcW w:w="1700" w:type="dxa"/>
            <w:tcBorders/>
            <w:vAlign w:val="center"/>
          </w:tcPr>
          <w:p>
            <w:pPr>
              <w:pStyle w:val="TableContents"/>
              <w:bidi w:val="0"/>
              <w:spacing w:before="0" w:after="283"/>
              <w:jc w:val="left"/>
              <w:rPr>
                <w:sz w:val="4"/>
                <w:szCs w:val="4"/>
              </w:rPr>
            </w:pPr>
            <w:r>
              <w:rPr>
                <w:sz w:val="4"/>
                <w:szCs w:val="4"/>
              </w:rPr>
            </w:r>
          </w:p>
        </w:tc>
        <w:tc>
          <w:tcPr>
            <w:tcW w:w="4305" w:type="dxa"/>
            <w:gridSpan w:val="12"/>
            <w:tcBorders/>
            <w:vAlign w:val="center"/>
          </w:tcPr>
          <w:p>
            <w:pPr>
              <w:pStyle w:val="TableContents"/>
              <w:bidi w:val="0"/>
              <w:spacing w:before="0" w:after="283"/>
              <w:jc w:val="left"/>
              <w:rPr>
                <w:sz w:val="4"/>
                <w:szCs w:val="4"/>
              </w:rPr>
            </w:pPr>
            <w:r>
              <w:rPr>
                <w:sz w:val="4"/>
                <w:szCs w:val="4"/>
              </w:rPr>
            </w:r>
          </w:p>
        </w:tc>
        <w:tc>
          <w:tcPr>
            <w:tcW w:w="4305" w:type="dxa"/>
            <w:gridSpan w:val="12"/>
            <w:tcBorders/>
            <w:vAlign w:val="center"/>
          </w:tcPr>
          <w:p>
            <w:pPr>
              <w:pStyle w:val="TableContents"/>
              <w:bidi w:val="0"/>
              <w:spacing w:before="0" w:after="283"/>
              <w:jc w:val="left"/>
              <w:rPr>
                <w:sz w:val="4"/>
                <w:szCs w:val="4"/>
              </w:rPr>
            </w:pPr>
            <w:r>
              <w:rPr>
                <w:sz w:val="4"/>
                <w:szCs w:val="4"/>
              </w:rPr>
            </w:r>
          </w:p>
        </w:tc>
        <w:tc>
          <w:tcPr>
            <w:tcW w:w="4305" w:type="dxa"/>
            <w:gridSpan w:val="12"/>
            <w:tcBorders/>
            <w:vAlign w:val="center"/>
          </w:tcPr>
          <w:p>
            <w:pPr>
              <w:pStyle w:val="TableContents"/>
              <w:bidi w:val="0"/>
              <w:spacing w:before="0" w:after="283"/>
              <w:jc w:val="left"/>
              <w:rPr>
                <w:sz w:val="4"/>
                <w:szCs w:val="4"/>
              </w:rPr>
            </w:pPr>
            <w:r>
              <w:rPr>
                <w:sz w:val="4"/>
                <w:szCs w:val="4"/>
              </w:rPr>
            </w:r>
          </w:p>
        </w:tc>
        <w:tc>
          <w:tcPr>
            <w:tcW w:w="4305" w:type="dxa"/>
            <w:gridSpan w:val="12"/>
            <w:tcBorders/>
            <w:vAlign w:val="center"/>
          </w:tcPr>
          <w:p>
            <w:pPr>
              <w:pStyle w:val="TableContents"/>
              <w:bidi w:val="0"/>
              <w:spacing w:before="0" w:after="283"/>
              <w:jc w:val="left"/>
              <w:rPr>
                <w:sz w:val="4"/>
                <w:szCs w:val="4"/>
              </w:rPr>
            </w:pPr>
            <w:r>
              <w:rPr>
                <w:sz w:val="4"/>
                <w:szCs w:val="4"/>
              </w:rPr>
            </w:r>
          </w:p>
        </w:tc>
      </w:tr>
      <w:tr>
        <w:trPr/>
        <w:tc>
          <w:tcPr>
            <w:tcW w:w="170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125" w:type="dxa"/>
            <w:gridSpan w:val="10"/>
            <w:tcBorders/>
            <w:vAlign w:val="bottom"/>
          </w:tcPr>
          <w:p>
            <w:pPr>
              <w:pStyle w:val="TableContents"/>
              <w:bidi w:val="0"/>
              <w:spacing w:before="0" w:after="283"/>
              <w:jc w:val="center"/>
              <w:rPr>
                <w:b/>
                <w:u w:val="single"/>
              </w:rPr>
            </w:pPr>
            <w:r>
              <w:rPr>
                <w:b/>
                <w:u w:val="single"/>
              </w:rPr>
              <w:t>Full Year Ended December 31, 2025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125" w:type="dxa"/>
            <w:gridSpan w:val="10"/>
            <w:tcBorders/>
            <w:vAlign w:val="bottom"/>
          </w:tcPr>
          <w:p>
            <w:pPr>
              <w:pStyle w:val="TableContents"/>
              <w:bidi w:val="0"/>
              <w:spacing w:before="0" w:after="283"/>
              <w:jc w:val="center"/>
              <w:rPr>
                <w:b/>
                <w:u w:val="single"/>
              </w:rPr>
            </w:pPr>
            <w:r>
              <w:rPr>
                <w:b/>
                <w:u w:val="single"/>
              </w:rPr>
              <w:t>Three Months Ended March 31, 2026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125" w:type="dxa"/>
            <w:gridSpan w:val="10"/>
            <w:tcBorders/>
            <w:vAlign w:val="bottom"/>
          </w:tcPr>
          <w:p>
            <w:pPr>
              <w:pStyle w:val="TableContents"/>
              <w:bidi w:val="0"/>
              <w:spacing w:before="0" w:after="283"/>
              <w:jc w:val="center"/>
              <w:rPr>
                <w:b/>
                <w:u w:val="single"/>
              </w:rPr>
            </w:pPr>
            <w:r>
              <w:rPr>
                <w:b/>
                <w:u w:val="single"/>
              </w:rPr>
              <w:t>Three Months Ended June 30, 2026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125" w:type="dxa"/>
            <w:gridSpan w:val="10"/>
            <w:tcBorders/>
            <w:vAlign w:val="bottom"/>
          </w:tcPr>
          <w:p>
            <w:pPr>
              <w:pStyle w:val="TableContents"/>
              <w:bidi w:val="0"/>
              <w:spacing w:before="0" w:after="283"/>
              <w:jc w:val="center"/>
              <w:rPr>
                <w:b/>
                <w:u w:val="single"/>
              </w:rPr>
            </w:pPr>
            <w:r>
              <w:rPr>
                <w:b/>
                <w:u w:val="single"/>
              </w:rPr>
              <w:t>YTD (Six Months Ended June 30, 2026)</w:t>
            </w:r>
          </w:p>
        </w:tc>
        <w:tc>
          <w:tcPr>
            <w:tcW w:w="60" w:type="dxa"/>
            <w:tcBorders/>
            <w:vAlign w:val="bottom"/>
          </w:tcPr>
          <w:p>
            <w:pPr>
              <w:pStyle w:val="TableContents"/>
              <w:bidi w:val="0"/>
              <w:spacing w:before="0" w:after="283"/>
              <w:jc w:val="left"/>
              <w:rPr/>
            </w:pPr>
            <w:r>
              <w:rPr/>
              <w:t> </w:t>
            </w:r>
          </w:p>
        </w:tc>
      </w:tr>
      <w:tr>
        <w:trPr/>
        <w:tc>
          <w:tcPr>
            <w:tcW w:w="170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center"/>
              <w:rPr>
                <w:b/>
                <w:u w:val="single"/>
              </w:rPr>
            </w:pPr>
            <w:r>
              <w:rPr>
                <w:b/>
                <w:u w:val="single"/>
              </w:rPr>
              <w:t>As Reported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center"/>
              <w:rPr>
                <w:b/>
                <w:u w:val="single"/>
              </w:rPr>
            </w:pPr>
            <w:r>
              <w:rPr>
                <w:b/>
                <w:u w:val="single"/>
              </w:rPr>
              <w:t>Adjustments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45" w:type="dxa"/>
            <w:gridSpan w:val="2"/>
            <w:tcBorders/>
            <w:vAlign w:val="bottom"/>
          </w:tcPr>
          <w:p>
            <w:pPr>
              <w:pStyle w:val="TableContents"/>
              <w:bidi w:val="0"/>
              <w:spacing w:before="0" w:after="283"/>
              <w:jc w:val="center"/>
              <w:rPr>
                <w:b/>
                <w:u w:val="single"/>
              </w:rPr>
            </w:pPr>
            <w:r>
              <w:rPr>
                <w:b/>
                <w:u w:val="single"/>
              </w:rPr>
              <w:t>As Revised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center"/>
              <w:rPr>
                <w:b/>
                <w:u w:val="single"/>
              </w:rPr>
            </w:pPr>
            <w:r>
              <w:rPr>
                <w:b/>
                <w:u w:val="single"/>
              </w:rPr>
              <w:t>As Reported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center"/>
              <w:rPr>
                <w:b/>
                <w:u w:val="single"/>
              </w:rPr>
            </w:pPr>
            <w:r>
              <w:rPr>
                <w:b/>
                <w:u w:val="single"/>
              </w:rPr>
              <w:t>Adjustments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45" w:type="dxa"/>
            <w:gridSpan w:val="2"/>
            <w:tcBorders/>
            <w:vAlign w:val="bottom"/>
          </w:tcPr>
          <w:p>
            <w:pPr>
              <w:pStyle w:val="TableContents"/>
              <w:bidi w:val="0"/>
              <w:spacing w:before="0" w:after="283"/>
              <w:jc w:val="center"/>
              <w:rPr>
                <w:b/>
                <w:u w:val="single"/>
              </w:rPr>
            </w:pPr>
            <w:r>
              <w:rPr>
                <w:b/>
                <w:u w:val="single"/>
              </w:rPr>
              <w:t>As Revised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center"/>
              <w:rPr>
                <w:b/>
                <w:u w:val="single"/>
              </w:rPr>
            </w:pPr>
            <w:r>
              <w:rPr>
                <w:b/>
                <w:u w:val="single"/>
              </w:rPr>
              <w:t>As Reported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center"/>
              <w:rPr>
                <w:b/>
                <w:u w:val="single"/>
              </w:rPr>
            </w:pPr>
            <w:r>
              <w:rPr>
                <w:b/>
                <w:u w:val="single"/>
              </w:rPr>
              <w:t>Adjustments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45" w:type="dxa"/>
            <w:gridSpan w:val="2"/>
            <w:tcBorders/>
            <w:vAlign w:val="bottom"/>
          </w:tcPr>
          <w:p>
            <w:pPr>
              <w:pStyle w:val="TableContents"/>
              <w:bidi w:val="0"/>
              <w:spacing w:before="0" w:after="283"/>
              <w:jc w:val="center"/>
              <w:rPr>
                <w:b/>
                <w:u w:val="single"/>
              </w:rPr>
            </w:pPr>
            <w:r>
              <w:rPr>
                <w:b/>
                <w:u w:val="single"/>
              </w:rPr>
              <w:t>As Revised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center"/>
              <w:rPr>
                <w:b/>
                <w:u w:val="single"/>
              </w:rPr>
            </w:pPr>
            <w:r>
              <w:rPr>
                <w:b/>
                <w:u w:val="single"/>
              </w:rPr>
              <w:t>As Reported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center"/>
              <w:rPr>
                <w:b/>
                <w:u w:val="single"/>
              </w:rPr>
            </w:pPr>
            <w:r>
              <w:rPr>
                <w:b/>
                <w:u w:val="single"/>
              </w:rPr>
              <w:t>Adjustments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45" w:type="dxa"/>
            <w:gridSpan w:val="2"/>
            <w:tcBorders/>
            <w:vAlign w:val="bottom"/>
          </w:tcPr>
          <w:p>
            <w:pPr>
              <w:pStyle w:val="TableContents"/>
              <w:bidi w:val="0"/>
              <w:spacing w:before="0" w:after="283"/>
              <w:jc w:val="center"/>
              <w:rPr>
                <w:b/>
                <w:u w:val="single"/>
              </w:rPr>
            </w:pPr>
            <w:r>
              <w:rPr>
                <w:b/>
                <w:u w:val="single"/>
              </w:rPr>
              <w:t>As Revised</w:t>
            </w:r>
          </w:p>
        </w:tc>
        <w:tc>
          <w:tcPr>
            <w:tcW w:w="60"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Calibri" w:hAnsi="Calibri"/>
                <w:b/>
                <w:sz w:val="12"/>
              </w:rPr>
            </w:pPr>
            <w:r>
              <w:rPr>
                <w:rFonts w:ascii="Calibri" w:hAnsi="Calibri"/>
                <w:b/>
                <w:sz w:val="12"/>
              </w:rPr>
              <w:t>Net earnings</w:t>
            </w:r>
          </w:p>
        </w:tc>
        <w:tc>
          <w:tcPr>
            <w:tcW w:w="12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$1,502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$1,502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$459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$459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$448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$448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$907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$907</w:t>
            </w:r>
          </w:p>
        </w:tc>
        <w:tc>
          <w:tcPr>
            <w:tcW w:w="60"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Calibri" w:hAnsi="Calibri"/>
                <w:sz w:val="12"/>
              </w:rPr>
            </w:pPr>
            <w:r>
              <w:rPr>
                <w:rFonts w:ascii="Calibri" w:hAnsi="Calibri"/>
                <w:sz w:val="12"/>
              </w:rPr>
              <w:t>Adjustments to remove:</w:t>
            </w:r>
          </w:p>
        </w:tc>
        <w:tc>
          <w:tcPr>
            <w:tcW w:w="12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sz w:val="4"/>
                <w:szCs w:val="4"/>
              </w:rPr>
            </w:pPr>
            <w:r>
              <w:rPr>
                <w:sz w:val="4"/>
                <w:szCs w:val="4"/>
              </w:rPr>
            </w:r>
          </w:p>
        </w:tc>
        <w:tc>
          <w:tcPr>
            <w:tcW w:w="120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sz w:val="4"/>
                <w:szCs w:val="4"/>
              </w:rPr>
            </w:pPr>
            <w:r>
              <w:rPr>
                <w:sz w:val="4"/>
                <w:szCs w:val="4"/>
              </w:rPr>
            </w:r>
          </w:p>
        </w:tc>
        <w:tc>
          <w:tcPr>
            <w:tcW w:w="11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sz w:val="4"/>
                <w:szCs w:val="4"/>
              </w:rPr>
            </w:pPr>
            <w:r>
              <w:rPr>
                <w:sz w:val="4"/>
                <w:szCs w:val="4"/>
              </w:rPr>
            </w:r>
          </w:p>
        </w:tc>
        <w:tc>
          <w:tcPr>
            <w:tcW w:w="105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sz w:val="4"/>
                <w:szCs w:val="4"/>
              </w:rPr>
            </w:pPr>
            <w:r>
              <w:rPr>
                <w:sz w:val="4"/>
                <w:szCs w:val="4"/>
              </w:rPr>
            </w:r>
          </w:p>
        </w:tc>
        <w:tc>
          <w:tcPr>
            <w:tcW w:w="118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0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sz w:val="4"/>
                <w:szCs w:val="4"/>
              </w:rPr>
            </w:pPr>
            <w:r>
              <w:rPr>
                <w:sz w:val="4"/>
                <w:szCs w:val="4"/>
              </w:rPr>
            </w:r>
          </w:p>
        </w:tc>
        <w:tc>
          <w:tcPr>
            <w:tcW w:w="118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11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sz w:val="4"/>
                <w:szCs w:val="4"/>
              </w:rPr>
            </w:pPr>
            <w:r>
              <w:rPr>
                <w:sz w:val="4"/>
                <w:szCs w:val="4"/>
              </w:rPr>
            </w:r>
          </w:p>
        </w:tc>
        <w:tc>
          <w:tcPr>
            <w:tcW w:w="102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sz w:val="4"/>
                <w:szCs w:val="4"/>
              </w:rPr>
            </w:pPr>
            <w:r>
              <w:rPr>
                <w:sz w:val="4"/>
                <w:szCs w:val="4"/>
              </w:rPr>
            </w:r>
          </w:p>
        </w:tc>
        <w:tc>
          <w:tcPr>
            <w:tcW w:w="118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0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700" w:type="dxa"/>
            <w:tcBorders/>
          </w:tcPr>
          <w:p>
            <w:pPr>
              <w:pStyle w:val="TableContents"/>
              <w:bidi w:val="0"/>
              <w:spacing w:before="0" w:after="0"/>
              <w:jc w:val="left"/>
              <w:rPr>
                <w:rFonts w:ascii="Calibri" w:hAnsi="Calibri"/>
                <w:sz w:val="12"/>
              </w:rPr>
            </w:pPr>
            <w:r>
              <w:rPr>
                <w:rFonts w:ascii="Calibri" w:hAnsi="Calibri"/>
                <w:sz w:val="12"/>
              </w:rPr>
              <w:t>Fair value adjustments (2)</w:t>
            </w:r>
          </w:p>
        </w:tc>
        <w:tc>
          <w:tcPr>
            <w:tcW w:w="12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Calibri" w:hAnsi="Calibri"/>
                <w:sz w:val="12"/>
              </w:rPr>
            </w:pPr>
            <w:r>
              <w:rPr>
                <w:rFonts w:ascii="Calibri" w:hAnsi="Calibri"/>
                <w:sz w:val="12"/>
              </w:rPr>
              <w:t>Amortization of acquired software</w:t>
            </w:r>
          </w:p>
        </w:tc>
        <w:tc>
          <w:tcPr>
            <w:tcW w:w="12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206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206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56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56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60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60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116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116</w:t>
            </w:r>
          </w:p>
        </w:tc>
        <w:tc>
          <w:tcPr>
            <w:tcW w:w="60"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Calibri" w:hAnsi="Calibri"/>
                <w:sz w:val="12"/>
              </w:rPr>
            </w:pPr>
            <w:r>
              <w:rPr>
                <w:rFonts w:ascii="Calibri" w:hAnsi="Calibri"/>
                <w:sz w:val="12"/>
              </w:rPr>
              <w:t>Amortization of other identifiable intangible assets</w:t>
            </w:r>
          </w:p>
        </w:tc>
        <w:tc>
          <w:tcPr>
            <w:tcW w:w="12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98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98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49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49</w:t>
            </w:r>
          </w:p>
        </w:tc>
        <w:tc>
          <w:tcPr>
            <w:tcW w:w="60"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Calibri" w:hAnsi="Calibri"/>
                <w:sz w:val="12"/>
              </w:rPr>
            </w:pPr>
            <w:r>
              <w:rPr>
                <w:rFonts w:ascii="Calibri" w:hAnsi="Calibri"/>
                <w:sz w:val="12"/>
              </w:rPr>
              <w:t>Other operating gains, net</w:t>
            </w:r>
          </w:p>
        </w:tc>
        <w:tc>
          <w:tcPr>
            <w:tcW w:w="12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(164)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(165)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(68)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(73)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(68)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(73)</w:t>
            </w:r>
          </w:p>
        </w:tc>
        <w:tc>
          <w:tcPr>
            <w:tcW w:w="60"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Calibri" w:hAnsi="Calibri"/>
                <w:sz w:val="12"/>
              </w:rPr>
            </w:pPr>
            <w:r>
              <w:rPr>
                <w:rFonts w:ascii="Calibri" w:hAnsi="Calibri"/>
                <w:sz w:val="12"/>
              </w:rPr>
              <w:t>Other finance costs (income)</w:t>
            </w:r>
          </w:p>
        </w:tc>
        <w:tc>
          <w:tcPr>
            <w:tcW w:w="12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55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55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(17)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(17)</w:t>
            </w:r>
          </w:p>
        </w:tc>
        <w:tc>
          <w:tcPr>
            <w:tcW w:w="60"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Calibri" w:hAnsi="Calibri"/>
                <w:sz w:val="12"/>
              </w:rPr>
            </w:pPr>
            <w:r>
              <w:rPr>
                <w:rFonts w:ascii="Calibri" w:hAnsi="Calibri"/>
                <w:sz w:val="12"/>
              </w:rPr>
              <w:t>Share of post-tax losses in equity method investments</w:t>
            </w:r>
          </w:p>
        </w:tc>
        <w:tc>
          <w:tcPr>
            <w:tcW w:w="12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28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28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11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11</w:t>
            </w:r>
          </w:p>
        </w:tc>
        <w:tc>
          <w:tcPr>
            <w:tcW w:w="60"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Calibri" w:hAnsi="Calibri"/>
                <w:sz w:val="12"/>
              </w:rPr>
            </w:pPr>
            <w:r>
              <w:rPr>
                <w:rFonts w:ascii="Calibri" w:hAnsi="Calibri"/>
                <w:sz w:val="12"/>
              </w:rPr>
              <w:t>Tax on above items</w:t>
            </w:r>
          </w:p>
        </w:tc>
        <w:tc>
          <w:tcPr>
            <w:tcW w:w="12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(35)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(35)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(14)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(14)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(20)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(19)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(34)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(33)</w:t>
            </w:r>
          </w:p>
        </w:tc>
        <w:tc>
          <w:tcPr>
            <w:tcW w:w="60"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Calibri" w:hAnsi="Calibri"/>
                <w:sz w:val="12"/>
              </w:rPr>
            </w:pPr>
            <w:r>
              <w:rPr>
                <w:rFonts w:ascii="Calibri" w:hAnsi="Calibri"/>
                <w:sz w:val="12"/>
              </w:rPr>
              <w:t>Tax items impacting comparability</w:t>
            </w:r>
          </w:p>
        </w:tc>
        <w:tc>
          <w:tcPr>
            <w:tcW w:w="12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57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57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11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(4)</w:t>
            </w:r>
          </w:p>
        </w:tc>
        <w:tc>
          <w:tcPr>
            <w:tcW w:w="60"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Calibri" w:hAnsi="Calibri"/>
                <w:sz w:val="12"/>
              </w:rPr>
            </w:pPr>
            <w:r>
              <w:rPr>
                <w:rFonts w:ascii="Calibri" w:hAnsi="Calibri"/>
                <w:sz w:val="12"/>
              </w:rPr>
              <w:t>(Earnings) loss from discontinued operations, net of tax</w:t>
            </w:r>
          </w:p>
        </w:tc>
        <w:tc>
          <w:tcPr>
            <w:tcW w:w="12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(19)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(258)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(277)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18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(57)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(51)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(55)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14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(108)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(94)</w:t>
            </w:r>
          </w:p>
        </w:tc>
        <w:tc>
          <w:tcPr>
            <w:tcW w:w="60"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Calibri" w:hAnsi="Calibri"/>
                <w:sz w:val="12"/>
              </w:rPr>
            </w:pPr>
            <w:r>
              <w:rPr>
                <w:rFonts w:ascii="Calibri" w:hAnsi="Calibri"/>
                <w:sz w:val="12"/>
              </w:rPr>
              <w:t>Interim period effective tax rate normalization (3)</w:t>
            </w:r>
          </w:p>
        </w:tc>
        <w:tc>
          <w:tcPr>
            <w:tcW w:w="12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11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11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11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11</w:t>
            </w:r>
          </w:p>
        </w:tc>
        <w:tc>
          <w:tcPr>
            <w:tcW w:w="60"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Calibri" w:hAnsi="Calibri"/>
                <w:sz w:val="12"/>
              </w:rPr>
            </w:pPr>
            <w:r>
              <w:rPr>
                <w:rFonts w:ascii="Calibri" w:hAnsi="Calibri"/>
                <w:sz w:val="12"/>
              </w:rPr>
              <w:t>Dividends declared on preference shares</w:t>
            </w:r>
          </w:p>
        </w:tc>
        <w:tc>
          <w:tcPr>
            <w:tcW w:w="12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11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11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r>
      <w:tr>
        <w:trPr/>
        <w:tc>
          <w:tcPr>
            <w:tcW w:w="170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4019" w:type="dxa"/>
            <w:gridSpan w:val="9"/>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pBdr>
                <w:top w:val="single" w:sz="2" w:space="1" w:color="000000"/>
              </w:pBdr>
              <w:bidi w:val="0"/>
              <w:spacing w:before="0" w:after="0"/>
              <w:jc w:val="left"/>
              <w:rPr/>
            </w:pPr>
            <w:r>
              <w:rPr/>
              <w:t> </w:t>
            </w:r>
          </w:p>
        </w:tc>
        <w:tc>
          <w:tcPr>
            <w:tcW w:w="3999" w:type="dxa"/>
            <w:gridSpan w:val="9"/>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pBdr>
                <w:top w:val="single" w:sz="2" w:space="1" w:color="000000"/>
              </w:pBdr>
              <w:bidi w:val="0"/>
              <w:spacing w:before="0" w:after="0"/>
              <w:jc w:val="left"/>
              <w:rPr/>
            </w:pPr>
            <w:r>
              <w:rPr/>
              <w:t> </w:t>
            </w:r>
          </w:p>
        </w:tc>
        <w:tc>
          <w:tcPr>
            <w:tcW w:w="3999" w:type="dxa"/>
            <w:gridSpan w:val="9"/>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pBdr>
                <w:top w:val="single" w:sz="2" w:space="1" w:color="000000"/>
              </w:pBdr>
              <w:bidi w:val="0"/>
              <w:spacing w:before="0" w:after="0"/>
              <w:jc w:val="left"/>
              <w:rPr/>
            </w:pPr>
            <w:r>
              <w:rPr/>
              <w:t> </w:t>
            </w:r>
          </w:p>
        </w:tc>
        <w:tc>
          <w:tcPr>
            <w:tcW w:w="3999" w:type="dxa"/>
            <w:gridSpan w:val="9"/>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700" w:type="dxa"/>
            <w:tcBorders/>
            <w:vAlign w:val="bottom"/>
          </w:tcPr>
          <w:p>
            <w:pPr>
              <w:pStyle w:val="TableContents"/>
              <w:bidi w:val="0"/>
              <w:spacing w:before="0" w:after="0"/>
              <w:jc w:val="left"/>
              <w:rPr>
                <w:rFonts w:ascii="Calibri" w:hAnsi="Calibri"/>
                <w:b/>
                <w:sz w:val="12"/>
              </w:rPr>
            </w:pPr>
            <w:r>
              <w:rPr>
                <w:rFonts w:ascii="Calibri" w:hAnsi="Calibri"/>
                <w:b/>
                <w:sz w:val="12"/>
              </w:rPr>
              <w:t>Adjusted Earnings(1)</w:t>
            </w:r>
          </w:p>
        </w:tc>
        <w:tc>
          <w:tcPr>
            <w:tcW w:w="12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b/>
              </w:rPr>
            </w:pPr>
            <w:r>
              <w:rPr>
                <w:b/>
              </w:rPr>
              <w:t>$1,762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b/>
              </w:rPr>
            </w:pPr>
            <w:r>
              <w:rPr>
                <w:b/>
              </w:rPr>
              <w:t>($259)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b/>
              </w:rPr>
            </w:pPr>
            <w:r>
              <w:rPr>
                <w:b/>
              </w:rPr>
              <w:t>$1,503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b/>
              </w:rPr>
            </w:pPr>
            <w:r>
              <w:rPr>
                <w:b/>
              </w:rPr>
              <w:t>$547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b/>
              </w:rPr>
            </w:pPr>
            <w:r>
              <w:rPr>
                <w:b/>
              </w:rPr>
              <w:t>($57)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b/>
              </w:rPr>
            </w:pPr>
            <w:r>
              <w:rPr>
                <w:b/>
              </w:rPr>
              <w:t>$490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b/>
              </w:rPr>
            </w:pPr>
            <w:r>
              <w:rPr>
                <w:b/>
              </w:rPr>
              <w:t>$435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b/>
              </w:rPr>
            </w:pPr>
            <w:r>
              <w:rPr>
                <w:b/>
              </w:rPr>
              <w:t>($55)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b/>
              </w:rPr>
            </w:pPr>
            <w:r>
              <w:rPr>
                <w:b/>
              </w:rPr>
              <w:t>$380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b/>
              </w:rPr>
            </w:pPr>
            <w:r>
              <w:rPr>
                <w:b/>
              </w:rPr>
              <w:t>$982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b/>
              </w:rPr>
            </w:pPr>
            <w:r>
              <w:rPr>
                <w:b/>
              </w:rPr>
              <w:t>($112)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b/>
              </w:rPr>
            </w:pPr>
            <w:r>
              <w:rPr>
                <w:b/>
              </w:rPr>
              <w:t>$870</w:t>
            </w:r>
          </w:p>
        </w:tc>
        <w:tc>
          <w:tcPr>
            <w:tcW w:w="60" w:type="dxa"/>
            <w:tcBorders/>
            <w:vAlign w:val="bottom"/>
          </w:tcPr>
          <w:p>
            <w:pPr>
              <w:pStyle w:val="TableContents"/>
              <w:bidi w:val="0"/>
              <w:spacing w:before="0" w:after="283"/>
              <w:jc w:val="left"/>
              <w:rPr/>
            </w:pPr>
            <w:r>
              <w:rPr/>
              <w:t> </w:t>
            </w:r>
          </w:p>
        </w:tc>
      </w:tr>
      <w:tr>
        <w:trPr/>
        <w:tc>
          <w:tcPr>
            <w:tcW w:w="170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12" w:space="1" w:color="000000"/>
              </w:pBdr>
              <w:bidi w:val="0"/>
              <w:spacing w:before="0" w:after="0"/>
              <w:jc w:val="left"/>
              <w:rPr/>
            </w:pPr>
            <w:r>
              <w:rPr/>
              <w:t> </w:t>
            </w:r>
          </w:p>
        </w:tc>
        <w:tc>
          <w:tcPr>
            <w:tcW w:w="4019" w:type="dxa"/>
            <w:gridSpan w:val="9"/>
            <w:tcBorders/>
            <w:vAlign w:val="bottom"/>
          </w:tcPr>
          <w:p>
            <w:pPr>
              <w:pStyle w:val="TableContents"/>
              <w:pBdr>
                <w:top w:val="single" w:sz="1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pBdr>
                <w:top w:val="single" w:sz="12" w:space="1" w:color="000000"/>
              </w:pBdr>
              <w:bidi w:val="0"/>
              <w:spacing w:before="0" w:after="0"/>
              <w:jc w:val="left"/>
              <w:rPr/>
            </w:pPr>
            <w:r>
              <w:rPr/>
              <w:t> </w:t>
            </w:r>
          </w:p>
        </w:tc>
        <w:tc>
          <w:tcPr>
            <w:tcW w:w="3999" w:type="dxa"/>
            <w:gridSpan w:val="9"/>
            <w:tcBorders/>
            <w:vAlign w:val="bottom"/>
          </w:tcPr>
          <w:p>
            <w:pPr>
              <w:pStyle w:val="TableContents"/>
              <w:pBdr>
                <w:top w:val="single" w:sz="1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pBdr>
                <w:top w:val="single" w:sz="12" w:space="1" w:color="000000"/>
              </w:pBdr>
              <w:bidi w:val="0"/>
              <w:spacing w:before="0" w:after="0"/>
              <w:jc w:val="left"/>
              <w:rPr/>
            </w:pPr>
            <w:r>
              <w:rPr/>
              <w:t> </w:t>
            </w:r>
          </w:p>
        </w:tc>
        <w:tc>
          <w:tcPr>
            <w:tcW w:w="3999" w:type="dxa"/>
            <w:gridSpan w:val="9"/>
            <w:tcBorders/>
            <w:vAlign w:val="bottom"/>
          </w:tcPr>
          <w:p>
            <w:pPr>
              <w:pStyle w:val="TableContents"/>
              <w:pBdr>
                <w:top w:val="single" w:sz="1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pBdr>
                <w:top w:val="single" w:sz="12" w:space="1" w:color="000000"/>
              </w:pBdr>
              <w:bidi w:val="0"/>
              <w:spacing w:before="0" w:after="0"/>
              <w:jc w:val="left"/>
              <w:rPr/>
            </w:pPr>
            <w:r>
              <w:rPr/>
              <w:t> </w:t>
            </w:r>
          </w:p>
        </w:tc>
        <w:tc>
          <w:tcPr>
            <w:tcW w:w="3999" w:type="dxa"/>
            <w:gridSpan w:val="9"/>
            <w:tcBorders/>
            <w:vAlign w:val="bottom"/>
          </w:tcPr>
          <w:p>
            <w:pPr>
              <w:pStyle w:val="TableContents"/>
              <w:pBdr>
                <w:top w:val="single" w:sz="1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700" w:type="dxa"/>
            <w:tcBorders/>
            <w:vAlign w:val="bottom"/>
          </w:tcPr>
          <w:p>
            <w:pPr>
              <w:pStyle w:val="TableContents"/>
              <w:bidi w:val="0"/>
              <w:spacing w:before="0" w:after="0"/>
              <w:jc w:val="left"/>
              <w:rPr>
                <w:rFonts w:ascii="Calibri" w:hAnsi="Calibri"/>
                <w:b/>
                <w:sz w:val="12"/>
              </w:rPr>
            </w:pPr>
            <w:r>
              <w:rPr>
                <w:rFonts w:ascii="Calibri" w:hAnsi="Calibri"/>
                <w:b/>
                <w:sz w:val="12"/>
              </w:rPr>
              <w:t>Adjusted EPS (1)</w:t>
            </w:r>
          </w:p>
        </w:tc>
        <w:tc>
          <w:tcPr>
            <w:tcW w:w="12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b/>
              </w:rPr>
            </w:pPr>
            <w:r>
              <w:rPr>
                <w:b/>
              </w:rPr>
              <w:t>$3.92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sz w:val="4"/>
                <w:szCs w:val="4"/>
              </w:rPr>
            </w:pPr>
            <w:r>
              <w:rPr>
                <w:sz w:val="4"/>
                <w:szCs w:val="4"/>
              </w:rPr>
            </w:r>
          </w:p>
        </w:tc>
        <w:tc>
          <w:tcPr>
            <w:tcW w:w="11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b/>
              </w:rPr>
            </w:pPr>
            <w:r>
              <w:rPr>
                <w:b/>
              </w:rPr>
              <w:t>$3.34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b/>
              </w:rPr>
            </w:pPr>
            <w:r>
              <w:rPr>
                <w:b/>
              </w:rPr>
              <w:t>$1.23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11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b/>
              </w:rPr>
            </w:pPr>
            <w:r>
              <w:rPr>
                <w:b/>
              </w:rPr>
              <w:t>$1.10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b/>
              </w:rPr>
            </w:pPr>
            <w:r>
              <w:rPr>
                <w:b/>
              </w:rPr>
              <w:t>$0.99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11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b/>
              </w:rPr>
            </w:pPr>
            <w:r>
              <w:rPr>
                <w:b/>
              </w:rPr>
              <w:t>$0.87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b/>
              </w:rPr>
            </w:pPr>
            <w:r>
              <w:rPr>
                <w:b/>
              </w:rPr>
              <w:t>$2.22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sz w:val="4"/>
                <w:szCs w:val="4"/>
              </w:rPr>
            </w:pPr>
            <w:r>
              <w:rPr>
                <w:sz w:val="4"/>
                <w:szCs w:val="4"/>
              </w:rPr>
            </w:r>
          </w:p>
        </w:tc>
        <w:tc>
          <w:tcPr>
            <w:tcW w:w="11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b/>
              </w:rPr>
            </w:pPr>
            <w:r>
              <w:rPr>
                <w:b/>
              </w:rPr>
              <w:t>$1.97</w:t>
            </w:r>
          </w:p>
        </w:tc>
        <w:tc>
          <w:tcPr>
            <w:tcW w:w="60"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283"/>
              <w:jc w:val="left"/>
              <w:rPr/>
            </w:pPr>
            <w:r>
              <w:rPr/>
              <w:t>Diluted weighted-average common shares (millions)</w:t>
            </w:r>
          </w:p>
        </w:tc>
        <w:tc>
          <w:tcPr>
            <w:tcW w:w="12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449.5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sz w:val="4"/>
                <w:szCs w:val="4"/>
              </w:rPr>
            </w:pPr>
            <w:r>
              <w:rPr>
                <w:sz w:val="4"/>
                <w:szCs w:val="4"/>
              </w:rPr>
            </w:r>
          </w:p>
        </w:tc>
        <w:tc>
          <w:tcPr>
            <w:tcW w:w="11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449.5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444.7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11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444.7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438.6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11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438.6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441.7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sz w:val="4"/>
                <w:szCs w:val="4"/>
              </w:rPr>
            </w:pPr>
            <w:r>
              <w:rPr>
                <w:sz w:val="4"/>
                <w:szCs w:val="4"/>
              </w:rPr>
            </w:r>
          </w:p>
        </w:tc>
        <w:tc>
          <w:tcPr>
            <w:tcW w:w="11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441.7</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pBdr/>
        <w:bidi w:val="0"/>
        <w:spacing w:before="0" w:after="0"/>
        <w:jc w:val="left"/>
        <w:rPr>
          <w:rFonts w:ascii="Calibri" w:hAnsi="Calibri"/>
          <w:sz w:val="12"/>
          <w:bdr w:val="single" w:sz="2" w:space="2" w:color="000000"/>
        </w:rPr>
      </w:pPr>
      <w:r>
        <w:rPr>
          <w:rFonts w:ascii="Calibri" w:hAnsi="Calibri"/>
          <w:sz w:val="12"/>
          <w:bdr w:val="single" w:sz="2" w:space="2" w:color="000000"/>
        </w:rPr>
        <w:t xml:space="preserve">(1) The Company defines adjusted earnings as net earnings or loss including dividends declared on preference shares but excluding the post-tax impacts of fair value adjustments, including those related to acquired deferred revenue, amortization of acquired intangible assets (attributable to other identifiable intangible assets and acquired software), other operating gains and losses, certain asset impairment charges, other finance costs or income, our share of post-tax earnings or losses in equity method investments, discontinued operations and other items affecting comparability. Acquired intangible assets contribute to the generation of revenues from acquired companies, which are included in our computation of adjusted earnings. The post-tax amount of each item is excluded from adjusted earnings based on the specific tax rules and tax rates associated with the nature and jurisdiction of each item. Adjusted EPS is calculated from adjusted earnings using diluted weighted-average shares and does not represent actual earnings or loss per share attributable to shareholders. These measures provide a more comparable basis to analyze earnings and are commonly used by shareholders to measure performance. </w:t>
      </w:r>
    </w:p>
    <w:p>
      <w:pPr>
        <w:pStyle w:val="TextBody"/>
        <w:bidi w:val="0"/>
        <w:spacing w:before="160" w:after="0"/>
        <w:jc w:val="left"/>
        <w:rPr>
          <w:rFonts w:ascii="Calibri" w:hAnsi="Calibri"/>
          <w:sz w:val="12"/>
          <w:bdr w:val="single" w:sz="2" w:space="2" w:color="000000"/>
        </w:rPr>
      </w:pPr>
      <w:r>
        <w:rPr>
          <w:rFonts w:ascii="Calibri" w:hAnsi="Calibri"/>
          <w:sz w:val="12"/>
          <w:bdr w:val="single" w:sz="2" w:space="2" w:color="000000"/>
        </w:rPr>
        <w:t xml:space="preserve">(2) Fair value adjustments primarily represent gains or losses due to changes in foreign currency exchange rates on intercompany balances that arise in the ordinary course of business, which are a component of operating expenses, as well as adjustments related to acquired deferred revenue. </w:t>
      </w:r>
    </w:p>
    <w:p>
      <w:pPr>
        <w:pStyle w:val="TextBody"/>
        <w:pBdr/>
        <w:bidi w:val="0"/>
        <w:spacing w:before="0" w:after="0"/>
        <w:jc w:val="left"/>
        <w:rPr>
          <w:rFonts w:ascii="Calibri" w:hAnsi="Calibri"/>
          <w:sz w:val="12"/>
          <w:bdr w:val="single" w:sz="2" w:space="2" w:color="000000"/>
        </w:rPr>
      </w:pPr>
      <w:r>
        <w:rPr>
          <w:rFonts w:ascii="Calibri" w:hAnsi="Calibri"/>
          <w:sz w:val="12"/>
          <w:bdr w:val="single" w:sz="2" w:space="2" w:color="000000"/>
        </w:rPr>
        <w:t xml:space="preserve">(3) In interim periods, the company makes an adjustment to reflect income taxes based on the estimated full-year effective tax rate. Earnings or losses for interim periods under IFRS reflect income taxes based on the estimated effective tax rates of each of the jurisdictions in which we operate. The non-IFRS adjustment reallocates estimated full-year income taxes between interim periods but has no effect on full-year income taxes.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293"/>
        <w:gridCol w:w="141"/>
        <w:gridCol w:w="1771"/>
      </w:tblGrid>
      <w:tr>
        <w:trPr/>
        <w:tc>
          <w:tcPr>
            <w:tcW w:w="8293"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r>
      <w:tr>
        <w:trPr/>
        <w:tc>
          <w:tcPr>
            <w:tcW w:w="8293" w:type="dxa"/>
            <w:tcBorders/>
          </w:tcPr>
          <w:p>
            <w:pPr>
              <w:pStyle w:val="TableContents"/>
              <w:bidi w:val="0"/>
              <w:spacing w:before="0" w:after="283"/>
              <w:jc w:val="left"/>
              <w:rPr>
                <w:b/>
              </w:rPr>
            </w:pPr>
            <w:r>
              <w:rPr>
                <w:b/>
              </w:rPr>
              <w:t>THOMSON REUTERS CORPORATION</w:t>
            </w:r>
          </w:p>
        </w:tc>
        <w:tc>
          <w:tcPr>
            <w:tcW w:w="141" w:type="dxa"/>
            <w:tcBorders/>
            <w:vAlign w:val="bottom"/>
          </w:tcPr>
          <w:p>
            <w:pPr>
              <w:pStyle w:val="TableContents"/>
              <w:bidi w:val="0"/>
              <w:spacing w:before="0" w:after="283"/>
              <w:jc w:val="left"/>
              <w:rPr/>
            </w:pPr>
            <w:r>
              <w:rPr/>
              <w:t>  </w:t>
            </w:r>
          </w:p>
        </w:tc>
        <w:tc>
          <w:tcPr>
            <w:tcW w:w="1771" w:type="dxa"/>
            <w:tcBorders/>
          </w:tcPr>
          <w:p>
            <w:pPr>
              <w:pStyle w:val="TableContents"/>
              <w:bidi w:val="0"/>
              <w:spacing w:before="0" w:after="283"/>
              <w:jc w:val="left"/>
              <w:rPr>
                <w:sz w:val="4"/>
                <w:szCs w:val="4"/>
              </w:rPr>
            </w:pPr>
            <w:r>
              <w:rPr>
                <w:sz w:val="4"/>
                <w:szCs w:val="4"/>
              </w:rPr>
            </w:r>
          </w:p>
        </w:tc>
      </w:tr>
      <w:tr>
        <w:trPr/>
        <w:tc>
          <w:tcPr>
            <w:tcW w:w="8293" w:type="dxa"/>
            <w:tcBorders/>
          </w:tcPr>
          <w:p>
            <w:pPr>
              <w:pStyle w:val="TableContents"/>
              <w:bidi w:val="0"/>
              <w:spacing w:before="0" w:after="283"/>
              <w:jc w:val="left"/>
              <w:rPr>
                <w:b/>
              </w:rPr>
            </w:pPr>
            <w:r>
              <w:rPr>
                <w:b/>
              </w:rPr>
              <w:t>SUPPLEMENTAL FINANCIAL INFORMATION- RECONCILIATION OF ADJUSTED EBITDA MARGIN (1)</w:t>
            </w:r>
          </w:p>
        </w:tc>
        <w:tc>
          <w:tcPr>
            <w:tcW w:w="141" w:type="dxa"/>
            <w:tcBorders/>
            <w:vAlign w:val="bottom"/>
          </w:tcPr>
          <w:p>
            <w:pPr>
              <w:pStyle w:val="TableContents"/>
              <w:bidi w:val="0"/>
              <w:spacing w:before="0" w:after="283"/>
              <w:jc w:val="left"/>
              <w:rPr/>
            </w:pPr>
            <w:r>
              <w:rPr/>
              <w:t>  </w:t>
            </w:r>
          </w:p>
        </w:tc>
        <w:tc>
          <w:tcPr>
            <w:tcW w:w="1771" w:type="dxa"/>
            <w:tcBorders/>
          </w:tcPr>
          <w:p>
            <w:pPr>
              <w:pStyle w:val="TableContents"/>
              <w:bidi w:val="0"/>
              <w:spacing w:before="0" w:after="283"/>
              <w:jc w:val="left"/>
              <w:rPr>
                <w:b/>
              </w:rPr>
            </w:pPr>
            <w:r>
              <w:rPr>
                <w:b/>
              </w:rPr>
              <w:t>October 19, 2026</w:t>
            </w:r>
          </w:p>
        </w:tc>
      </w:tr>
      <w:tr>
        <w:trPr/>
        <w:tc>
          <w:tcPr>
            <w:tcW w:w="8293" w:type="dxa"/>
            <w:tcBorders/>
          </w:tcPr>
          <w:p>
            <w:pPr>
              <w:pStyle w:val="TableContents"/>
              <w:bidi w:val="0"/>
              <w:spacing w:before="0" w:after="283"/>
              <w:jc w:val="left"/>
              <w:rPr>
                <w:sz w:val="12"/>
              </w:rPr>
            </w:pPr>
            <w:r>
              <w:rPr>
                <w:sz w:val="12"/>
              </w:rPr>
              <w:t>(Unaudited)</w:t>
            </w:r>
          </w:p>
        </w:tc>
        <w:tc>
          <w:tcPr>
            <w:tcW w:w="141" w:type="dxa"/>
            <w:tcBorders/>
            <w:vAlign w:val="bottom"/>
          </w:tcPr>
          <w:p>
            <w:pPr>
              <w:pStyle w:val="TableContents"/>
              <w:bidi w:val="0"/>
              <w:spacing w:before="0" w:after="283"/>
              <w:jc w:val="left"/>
              <w:rPr/>
            </w:pPr>
            <w:r>
              <w:rPr/>
              <w:t>  </w:t>
            </w:r>
          </w:p>
        </w:tc>
        <w:tc>
          <w:tcPr>
            <w:tcW w:w="1771" w:type="dxa"/>
            <w:tcBorders/>
          </w:tcPr>
          <w:p>
            <w:pPr>
              <w:pStyle w:val="TableContents"/>
              <w:bidi w:val="0"/>
              <w:spacing w:before="0" w:after="283"/>
              <w:jc w:val="center"/>
              <w:rPr>
                <w:b/>
              </w:rPr>
            </w:pPr>
            <w:r>
              <w:rPr>
                <w:b/>
              </w:rPr>
              <w:t>Page 7</w:t>
            </w:r>
          </w:p>
        </w:tc>
      </w:tr>
      <w:tr>
        <w:trPr/>
        <w:tc>
          <w:tcPr>
            <w:tcW w:w="8293" w:type="dxa"/>
            <w:tcBorders/>
          </w:tcPr>
          <w:p>
            <w:pPr>
              <w:pStyle w:val="TableContents"/>
              <w:bidi w:val="0"/>
              <w:spacing w:before="0" w:after="283"/>
              <w:jc w:val="left"/>
              <w:rPr/>
            </w:pPr>
            <w:r>
              <w:rPr/>
              <w:t>(millions of U.S. dollars)</w:t>
            </w:r>
          </w:p>
        </w:tc>
        <w:tc>
          <w:tcPr>
            <w:tcW w:w="141" w:type="dxa"/>
            <w:tcBorders/>
            <w:vAlign w:val="bottom"/>
          </w:tcPr>
          <w:p>
            <w:pPr>
              <w:pStyle w:val="TableContents"/>
              <w:bidi w:val="0"/>
              <w:spacing w:before="0" w:after="283"/>
              <w:jc w:val="left"/>
              <w:rPr/>
            </w:pPr>
            <w:r>
              <w:rPr/>
              <w:t>  </w:t>
            </w:r>
          </w:p>
        </w:tc>
        <w:tc>
          <w:tcPr>
            <w:tcW w:w="1771"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4160" w:type="dxa"/>
        <w:jc w:val="center"/>
        <w:tblInd w:w="0" w:type="dxa"/>
        <w:tblLayout w:type="fixed"/>
        <w:tblCellMar>
          <w:top w:w="0" w:type="dxa"/>
          <w:left w:w="0" w:type="dxa"/>
          <w:bottom w:w="0" w:type="dxa"/>
          <w:right w:w="0" w:type="dxa"/>
        </w:tblCellMar>
      </w:tblPr>
      <w:tblGrid>
        <w:gridCol w:w="2855"/>
        <w:gridCol w:w="120"/>
        <w:gridCol w:w="115"/>
        <w:gridCol w:w="1315"/>
        <w:gridCol w:w="60"/>
        <w:gridCol w:w="120"/>
        <w:gridCol w:w="867"/>
        <w:gridCol w:w="1373"/>
        <w:gridCol w:w="60"/>
        <w:gridCol w:w="120"/>
        <w:gridCol w:w="2675"/>
        <w:gridCol w:w="60"/>
        <w:gridCol w:w="2180"/>
        <w:gridCol w:w="60"/>
        <w:gridCol w:w="2180"/>
      </w:tblGrid>
      <w:tr>
        <w:trPr/>
        <w:tc>
          <w:tcPr>
            <w:tcW w:w="28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28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30" w:type="dxa"/>
            <w:gridSpan w:val="2"/>
            <w:tcBorders/>
            <w:vAlign w:val="bottom"/>
          </w:tcPr>
          <w:p>
            <w:pPr>
              <w:pStyle w:val="TableContents"/>
              <w:bidi w:val="0"/>
              <w:spacing w:before="0" w:after="0"/>
              <w:jc w:val="center"/>
              <w:rPr/>
            </w:pPr>
            <w:r>
              <w:rPr/>
              <w:t>  </w:t>
            </w:r>
            <w:r>
              <w:rPr>
                <w:rFonts w:ascii="Arial" w:hAnsi="Arial"/>
                <w:sz w:val="14"/>
              </w:rPr>
              <w:t>Revised IFRS  </w:t>
            </w:r>
          </w:p>
          <w:p>
            <w:pPr>
              <w:pStyle w:val="TableContents"/>
              <w:bidi w:val="0"/>
              <w:spacing w:before="0" w:after="20"/>
              <w:jc w:val="center"/>
              <w:rPr>
                <w:rFonts w:ascii="Arial" w:hAnsi="Arial"/>
                <w:sz w:val="14"/>
              </w:rPr>
            </w:pPr>
            <w:r>
              <w:rPr>
                <w:rFonts w:ascii="Arial" w:hAnsi="Arial"/>
                <w:sz w:val="14"/>
              </w:rPr>
              <w:t>revenues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40" w:type="dxa"/>
            <w:gridSpan w:val="2"/>
            <w:tcBorders/>
            <w:vAlign w:val="bottom"/>
          </w:tcPr>
          <w:p>
            <w:pPr>
              <w:pStyle w:val="TableContents"/>
              <w:bidi w:val="0"/>
              <w:spacing w:before="0" w:after="283"/>
              <w:jc w:val="center"/>
              <w:rPr/>
            </w:pPr>
            <w:r>
              <w:rPr/>
              <w:t>Remove fair value</w:t>
              <w:br/>
              <w:t>adjustments to acquired</w:t>
              <w:br/>
              <w:t>deferred revenue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center"/>
              <w:rPr/>
            </w:pPr>
            <w:r>
              <w:rPr/>
              <w:t>Revised revenues excluding</w:t>
              <w:br/>
              <w:t>fair value adjustments to</w:t>
              <w:br/>
              <w:t>acquired deferred revenue</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center"/>
              <w:rPr/>
            </w:pPr>
            <w:r>
              <w:rPr/>
              <w:t> </w:t>
            </w:r>
            <w:r>
              <w:rPr/>
              <w:t>Revised Adjusted </w:t>
              <w:br/>
              <w:t>EBITDA</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center"/>
              <w:rPr/>
            </w:pPr>
            <w:r>
              <w:rPr/>
              <w:t> </w:t>
            </w:r>
            <w:r>
              <w:rPr/>
              <w:t>Revised Adjusted </w:t>
              <w:br/>
              <w:t>EBITDA Margin</w:t>
            </w:r>
          </w:p>
        </w:tc>
      </w:tr>
      <w:tr>
        <w:trPr/>
        <w:tc>
          <w:tcPr>
            <w:tcW w:w="28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single" w:sz="2" w:space="1" w:color="000000"/>
              </w:pBdr>
              <w:bidi w:val="0"/>
              <w:spacing w:before="0" w:after="0"/>
              <w:jc w:val="left"/>
              <w:rPr/>
            </w:pPr>
            <w:r>
              <w:rPr/>
              <w:t> </w:t>
            </w:r>
          </w:p>
        </w:tc>
        <w:tc>
          <w:tcPr>
            <w:tcW w:w="6590" w:type="dxa"/>
            <w:gridSpan w:val="8"/>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pBdr>
                <w:top w:val="single" w:sz="2" w:space="1" w:color="000000"/>
              </w:pBdr>
              <w:bidi w:val="0"/>
              <w:spacing w:before="0" w:after="0"/>
              <w:jc w:val="left"/>
              <w:rPr/>
            </w:pPr>
            <w:r>
              <w:rPr/>
              <w:t> </w:t>
            </w:r>
          </w:p>
        </w:tc>
      </w:tr>
      <w:tr>
        <w:trPr/>
        <w:tc>
          <w:tcPr>
            <w:tcW w:w="2855" w:type="dxa"/>
            <w:tcBorders/>
          </w:tcPr>
          <w:p>
            <w:pPr>
              <w:pStyle w:val="TableContents"/>
              <w:bidi w:val="0"/>
              <w:spacing w:before="0" w:after="0"/>
              <w:jc w:val="left"/>
              <w:rPr>
                <w:rFonts w:ascii="Arial" w:hAnsi="Arial"/>
                <w:b/>
                <w:sz w:val="15"/>
                <w:u w:val="single"/>
              </w:rPr>
            </w:pPr>
            <w:r>
              <w:rPr>
                <w:rFonts w:ascii="Arial" w:hAnsi="Arial"/>
                <w:b/>
                <w:sz w:val="15"/>
                <w:u w:val="single"/>
              </w:rPr>
              <w:t>YTD (Six Months Ended June 30, 2026)</w:t>
            </w:r>
          </w:p>
        </w:tc>
        <w:tc>
          <w:tcPr>
            <w:tcW w:w="12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sz w:val="4"/>
                <w:szCs w:val="4"/>
              </w:rPr>
            </w:pPr>
            <w:r>
              <w:rPr>
                <w:sz w:val="4"/>
                <w:szCs w:val="4"/>
              </w:rPr>
            </w:r>
          </w:p>
        </w:tc>
        <w:tc>
          <w:tcPr>
            <w:tcW w:w="13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67" w:type="dxa"/>
            <w:tcBorders/>
            <w:vAlign w:val="bottom"/>
          </w:tcPr>
          <w:p>
            <w:pPr>
              <w:pStyle w:val="TableContents"/>
              <w:bidi w:val="0"/>
              <w:spacing w:before="0" w:after="283"/>
              <w:jc w:val="left"/>
              <w:rPr>
                <w:sz w:val="4"/>
                <w:szCs w:val="4"/>
              </w:rPr>
            </w:pPr>
            <w:r>
              <w:rPr>
                <w:sz w:val="4"/>
                <w:szCs w:val="4"/>
              </w:rPr>
            </w:r>
          </w:p>
        </w:tc>
        <w:tc>
          <w:tcPr>
            <w:tcW w:w="13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left"/>
              <w:rPr>
                <w:sz w:val="4"/>
                <w:szCs w:val="4"/>
              </w:rPr>
            </w:pPr>
            <w:r>
              <w:rPr>
                <w:sz w:val="4"/>
                <w:szCs w:val="4"/>
              </w:rPr>
            </w:r>
          </w:p>
        </w:tc>
      </w:tr>
      <w:tr>
        <w:trPr/>
        <w:tc>
          <w:tcPr>
            <w:tcW w:w="2855" w:type="dxa"/>
            <w:tcBorders/>
          </w:tcPr>
          <w:p>
            <w:pPr>
              <w:pStyle w:val="TableContents"/>
              <w:bidi w:val="0"/>
              <w:spacing w:before="0" w:after="0"/>
              <w:jc w:val="left"/>
              <w:rPr>
                <w:rFonts w:ascii="Arial" w:hAnsi="Arial"/>
                <w:sz w:val="15"/>
              </w:rPr>
            </w:pPr>
            <w:r>
              <w:rPr>
                <w:rFonts w:ascii="Arial" w:hAnsi="Arial"/>
                <w:sz w:val="15"/>
              </w:rPr>
              <w:t>Legal Professionals</w:t>
            </w:r>
          </w:p>
        </w:tc>
        <w:tc>
          <w:tcPr>
            <w:tcW w:w="12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pPr>
            <w:r>
              <w:rPr/>
              <w:t>$1,528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7"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right"/>
              <w:rPr/>
            </w:pPr>
            <w:r>
              <w:rPr/>
              <w:t>$1,528</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right"/>
              <w:rPr/>
            </w:pPr>
            <w:r>
              <w:rPr/>
              <w:t>$736</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right"/>
              <w:rPr/>
            </w:pPr>
            <w:r>
              <w:rPr/>
              <w:t>48.2%</w:t>
            </w:r>
          </w:p>
        </w:tc>
      </w:tr>
      <w:tr>
        <w:trPr/>
        <w:tc>
          <w:tcPr>
            <w:tcW w:w="2855" w:type="dxa"/>
            <w:tcBorders/>
          </w:tcPr>
          <w:p>
            <w:pPr>
              <w:pStyle w:val="TableContents"/>
              <w:bidi w:val="0"/>
              <w:spacing w:before="0" w:after="0"/>
              <w:jc w:val="left"/>
              <w:rPr>
                <w:rFonts w:ascii="Arial" w:hAnsi="Arial"/>
                <w:sz w:val="15"/>
              </w:rPr>
            </w:pPr>
            <w:r>
              <w:rPr>
                <w:rFonts w:ascii="Arial" w:hAnsi="Arial"/>
                <w:sz w:val="15"/>
              </w:rPr>
              <w:t>Corporates</w:t>
            </w:r>
          </w:p>
        </w:tc>
        <w:tc>
          <w:tcPr>
            <w:tcW w:w="12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pPr>
            <w:r>
              <w:rPr/>
              <w:t>1,145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7"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right"/>
              <w:rPr/>
            </w:pPr>
            <w:r>
              <w:rPr/>
              <w:t>1,145</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right"/>
              <w:rPr/>
            </w:pPr>
            <w:r>
              <w:rPr/>
              <w:t>443</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right"/>
              <w:rPr/>
            </w:pPr>
            <w:r>
              <w:rPr/>
              <w:t>38.7%</w:t>
            </w:r>
          </w:p>
        </w:tc>
      </w:tr>
      <w:tr>
        <w:trPr/>
        <w:tc>
          <w:tcPr>
            <w:tcW w:w="2855" w:type="dxa"/>
            <w:tcBorders/>
          </w:tcPr>
          <w:p>
            <w:pPr>
              <w:pStyle w:val="TableContents"/>
              <w:bidi w:val="0"/>
              <w:spacing w:before="0" w:after="0"/>
              <w:jc w:val="left"/>
              <w:rPr>
                <w:rFonts w:ascii="Arial" w:hAnsi="Arial"/>
                <w:sz w:val="15"/>
              </w:rPr>
            </w:pPr>
            <w:r>
              <w:rPr>
                <w:rFonts w:ascii="Arial" w:hAnsi="Arial"/>
                <w:sz w:val="15"/>
              </w:rPr>
              <w:t>Tax, Audit &amp; Accounting Professionals</w:t>
            </w:r>
          </w:p>
        </w:tc>
        <w:tc>
          <w:tcPr>
            <w:tcW w:w="12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pPr>
            <w:r>
              <w:rPr/>
              <w:t>721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7"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right"/>
              <w:rPr/>
            </w:pPr>
            <w:r>
              <w:rPr/>
              <w:t>721</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right"/>
              <w:rPr/>
            </w:pPr>
            <w:r>
              <w:rPr/>
              <w:t>341</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right"/>
              <w:rPr/>
            </w:pPr>
            <w:r>
              <w:rPr/>
              <w:t>47.3%</w:t>
            </w:r>
          </w:p>
        </w:tc>
      </w:tr>
      <w:tr>
        <w:trPr/>
        <w:tc>
          <w:tcPr>
            <w:tcW w:w="28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single" w:sz="2" w:space="1" w:color="000000"/>
              </w:pBdr>
              <w:bidi w:val="0"/>
              <w:spacing w:before="0" w:after="0"/>
              <w:jc w:val="left"/>
              <w:rPr/>
            </w:pPr>
            <w:r>
              <w:rPr/>
              <w:t> </w:t>
            </w:r>
          </w:p>
        </w:tc>
        <w:tc>
          <w:tcPr>
            <w:tcW w:w="6590" w:type="dxa"/>
            <w:gridSpan w:val="8"/>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left"/>
              <w:rPr>
                <w:sz w:val="4"/>
                <w:szCs w:val="4"/>
              </w:rPr>
            </w:pPr>
            <w:r>
              <w:rPr>
                <w:sz w:val="4"/>
                <w:szCs w:val="4"/>
              </w:rPr>
            </w:r>
          </w:p>
        </w:tc>
      </w:tr>
      <w:tr>
        <w:trPr/>
        <w:tc>
          <w:tcPr>
            <w:tcW w:w="2855" w:type="dxa"/>
            <w:tcBorders/>
          </w:tcPr>
          <w:p>
            <w:pPr>
              <w:pStyle w:val="TableContents"/>
              <w:bidi w:val="0"/>
              <w:spacing w:before="0" w:after="0"/>
              <w:jc w:val="left"/>
              <w:rPr/>
            </w:pPr>
            <w:r>
              <w:rPr/>
              <w:t>“</w:t>
            </w:r>
            <w:r>
              <w:rPr>
                <w:rFonts w:ascii="Arial" w:hAnsi="Arial"/>
                <w:sz w:val="15"/>
              </w:rPr>
              <w:t>Big 3” Segments Combined(1)</w:t>
            </w:r>
          </w:p>
        </w:tc>
        <w:tc>
          <w:tcPr>
            <w:tcW w:w="12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pPr>
            <w:r>
              <w:rPr/>
              <w:t>3,394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7"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right"/>
              <w:rPr/>
            </w:pPr>
            <w:r>
              <w:rPr/>
              <w:t>3,394</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right"/>
              <w:rPr/>
            </w:pPr>
            <w:r>
              <w:rPr/>
              <w:t>1,520</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right"/>
              <w:rPr/>
            </w:pPr>
            <w:r>
              <w:rPr/>
              <w:t>44.8%</w:t>
            </w:r>
          </w:p>
        </w:tc>
      </w:tr>
      <w:tr>
        <w:trPr/>
        <w:tc>
          <w:tcPr>
            <w:tcW w:w="2855" w:type="dxa"/>
            <w:tcBorders/>
          </w:tcPr>
          <w:p>
            <w:pPr>
              <w:pStyle w:val="TableContents"/>
              <w:bidi w:val="0"/>
              <w:spacing w:before="0" w:after="0"/>
              <w:jc w:val="left"/>
              <w:rPr>
                <w:rFonts w:ascii="Arial" w:hAnsi="Arial"/>
                <w:sz w:val="15"/>
              </w:rPr>
            </w:pPr>
            <w:r>
              <w:rPr>
                <w:rFonts w:ascii="Arial" w:hAnsi="Arial"/>
                <w:sz w:val="15"/>
              </w:rPr>
              <w:t>Reuters</w:t>
            </w:r>
          </w:p>
        </w:tc>
        <w:tc>
          <w:tcPr>
            <w:tcW w:w="12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pPr>
            <w:r>
              <w:rPr/>
              <w:t>441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7"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right"/>
              <w:rPr/>
            </w:pPr>
            <w:r>
              <w:rPr/>
              <w:t>441</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right"/>
              <w:rPr/>
            </w:pPr>
            <w:r>
              <w:rPr/>
              <w:t>82</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right"/>
              <w:rPr/>
            </w:pPr>
            <w:r>
              <w:rPr/>
              <w:t>18.6%</w:t>
            </w:r>
          </w:p>
        </w:tc>
      </w:tr>
      <w:tr>
        <w:trPr/>
        <w:tc>
          <w:tcPr>
            <w:tcW w:w="2855" w:type="dxa"/>
            <w:tcBorders/>
          </w:tcPr>
          <w:p>
            <w:pPr>
              <w:pStyle w:val="TableContents"/>
              <w:bidi w:val="0"/>
              <w:spacing w:before="0" w:after="0"/>
              <w:jc w:val="left"/>
              <w:rPr>
                <w:rFonts w:ascii="Arial" w:hAnsi="Arial"/>
                <w:sz w:val="15"/>
              </w:rPr>
            </w:pPr>
            <w:r>
              <w:rPr>
                <w:rFonts w:ascii="Arial" w:hAnsi="Arial"/>
                <w:sz w:val="15"/>
              </w:rPr>
              <w:t>Eliminations/Rounding</w:t>
            </w:r>
          </w:p>
        </w:tc>
        <w:tc>
          <w:tcPr>
            <w:tcW w:w="12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pPr>
            <w:r>
              <w:rPr/>
              <w:t>(17)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7"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right"/>
              <w:rPr/>
            </w:pPr>
            <w:r>
              <w:rPr/>
              <w:t>(17)</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right"/>
              <w:rPr/>
            </w:pPr>
            <w:r>
              <w:rPr/>
              <w:t>n/a</w:t>
            </w:r>
          </w:p>
        </w:tc>
      </w:tr>
      <w:tr>
        <w:trPr/>
        <w:tc>
          <w:tcPr>
            <w:tcW w:w="2855" w:type="dxa"/>
            <w:tcBorders/>
          </w:tcPr>
          <w:p>
            <w:pPr>
              <w:pStyle w:val="TableContents"/>
              <w:bidi w:val="0"/>
              <w:spacing w:before="0" w:after="0"/>
              <w:jc w:val="left"/>
              <w:rPr>
                <w:rFonts w:ascii="Arial" w:hAnsi="Arial"/>
                <w:sz w:val="15"/>
              </w:rPr>
            </w:pPr>
            <w:r>
              <w:rPr>
                <w:rFonts w:ascii="Arial" w:hAnsi="Arial"/>
                <w:sz w:val="15"/>
              </w:rPr>
              <w:t>Corporate costs</w:t>
            </w:r>
          </w:p>
        </w:tc>
        <w:tc>
          <w:tcPr>
            <w:tcW w:w="12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7"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right"/>
              <w:rPr/>
            </w:pPr>
            <w:r>
              <w:rPr/>
              <w:t>(113)</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right"/>
              <w:rPr/>
            </w:pPr>
            <w:r>
              <w:rPr/>
              <w:t>n/a</w:t>
            </w:r>
          </w:p>
        </w:tc>
      </w:tr>
      <w:tr>
        <w:trPr/>
        <w:tc>
          <w:tcPr>
            <w:tcW w:w="28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single" w:sz="2" w:space="1" w:color="000000"/>
              </w:pBdr>
              <w:bidi w:val="0"/>
              <w:spacing w:before="0" w:after="0"/>
              <w:jc w:val="left"/>
              <w:rPr/>
            </w:pPr>
            <w:r>
              <w:rPr/>
              <w:t> </w:t>
            </w:r>
          </w:p>
        </w:tc>
        <w:tc>
          <w:tcPr>
            <w:tcW w:w="6590" w:type="dxa"/>
            <w:gridSpan w:val="8"/>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left"/>
              <w:rPr>
                <w:sz w:val="4"/>
                <w:szCs w:val="4"/>
              </w:rPr>
            </w:pPr>
            <w:r>
              <w:rPr>
                <w:sz w:val="4"/>
                <w:szCs w:val="4"/>
              </w:rPr>
            </w:r>
          </w:p>
        </w:tc>
      </w:tr>
      <w:tr>
        <w:trPr/>
        <w:tc>
          <w:tcPr>
            <w:tcW w:w="2855" w:type="dxa"/>
            <w:tcBorders/>
          </w:tcPr>
          <w:p>
            <w:pPr>
              <w:pStyle w:val="TableContents"/>
              <w:bidi w:val="0"/>
              <w:spacing w:before="0" w:after="0"/>
              <w:jc w:val="left"/>
              <w:rPr>
                <w:rFonts w:ascii="Arial" w:hAnsi="Arial"/>
                <w:b/>
                <w:sz w:val="15"/>
              </w:rPr>
            </w:pPr>
            <w:r>
              <w:rPr>
                <w:rFonts w:ascii="Arial" w:hAnsi="Arial"/>
                <w:b/>
                <w:sz w:val="15"/>
              </w:rPr>
              <w:t>Consolidated totals</w:t>
            </w:r>
          </w:p>
        </w:tc>
        <w:tc>
          <w:tcPr>
            <w:tcW w:w="12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b/>
              </w:rPr>
            </w:pPr>
            <w:r>
              <w:rPr>
                <w:b/>
              </w:rPr>
              <w:t>$3,818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7"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b/>
              </w:rPr>
            </w:pPr>
            <w:r>
              <w:rPr>
                <w:b/>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right"/>
              <w:rPr>
                <w:b/>
              </w:rPr>
            </w:pPr>
            <w:r>
              <w:rPr>
                <w:b/>
              </w:rPr>
              <w:t>$3,818</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right"/>
              <w:rPr>
                <w:b/>
              </w:rPr>
            </w:pPr>
            <w:r>
              <w:rPr>
                <w:b/>
              </w:rPr>
              <w:t>$1,489</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right"/>
              <w:rPr>
                <w:b/>
              </w:rPr>
            </w:pPr>
            <w:r>
              <w:rPr>
                <w:b/>
              </w:rPr>
              <w:t>39.0%</w:t>
            </w:r>
          </w:p>
        </w:tc>
      </w:tr>
      <w:tr>
        <w:trPr/>
        <w:tc>
          <w:tcPr>
            <w:tcW w:w="28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double" w:sz="6" w:space="1" w:color="000000"/>
              </w:pBdr>
              <w:bidi w:val="0"/>
              <w:spacing w:before="0" w:after="0"/>
              <w:jc w:val="left"/>
              <w:rPr/>
            </w:pPr>
            <w:r>
              <w:rPr/>
              <w:t> </w:t>
            </w:r>
          </w:p>
        </w:tc>
        <w:tc>
          <w:tcPr>
            <w:tcW w:w="6590" w:type="dxa"/>
            <w:gridSpan w:val="8"/>
            <w:tcBorders/>
            <w:vAlign w:val="bottom"/>
          </w:tcPr>
          <w:p>
            <w:pPr>
              <w:pStyle w:val="TableContents"/>
              <w:pBdr>
                <w:top w:val="double" w:sz="6"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pBdr>
                <w:top w:val="double" w:sz="6"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left"/>
              <w:rPr>
                <w:sz w:val="4"/>
                <w:szCs w:val="4"/>
              </w:rPr>
            </w:pPr>
            <w:r>
              <w:rPr>
                <w:sz w:val="4"/>
                <w:szCs w:val="4"/>
              </w:rPr>
            </w:r>
          </w:p>
        </w:tc>
      </w:tr>
      <w:tr>
        <w:trPr>
          <w:trHeight w:val="60" w:hRule="atLeast"/>
        </w:trPr>
        <w:tc>
          <w:tcPr>
            <w:tcW w:w="285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2420" w:type="dxa"/>
            <w:gridSpan w:val="4"/>
            <w:tcBorders/>
            <w:vAlign w:val="center"/>
          </w:tcPr>
          <w:p>
            <w:pPr>
              <w:pStyle w:val="TableContents"/>
              <w:bidi w:val="0"/>
              <w:spacing w:before="0" w:after="283"/>
              <w:jc w:val="left"/>
              <w:rPr>
                <w:sz w:val="4"/>
                <w:szCs w:val="4"/>
              </w:rPr>
            </w:pPr>
            <w:r>
              <w:rPr>
                <w:sz w:val="4"/>
                <w:szCs w:val="4"/>
              </w:rPr>
            </w:r>
          </w:p>
        </w:tc>
        <w:tc>
          <w:tcPr>
            <w:tcW w:w="2795" w:type="dxa"/>
            <w:gridSpan w:val="2"/>
            <w:tcBorders/>
            <w:vAlign w:val="center"/>
          </w:tcPr>
          <w:p>
            <w:pPr>
              <w:pStyle w:val="TableContents"/>
              <w:bidi w:val="0"/>
              <w:spacing w:before="0" w:after="283"/>
              <w:jc w:val="left"/>
              <w:rPr>
                <w:sz w:val="4"/>
                <w:szCs w:val="4"/>
              </w:rPr>
            </w:pPr>
            <w:r>
              <w:rPr>
                <w:sz w:val="4"/>
                <w:szCs w:val="4"/>
              </w:rPr>
            </w:r>
          </w:p>
        </w:tc>
        <w:tc>
          <w:tcPr>
            <w:tcW w:w="2240" w:type="dxa"/>
            <w:gridSpan w:val="2"/>
            <w:tcBorders/>
            <w:vAlign w:val="center"/>
          </w:tcPr>
          <w:p>
            <w:pPr>
              <w:pStyle w:val="TableContents"/>
              <w:bidi w:val="0"/>
              <w:spacing w:before="0" w:after="283"/>
              <w:jc w:val="left"/>
              <w:rPr>
                <w:sz w:val="4"/>
                <w:szCs w:val="4"/>
              </w:rPr>
            </w:pPr>
            <w:r>
              <w:rPr>
                <w:sz w:val="4"/>
                <w:szCs w:val="4"/>
              </w:rPr>
            </w:r>
          </w:p>
        </w:tc>
        <w:tc>
          <w:tcPr>
            <w:tcW w:w="2240" w:type="dxa"/>
            <w:gridSpan w:val="2"/>
            <w:tcBorders/>
            <w:vAlign w:val="center"/>
          </w:tcPr>
          <w:p>
            <w:pPr>
              <w:pStyle w:val="TableContents"/>
              <w:bidi w:val="0"/>
              <w:spacing w:before="0" w:after="283"/>
              <w:jc w:val="left"/>
              <w:rPr>
                <w:sz w:val="4"/>
                <w:szCs w:val="4"/>
              </w:rPr>
            </w:pPr>
            <w:r>
              <w:rPr>
                <w:sz w:val="4"/>
                <w:szCs w:val="4"/>
              </w:rPr>
            </w:r>
          </w:p>
        </w:tc>
      </w:tr>
      <w:tr>
        <w:trPr/>
        <w:tc>
          <w:tcPr>
            <w:tcW w:w="2855" w:type="dxa"/>
            <w:tcBorders/>
          </w:tcPr>
          <w:p>
            <w:pPr>
              <w:pStyle w:val="TableContents"/>
              <w:bidi w:val="0"/>
              <w:spacing w:before="0" w:after="0"/>
              <w:jc w:val="left"/>
              <w:rPr>
                <w:rFonts w:ascii="Arial" w:hAnsi="Arial"/>
                <w:b/>
                <w:sz w:val="15"/>
                <w:u w:val="single"/>
              </w:rPr>
            </w:pPr>
            <w:r>
              <w:rPr>
                <w:rFonts w:ascii="Arial" w:hAnsi="Arial"/>
                <w:b/>
                <w:sz w:val="15"/>
                <w:u w:val="single"/>
              </w:rPr>
              <w:t>Three Months ended June 30, 2026</w:t>
            </w:r>
          </w:p>
        </w:tc>
        <w:tc>
          <w:tcPr>
            <w:tcW w:w="12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sz w:val="4"/>
                <w:szCs w:val="4"/>
              </w:rPr>
            </w:pPr>
            <w:r>
              <w:rPr>
                <w:sz w:val="4"/>
                <w:szCs w:val="4"/>
              </w:rPr>
            </w:r>
          </w:p>
        </w:tc>
        <w:tc>
          <w:tcPr>
            <w:tcW w:w="13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67" w:type="dxa"/>
            <w:tcBorders/>
            <w:vAlign w:val="bottom"/>
          </w:tcPr>
          <w:p>
            <w:pPr>
              <w:pStyle w:val="TableContents"/>
              <w:bidi w:val="0"/>
              <w:spacing w:before="0" w:after="283"/>
              <w:jc w:val="left"/>
              <w:rPr>
                <w:sz w:val="4"/>
                <w:szCs w:val="4"/>
              </w:rPr>
            </w:pPr>
            <w:r>
              <w:rPr>
                <w:sz w:val="4"/>
                <w:szCs w:val="4"/>
              </w:rPr>
            </w:r>
          </w:p>
        </w:tc>
        <w:tc>
          <w:tcPr>
            <w:tcW w:w="13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left"/>
              <w:rPr>
                <w:sz w:val="4"/>
                <w:szCs w:val="4"/>
              </w:rPr>
            </w:pPr>
            <w:r>
              <w:rPr>
                <w:sz w:val="4"/>
                <w:szCs w:val="4"/>
              </w:rPr>
            </w:r>
          </w:p>
        </w:tc>
      </w:tr>
      <w:tr>
        <w:trPr/>
        <w:tc>
          <w:tcPr>
            <w:tcW w:w="2855" w:type="dxa"/>
            <w:tcBorders/>
          </w:tcPr>
          <w:p>
            <w:pPr>
              <w:pStyle w:val="TableContents"/>
              <w:bidi w:val="0"/>
              <w:spacing w:before="0" w:after="0"/>
              <w:jc w:val="left"/>
              <w:rPr>
                <w:rFonts w:ascii="Arial" w:hAnsi="Arial"/>
                <w:sz w:val="15"/>
              </w:rPr>
            </w:pPr>
            <w:r>
              <w:rPr>
                <w:rFonts w:ascii="Arial" w:hAnsi="Arial"/>
                <w:sz w:val="15"/>
              </w:rPr>
              <w:t>Legal Professionals</w:t>
            </w:r>
          </w:p>
        </w:tc>
        <w:tc>
          <w:tcPr>
            <w:tcW w:w="12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pPr>
            <w:r>
              <w:rPr/>
              <w:t>$772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7"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right"/>
              <w:rPr/>
            </w:pPr>
            <w:r>
              <w:rPr/>
              <w:t>$772</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right"/>
              <w:rPr/>
            </w:pPr>
            <w:r>
              <w:rPr/>
              <w:t>$371</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right"/>
              <w:rPr/>
            </w:pPr>
            <w:r>
              <w:rPr/>
              <w:t>48.1%</w:t>
            </w:r>
          </w:p>
        </w:tc>
      </w:tr>
      <w:tr>
        <w:trPr/>
        <w:tc>
          <w:tcPr>
            <w:tcW w:w="2855" w:type="dxa"/>
            <w:tcBorders/>
          </w:tcPr>
          <w:p>
            <w:pPr>
              <w:pStyle w:val="TableContents"/>
              <w:bidi w:val="0"/>
              <w:spacing w:before="0" w:after="0"/>
              <w:jc w:val="left"/>
              <w:rPr>
                <w:rFonts w:ascii="Arial" w:hAnsi="Arial"/>
                <w:sz w:val="15"/>
              </w:rPr>
            </w:pPr>
            <w:r>
              <w:rPr>
                <w:rFonts w:ascii="Arial" w:hAnsi="Arial"/>
                <w:sz w:val="15"/>
              </w:rPr>
              <w:t>Corporates</w:t>
            </w:r>
          </w:p>
        </w:tc>
        <w:tc>
          <w:tcPr>
            <w:tcW w:w="12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pPr>
            <w:r>
              <w:rPr/>
              <w:t>537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7"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right"/>
              <w:rPr/>
            </w:pPr>
            <w:r>
              <w:rPr/>
              <w:t>537</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right"/>
              <w:rPr/>
            </w:pPr>
            <w:r>
              <w:rPr/>
              <w:t>200</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right"/>
              <w:rPr/>
            </w:pPr>
            <w:r>
              <w:rPr/>
              <w:t>37.2%</w:t>
            </w:r>
          </w:p>
        </w:tc>
      </w:tr>
      <w:tr>
        <w:trPr/>
        <w:tc>
          <w:tcPr>
            <w:tcW w:w="2855" w:type="dxa"/>
            <w:tcBorders/>
          </w:tcPr>
          <w:p>
            <w:pPr>
              <w:pStyle w:val="TableContents"/>
              <w:bidi w:val="0"/>
              <w:spacing w:before="0" w:after="0"/>
              <w:jc w:val="left"/>
              <w:rPr>
                <w:rFonts w:ascii="Arial" w:hAnsi="Arial"/>
                <w:sz w:val="15"/>
              </w:rPr>
            </w:pPr>
            <w:r>
              <w:rPr>
                <w:rFonts w:ascii="Arial" w:hAnsi="Arial"/>
                <w:sz w:val="15"/>
              </w:rPr>
              <w:t>Tax, Audit &amp; Accounting Professionals</w:t>
            </w:r>
          </w:p>
        </w:tc>
        <w:tc>
          <w:tcPr>
            <w:tcW w:w="12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pPr>
            <w:r>
              <w:rPr/>
              <w:t>311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7"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right"/>
              <w:rPr/>
            </w:pPr>
            <w:r>
              <w:rPr/>
              <w:t>311</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right"/>
              <w:rPr/>
            </w:pPr>
            <w:r>
              <w:rPr/>
              <w:t>120</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right"/>
              <w:rPr/>
            </w:pPr>
            <w:r>
              <w:rPr/>
              <w:t>38.7%</w:t>
            </w:r>
          </w:p>
        </w:tc>
      </w:tr>
      <w:tr>
        <w:trPr/>
        <w:tc>
          <w:tcPr>
            <w:tcW w:w="28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single" w:sz="2" w:space="1" w:color="000000"/>
              </w:pBdr>
              <w:bidi w:val="0"/>
              <w:spacing w:before="0" w:after="0"/>
              <w:jc w:val="left"/>
              <w:rPr/>
            </w:pPr>
            <w:r>
              <w:rPr/>
              <w:t> </w:t>
            </w:r>
          </w:p>
        </w:tc>
        <w:tc>
          <w:tcPr>
            <w:tcW w:w="6590" w:type="dxa"/>
            <w:gridSpan w:val="8"/>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left"/>
              <w:rPr>
                <w:sz w:val="4"/>
                <w:szCs w:val="4"/>
              </w:rPr>
            </w:pPr>
            <w:r>
              <w:rPr>
                <w:sz w:val="4"/>
                <w:szCs w:val="4"/>
              </w:rPr>
            </w:r>
          </w:p>
        </w:tc>
      </w:tr>
      <w:tr>
        <w:trPr/>
        <w:tc>
          <w:tcPr>
            <w:tcW w:w="2855" w:type="dxa"/>
            <w:tcBorders/>
          </w:tcPr>
          <w:p>
            <w:pPr>
              <w:pStyle w:val="TableContents"/>
              <w:bidi w:val="0"/>
              <w:spacing w:before="0" w:after="0"/>
              <w:jc w:val="left"/>
              <w:rPr/>
            </w:pPr>
            <w:r>
              <w:rPr/>
              <w:t>“</w:t>
            </w:r>
            <w:r>
              <w:rPr>
                <w:rFonts w:ascii="Arial" w:hAnsi="Arial"/>
                <w:sz w:val="15"/>
              </w:rPr>
              <w:t>Big 3” Segments Combined(1)</w:t>
            </w:r>
          </w:p>
        </w:tc>
        <w:tc>
          <w:tcPr>
            <w:tcW w:w="12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pPr>
            <w:r>
              <w:rPr/>
              <w:t>1,620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7"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right"/>
              <w:rPr/>
            </w:pPr>
            <w:r>
              <w:rPr/>
              <w:t>1,620</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right"/>
              <w:rPr/>
            </w:pPr>
            <w:r>
              <w:rPr/>
              <w:t>691</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right"/>
              <w:rPr/>
            </w:pPr>
            <w:r>
              <w:rPr/>
              <w:t>42.7%</w:t>
            </w:r>
          </w:p>
        </w:tc>
      </w:tr>
      <w:tr>
        <w:trPr/>
        <w:tc>
          <w:tcPr>
            <w:tcW w:w="2855" w:type="dxa"/>
            <w:tcBorders/>
          </w:tcPr>
          <w:p>
            <w:pPr>
              <w:pStyle w:val="TableContents"/>
              <w:bidi w:val="0"/>
              <w:spacing w:before="0" w:after="0"/>
              <w:jc w:val="left"/>
              <w:rPr>
                <w:rFonts w:ascii="Arial" w:hAnsi="Arial"/>
                <w:sz w:val="15"/>
              </w:rPr>
            </w:pPr>
            <w:r>
              <w:rPr>
                <w:rFonts w:ascii="Arial" w:hAnsi="Arial"/>
                <w:sz w:val="15"/>
              </w:rPr>
              <w:t>Reuters</w:t>
            </w:r>
          </w:p>
        </w:tc>
        <w:tc>
          <w:tcPr>
            <w:tcW w:w="12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pPr>
            <w:r>
              <w:rPr/>
              <w:t>229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7"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right"/>
              <w:rPr/>
            </w:pPr>
            <w:r>
              <w:rPr/>
              <w:t>229</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right"/>
              <w:rPr/>
            </w:pPr>
            <w:r>
              <w:rPr/>
              <w:t>48</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right"/>
              <w:rPr/>
            </w:pPr>
            <w:r>
              <w:rPr/>
              <w:t>20.8%</w:t>
            </w:r>
          </w:p>
        </w:tc>
      </w:tr>
      <w:tr>
        <w:trPr/>
        <w:tc>
          <w:tcPr>
            <w:tcW w:w="2855" w:type="dxa"/>
            <w:tcBorders/>
          </w:tcPr>
          <w:p>
            <w:pPr>
              <w:pStyle w:val="TableContents"/>
              <w:bidi w:val="0"/>
              <w:spacing w:before="0" w:after="0"/>
              <w:jc w:val="left"/>
              <w:rPr>
                <w:rFonts w:ascii="Arial" w:hAnsi="Arial"/>
                <w:sz w:val="15"/>
              </w:rPr>
            </w:pPr>
            <w:r>
              <w:rPr>
                <w:rFonts w:ascii="Arial" w:hAnsi="Arial"/>
                <w:sz w:val="15"/>
              </w:rPr>
              <w:t>Eliminations/Rounding</w:t>
            </w:r>
          </w:p>
        </w:tc>
        <w:tc>
          <w:tcPr>
            <w:tcW w:w="12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pPr>
            <w:r>
              <w:rPr/>
              <w:t>(6)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7"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right"/>
              <w:rPr/>
            </w:pPr>
            <w:r>
              <w:rPr/>
              <w:t>(6)</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right"/>
              <w:rPr/>
            </w:pPr>
            <w:r>
              <w:rPr/>
              <w:t>n/a</w:t>
            </w:r>
          </w:p>
        </w:tc>
      </w:tr>
      <w:tr>
        <w:trPr/>
        <w:tc>
          <w:tcPr>
            <w:tcW w:w="2855" w:type="dxa"/>
            <w:tcBorders/>
          </w:tcPr>
          <w:p>
            <w:pPr>
              <w:pStyle w:val="TableContents"/>
              <w:bidi w:val="0"/>
              <w:spacing w:before="0" w:after="0"/>
              <w:jc w:val="left"/>
              <w:rPr>
                <w:rFonts w:ascii="Arial" w:hAnsi="Arial"/>
                <w:sz w:val="15"/>
              </w:rPr>
            </w:pPr>
            <w:r>
              <w:rPr>
                <w:rFonts w:ascii="Arial" w:hAnsi="Arial"/>
                <w:sz w:val="15"/>
              </w:rPr>
              <w:t>Corporate costs</w:t>
            </w:r>
          </w:p>
        </w:tc>
        <w:tc>
          <w:tcPr>
            <w:tcW w:w="12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7"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right"/>
              <w:rPr/>
            </w:pPr>
            <w:r>
              <w:rPr/>
              <w:t>(61)</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right"/>
              <w:rPr/>
            </w:pPr>
            <w:r>
              <w:rPr/>
              <w:t>n/a</w:t>
            </w:r>
          </w:p>
        </w:tc>
      </w:tr>
      <w:tr>
        <w:trPr/>
        <w:tc>
          <w:tcPr>
            <w:tcW w:w="28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single" w:sz="2" w:space="1" w:color="000000"/>
              </w:pBdr>
              <w:bidi w:val="0"/>
              <w:spacing w:before="0" w:after="0"/>
              <w:jc w:val="left"/>
              <w:rPr/>
            </w:pPr>
            <w:r>
              <w:rPr/>
              <w:t> </w:t>
            </w:r>
          </w:p>
        </w:tc>
        <w:tc>
          <w:tcPr>
            <w:tcW w:w="6590" w:type="dxa"/>
            <w:gridSpan w:val="8"/>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left"/>
              <w:rPr>
                <w:sz w:val="4"/>
                <w:szCs w:val="4"/>
              </w:rPr>
            </w:pPr>
            <w:r>
              <w:rPr>
                <w:sz w:val="4"/>
                <w:szCs w:val="4"/>
              </w:rPr>
            </w:r>
          </w:p>
        </w:tc>
      </w:tr>
      <w:tr>
        <w:trPr/>
        <w:tc>
          <w:tcPr>
            <w:tcW w:w="2855" w:type="dxa"/>
            <w:tcBorders/>
          </w:tcPr>
          <w:p>
            <w:pPr>
              <w:pStyle w:val="TableContents"/>
              <w:bidi w:val="0"/>
              <w:spacing w:before="0" w:after="0"/>
              <w:jc w:val="left"/>
              <w:rPr>
                <w:rFonts w:ascii="Arial" w:hAnsi="Arial"/>
                <w:b/>
                <w:sz w:val="15"/>
              </w:rPr>
            </w:pPr>
            <w:r>
              <w:rPr>
                <w:rFonts w:ascii="Arial" w:hAnsi="Arial"/>
                <w:b/>
                <w:sz w:val="15"/>
              </w:rPr>
              <w:t>Consolidated totals</w:t>
            </w:r>
          </w:p>
        </w:tc>
        <w:tc>
          <w:tcPr>
            <w:tcW w:w="12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b/>
              </w:rPr>
            </w:pPr>
            <w:r>
              <w:rPr>
                <w:b/>
              </w:rPr>
              <w:t>$1,843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7"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b/>
              </w:rPr>
            </w:pPr>
            <w:r>
              <w:rPr>
                <w:b/>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right"/>
              <w:rPr>
                <w:b/>
              </w:rPr>
            </w:pPr>
            <w:r>
              <w:rPr>
                <w:b/>
              </w:rPr>
              <w:t>$1,843</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right"/>
              <w:rPr>
                <w:b/>
              </w:rPr>
            </w:pPr>
            <w:r>
              <w:rPr>
                <w:b/>
              </w:rPr>
              <w:t>$678</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right"/>
              <w:rPr>
                <w:b/>
              </w:rPr>
            </w:pPr>
            <w:r>
              <w:rPr>
                <w:b/>
              </w:rPr>
              <w:t>36.8%</w:t>
            </w:r>
          </w:p>
        </w:tc>
      </w:tr>
      <w:tr>
        <w:trPr/>
        <w:tc>
          <w:tcPr>
            <w:tcW w:w="28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double" w:sz="6" w:space="1" w:color="000000"/>
              </w:pBdr>
              <w:bidi w:val="0"/>
              <w:spacing w:before="0" w:after="0"/>
              <w:jc w:val="left"/>
              <w:rPr/>
            </w:pPr>
            <w:r>
              <w:rPr/>
              <w:t> </w:t>
            </w:r>
          </w:p>
        </w:tc>
        <w:tc>
          <w:tcPr>
            <w:tcW w:w="6590" w:type="dxa"/>
            <w:gridSpan w:val="8"/>
            <w:tcBorders/>
            <w:vAlign w:val="bottom"/>
          </w:tcPr>
          <w:p>
            <w:pPr>
              <w:pStyle w:val="TableContents"/>
              <w:pBdr>
                <w:top w:val="double" w:sz="6"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pBdr>
                <w:top w:val="double" w:sz="6"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left"/>
              <w:rPr>
                <w:sz w:val="4"/>
                <w:szCs w:val="4"/>
              </w:rPr>
            </w:pPr>
            <w:r>
              <w:rPr>
                <w:sz w:val="4"/>
                <w:szCs w:val="4"/>
              </w:rPr>
            </w:r>
          </w:p>
        </w:tc>
      </w:tr>
      <w:tr>
        <w:trPr>
          <w:trHeight w:val="60" w:hRule="atLeast"/>
        </w:trPr>
        <w:tc>
          <w:tcPr>
            <w:tcW w:w="285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2420" w:type="dxa"/>
            <w:gridSpan w:val="4"/>
            <w:tcBorders/>
            <w:vAlign w:val="center"/>
          </w:tcPr>
          <w:p>
            <w:pPr>
              <w:pStyle w:val="TableContents"/>
              <w:bidi w:val="0"/>
              <w:spacing w:before="0" w:after="283"/>
              <w:jc w:val="left"/>
              <w:rPr>
                <w:sz w:val="4"/>
                <w:szCs w:val="4"/>
              </w:rPr>
            </w:pPr>
            <w:r>
              <w:rPr>
                <w:sz w:val="4"/>
                <w:szCs w:val="4"/>
              </w:rPr>
            </w:r>
          </w:p>
        </w:tc>
        <w:tc>
          <w:tcPr>
            <w:tcW w:w="2795" w:type="dxa"/>
            <w:gridSpan w:val="2"/>
            <w:tcBorders/>
            <w:vAlign w:val="center"/>
          </w:tcPr>
          <w:p>
            <w:pPr>
              <w:pStyle w:val="TableContents"/>
              <w:bidi w:val="0"/>
              <w:spacing w:before="0" w:after="283"/>
              <w:jc w:val="left"/>
              <w:rPr>
                <w:sz w:val="4"/>
                <w:szCs w:val="4"/>
              </w:rPr>
            </w:pPr>
            <w:r>
              <w:rPr>
                <w:sz w:val="4"/>
                <w:szCs w:val="4"/>
              </w:rPr>
            </w:r>
          </w:p>
        </w:tc>
        <w:tc>
          <w:tcPr>
            <w:tcW w:w="2240" w:type="dxa"/>
            <w:gridSpan w:val="2"/>
            <w:tcBorders/>
            <w:vAlign w:val="center"/>
          </w:tcPr>
          <w:p>
            <w:pPr>
              <w:pStyle w:val="TableContents"/>
              <w:bidi w:val="0"/>
              <w:spacing w:before="0" w:after="283"/>
              <w:jc w:val="left"/>
              <w:rPr>
                <w:sz w:val="4"/>
                <w:szCs w:val="4"/>
              </w:rPr>
            </w:pPr>
            <w:r>
              <w:rPr>
                <w:sz w:val="4"/>
                <w:szCs w:val="4"/>
              </w:rPr>
            </w:r>
          </w:p>
        </w:tc>
        <w:tc>
          <w:tcPr>
            <w:tcW w:w="2240" w:type="dxa"/>
            <w:gridSpan w:val="2"/>
            <w:tcBorders/>
            <w:vAlign w:val="center"/>
          </w:tcPr>
          <w:p>
            <w:pPr>
              <w:pStyle w:val="TableContents"/>
              <w:bidi w:val="0"/>
              <w:spacing w:before="0" w:after="283"/>
              <w:jc w:val="left"/>
              <w:rPr>
                <w:sz w:val="4"/>
                <w:szCs w:val="4"/>
              </w:rPr>
            </w:pPr>
            <w:r>
              <w:rPr>
                <w:sz w:val="4"/>
                <w:szCs w:val="4"/>
              </w:rPr>
            </w:r>
          </w:p>
        </w:tc>
      </w:tr>
      <w:tr>
        <w:trPr/>
        <w:tc>
          <w:tcPr>
            <w:tcW w:w="2855" w:type="dxa"/>
            <w:tcBorders/>
          </w:tcPr>
          <w:p>
            <w:pPr>
              <w:pStyle w:val="TableContents"/>
              <w:bidi w:val="0"/>
              <w:spacing w:before="0" w:after="0"/>
              <w:jc w:val="left"/>
              <w:rPr>
                <w:rFonts w:ascii="Arial" w:hAnsi="Arial"/>
                <w:b/>
                <w:sz w:val="15"/>
                <w:u w:val="single"/>
              </w:rPr>
            </w:pPr>
            <w:r>
              <w:rPr>
                <w:rFonts w:ascii="Arial" w:hAnsi="Arial"/>
                <w:b/>
                <w:sz w:val="15"/>
                <w:u w:val="single"/>
              </w:rPr>
              <w:t>Three Months March 31, 2026</w:t>
            </w:r>
          </w:p>
        </w:tc>
        <w:tc>
          <w:tcPr>
            <w:tcW w:w="12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sz w:val="4"/>
                <w:szCs w:val="4"/>
              </w:rPr>
            </w:pPr>
            <w:r>
              <w:rPr>
                <w:sz w:val="4"/>
                <w:szCs w:val="4"/>
              </w:rPr>
            </w:r>
          </w:p>
        </w:tc>
        <w:tc>
          <w:tcPr>
            <w:tcW w:w="13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67" w:type="dxa"/>
            <w:tcBorders/>
            <w:vAlign w:val="bottom"/>
          </w:tcPr>
          <w:p>
            <w:pPr>
              <w:pStyle w:val="TableContents"/>
              <w:bidi w:val="0"/>
              <w:spacing w:before="0" w:after="283"/>
              <w:jc w:val="left"/>
              <w:rPr>
                <w:sz w:val="4"/>
                <w:szCs w:val="4"/>
              </w:rPr>
            </w:pPr>
            <w:r>
              <w:rPr>
                <w:sz w:val="4"/>
                <w:szCs w:val="4"/>
              </w:rPr>
            </w:r>
          </w:p>
        </w:tc>
        <w:tc>
          <w:tcPr>
            <w:tcW w:w="13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left"/>
              <w:rPr>
                <w:sz w:val="4"/>
                <w:szCs w:val="4"/>
              </w:rPr>
            </w:pPr>
            <w:r>
              <w:rPr>
                <w:sz w:val="4"/>
                <w:szCs w:val="4"/>
              </w:rPr>
            </w:r>
          </w:p>
        </w:tc>
      </w:tr>
      <w:tr>
        <w:trPr/>
        <w:tc>
          <w:tcPr>
            <w:tcW w:w="2855" w:type="dxa"/>
            <w:tcBorders/>
          </w:tcPr>
          <w:p>
            <w:pPr>
              <w:pStyle w:val="TableContents"/>
              <w:bidi w:val="0"/>
              <w:spacing w:before="0" w:after="0"/>
              <w:jc w:val="left"/>
              <w:rPr>
                <w:rFonts w:ascii="Arial" w:hAnsi="Arial"/>
                <w:sz w:val="15"/>
              </w:rPr>
            </w:pPr>
            <w:r>
              <w:rPr>
                <w:rFonts w:ascii="Arial" w:hAnsi="Arial"/>
                <w:sz w:val="15"/>
              </w:rPr>
              <w:t>Legal Professionals</w:t>
            </w:r>
          </w:p>
        </w:tc>
        <w:tc>
          <w:tcPr>
            <w:tcW w:w="12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pPr>
            <w:r>
              <w:rPr/>
              <w:t>$756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7"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right"/>
              <w:rPr/>
            </w:pPr>
            <w:r>
              <w:rPr/>
              <w:t>$756</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right"/>
              <w:rPr/>
            </w:pPr>
            <w:r>
              <w:rPr/>
              <w:t>$365</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right"/>
              <w:rPr/>
            </w:pPr>
            <w:r>
              <w:rPr/>
              <w:t>48.3%</w:t>
            </w:r>
          </w:p>
        </w:tc>
      </w:tr>
      <w:tr>
        <w:trPr/>
        <w:tc>
          <w:tcPr>
            <w:tcW w:w="2855" w:type="dxa"/>
            <w:tcBorders/>
          </w:tcPr>
          <w:p>
            <w:pPr>
              <w:pStyle w:val="TableContents"/>
              <w:bidi w:val="0"/>
              <w:spacing w:before="0" w:after="0"/>
              <w:jc w:val="left"/>
              <w:rPr>
                <w:rFonts w:ascii="Arial" w:hAnsi="Arial"/>
                <w:sz w:val="15"/>
              </w:rPr>
            </w:pPr>
            <w:r>
              <w:rPr>
                <w:rFonts w:ascii="Arial" w:hAnsi="Arial"/>
                <w:sz w:val="15"/>
              </w:rPr>
              <w:t>Corporates</w:t>
            </w:r>
          </w:p>
        </w:tc>
        <w:tc>
          <w:tcPr>
            <w:tcW w:w="12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pPr>
            <w:r>
              <w:rPr/>
              <w:t>608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7"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right"/>
              <w:rPr/>
            </w:pPr>
            <w:r>
              <w:rPr/>
              <w:t>608</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right"/>
              <w:rPr/>
            </w:pPr>
            <w:r>
              <w:rPr/>
              <w:t>243</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right"/>
              <w:rPr/>
            </w:pPr>
            <w:r>
              <w:rPr/>
              <w:t>40.0%</w:t>
            </w:r>
          </w:p>
        </w:tc>
      </w:tr>
      <w:tr>
        <w:trPr/>
        <w:tc>
          <w:tcPr>
            <w:tcW w:w="2855" w:type="dxa"/>
            <w:tcBorders/>
          </w:tcPr>
          <w:p>
            <w:pPr>
              <w:pStyle w:val="TableContents"/>
              <w:bidi w:val="0"/>
              <w:spacing w:before="0" w:after="0"/>
              <w:jc w:val="left"/>
              <w:rPr>
                <w:rFonts w:ascii="Arial" w:hAnsi="Arial"/>
                <w:sz w:val="15"/>
              </w:rPr>
            </w:pPr>
            <w:r>
              <w:rPr>
                <w:rFonts w:ascii="Arial" w:hAnsi="Arial"/>
                <w:sz w:val="15"/>
              </w:rPr>
              <w:t>Tax, Audit &amp; Accounting Professionals</w:t>
            </w:r>
          </w:p>
        </w:tc>
        <w:tc>
          <w:tcPr>
            <w:tcW w:w="12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pPr>
            <w:r>
              <w:rPr/>
              <w:t>410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7"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right"/>
              <w:rPr/>
            </w:pPr>
            <w:r>
              <w:rPr/>
              <w:t>410</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right"/>
              <w:rPr/>
            </w:pPr>
            <w:r>
              <w:rPr/>
              <w:t>221</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right"/>
              <w:rPr/>
            </w:pPr>
            <w:r>
              <w:rPr/>
              <w:t>53.8%</w:t>
            </w:r>
          </w:p>
        </w:tc>
      </w:tr>
      <w:tr>
        <w:trPr/>
        <w:tc>
          <w:tcPr>
            <w:tcW w:w="28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single" w:sz="2" w:space="1" w:color="000000"/>
              </w:pBdr>
              <w:bidi w:val="0"/>
              <w:spacing w:before="0" w:after="0"/>
              <w:jc w:val="left"/>
              <w:rPr/>
            </w:pPr>
            <w:r>
              <w:rPr/>
              <w:t> </w:t>
            </w:r>
          </w:p>
        </w:tc>
        <w:tc>
          <w:tcPr>
            <w:tcW w:w="6590" w:type="dxa"/>
            <w:gridSpan w:val="8"/>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left"/>
              <w:rPr>
                <w:sz w:val="4"/>
                <w:szCs w:val="4"/>
              </w:rPr>
            </w:pPr>
            <w:r>
              <w:rPr>
                <w:sz w:val="4"/>
                <w:szCs w:val="4"/>
              </w:rPr>
            </w:r>
          </w:p>
        </w:tc>
      </w:tr>
      <w:tr>
        <w:trPr/>
        <w:tc>
          <w:tcPr>
            <w:tcW w:w="2855" w:type="dxa"/>
            <w:tcBorders/>
          </w:tcPr>
          <w:p>
            <w:pPr>
              <w:pStyle w:val="TableContents"/>
              <w:bidi w:val="0"/>
              <w:spacing w:before="0" w:after="0"/>
              <w:jc w:val="left"/>
              <w:rPr/>
            </w:pPr>
            <w:r>
              <w:rPr/>
              <w:t>“</w:t>
            </w:r>
            <w:r>
              <w:rPr>
                <w:rFonts w:ascii="Arial" w:hAnsi="Arial"/>
                <w:sz w:val="15"/>
              </w:rPr>
              <w:t>Big 3” Segments Combined(1)</w:t>
            </w:r>
          </w:p>
        </w:tc>
        <w:tc>
          <w:tcPr>
            <w:tcW w:w="12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pPr>
            <w:r>
              <w:rPr/>
              <w:t>1,774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7"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right"/>
              <w:rPr/>
            </w:pPr>
            <w:r>
              <w:rPr/>
              <w:t>1,774</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right"/>
              <w:rPr/>
            </w:pPr>
            <w:r>
              <w:rPr/>
              <w:t>829</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right"/>
              <w:rPr/>
            </w:pPr>
            <w:r>
              <w:rPr/>
              <w:t>46.7%</w:t>
            </w:r>
          </w:p>
        </w:tc>
      </w:tr>
      <w:tr>
        <w:trPr/>
        <w:tc>
          <w:tcPr>
            <w:tcW w:w="2855" w:type="dxa"/>
            <w:tcBorders/>
          </w:tcPr>
          <w:p>
            <w:pPr>
              <w:pStyle w:val="TableContents"/>
              <w:bidi w:val="0"/>
              <w:spacing w:before="0" w:after="0"/>
              <w:jc w:val="left"/>
              <w:rPr>
                <w:rFonts w:ascii="Arial" w:hAnsi="Arial"/>
                <w:sz w:val="15"/>
              </w:rPr>
            </w:pPr>
            <w:r>
              <w:rPr>
                <w:rFonts w:ascii="Arial" w:hAnsi="Arial"/>
                <w:sz w:val="15"/>
              </w:rPr>
              <w:t>Reuters</w:t>
            </w:r>
          </w:p>
        </w:tc>
        <w:tc>
          <w:tcPr>
            <w:tcW w:w="12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pPr>
            <w:r>
              <w:rPr/>
              <w:t>212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7"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right"/>
              <w:rPr/>
            </w:pPr>
            <w:r>
              <w:rPr/>
              <w:t>212</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right"/>
              <w:rPr/>
            </w:pPr>
            <w:r>
              <w:rPr/>
              <w:t>34</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right"/>
              <w:rPr/>
            </w:pPr>
            <w:r>
              <w:rPr/>
              <w:t>16.1%</w:t>
            </w:r>
          </w:p>
        </w:tc>
      </w:tr>
      <w:tr>
        <w:trPr/>
        <w:tc>
          <w:tcPr>
            <w:tcW w:w="2855" w:type="dxa"/>
            <w:tcBorders/>
          </w:tcPr>
          <w:p>
            <w:pPr>
              <w:pStyle w:val="TableContents"/>
              <w:bidi w:val="0"/>
              <w:spacing w:before="0" w:after="0"/>
              <w:jc w:val="left"/>
              <w:rPr>
                <w:rFonts w:ascii="Arial" w:hAnsi="Arial"/>
                <w:sz w:val="15"/>
              </w:rPr>
            </w:pPr>
            <w:r>
              <w:rPr>
                <w:rFonts w:ascii="Arial" w:hAnsi="Arial"/>
                <w:sz w:val="15"/>
              </w:rPr>
              <w:t>Eliminations/Rounding</w:t>
            </w:r>
          </w:p>
        </w:tc>
        <w:tc>
          <w:tcPr>
            <w:tcW w:w="12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pPr>
            <w:r>
              <w:rPr/>
              <w:t>(11)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7"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right"/>
              <w:rPr/>
            </w:pPr>
            <w:r>
              <w:rPr/>
              <w:t>(11)</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right"/>
              <w:rPr/>
            </w:pPr>
            <w:r>
              <w:rPr/>
              <w:t>n/a</w:t>
            </w:r>
          </w:p>
        </w:tc>
      </w:tr>
      <w:tr>
        <w:trPr/>
        <w:tc>
          <w:tcPr>
            <w:tcW w:w="2855" w:type="dxa"/>
            <w:tcBorders/>
          </w:tcPr>
          <w:p>
            <w:pPr>
              <w:pStyle w:val="TableContents"/>
              <w:bidi w:val="0"/>
              <w:spacing w:before="0" w:after="0"/>
              <w:jc w:val="left"/>
              <w:rPr>
                <w:rFonts w:ascii="Arial" w:hAnsi="Arial"/>
                <w:sz w:val="15"/>
              </w:rPr>
            </w:pPr>
            <w:r>
              <w:rPr>
                <w:rFonts w:ascii="Arial" w:hAnsi="Arial"/>
                <w:sz w:val="15"/>
              </w:rPr>
              <w:t>Corporate costs</w:t>
            </w:r>
          </w:p>
        </w:tc>
        <w:tc>
          <w:tcPr>
            <w:tcW w:w="12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7"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right"/>
              <w:rPr/>
            </w:pPr>
            <w:r>
              <w:rPr/>
              <w:t>(52)</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right"/>
              <w:rPr/>
            </w:pPr>
            <w:r>
              <w:rPr/>
              <w:t>n/a</w:t>
            </w:r>
          </w:p>
        </w:tc>
      </w:tr>
      <w:tr>
        <w:trPr/>
        <w:tc>
          <w:tcPr>
            <w:tcW w:w="28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single" w:sz="2" w:space="1" w:color="000000"/>
              </w:pBdr>
              <w:bidi w:val="0"/>
              <w:spacing w:before="0" w:after="0"/>
              <w:jc w:val="left"/>
              <w:rPr/>
            </w:pPr>
            <w:r>
              <w:rPr/>
              <w:t> </w:t>
            </w:r>
          </w:p>
        </w:tc>
        <w:tc>
          <w:tcPr>
            <w:tcW w:w="6590" w:type="dxa"/>
            <w:gridSpan w:val="8"/>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left"/>
              <w:rPr>
                <w:sz w:val="4"/>
                <w:szCs w:val="4"/>
              </w:rPr>
            </w:pPr>
            <w:r>
              <w:rPr>
                <w:sz w:val="4"/>
                <w:szCs w:val="4"/>
              </w:rPr>
            </w:r>
          </w:p>
        </w:tc>
      </w:tr>
      <w:tr>
        <w:trPr/>
        <w:tc>
          <w:tcPr>
            <w:tcW w:w="2855" w:type="dxa"/>
            <w:tcBorders/>
          </w:tcPr>
          <w:p>
            <w:pPr>
              <w:pStyle w:val="TableContents"/>
              <w:bidi w:val="0"/>
              <w:spacing w:before="0" w:after="0"/>
              <w:jc w:val="left"/>
              <w:rPr>
                <w:rFonts w:ascii="Arial" w:hAnsi="Arial"/>
                <w:b/>
                <w:sz w:val="15"/>
              </w:rPr>
            </w:pPr>
            <w:r>
              <w:rPr>
                <w:rFonts w:ascii="Arial" w:hAnsi="Arial"/>
                <w:b/>
                <w:sz w:val="15"/>
              </w:rPr>
              <w:t>Consolidated totals</w:t>
            </w:r>
          </w:p>
        </w:tc>
        <w:tc>
          <w:tcPr>
            <w:tcW w:w="12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right"/>
              <w:rPr>
                <w:b/>
              </w:rPr>
            </w:pPr>
            <w:r>
              <w:rPr>
                <w:b/>
              </w:rPr>
              <w:t>$1,975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7"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b/>
              </w:rPr>
            </w:pPr>
            <w:r>
              <w:rPr>
                <w:b/>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right"/>
              <w:rPr>
                <w:b/>
              </w:rPr>
            </w:pPr>
            <w:r>
              <w:rPr>
                <w:b/>
              </w:rPr>
              <w:t>$1,975</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right"/>
              <w:rPr>
                <w:b/>
              </w:rPr>
            </w:pPr>
            <w:r>
              <w:rPr>
                <w:b/>
              </w:rPr>
              <w:t>$811</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right"/>
              <w:rPr>
                <w:b/>
              </w:rPr>
            </w:pPr>
            <w:r>
              <w:rPr>
                <w:b/>
              </w:rPr>
              <w:t>41.1%</w:t>
            </w:r>
          </w:p>
        </w:tc>
      </w:tr>
      <w:tr>
        <w:trPr/>
        <w:tc>
          <w:tcPr>
            <w:tcW w:w="28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double" w:sz="6" w:space="1" w:color="000000"/>
              </w:pBdr>
              <w:bidi w:val="0"/>
              <w:spacing w:before="0" w:after="0"/>
              <w:jc w:val="left"/>
              <w:rPr/>
            </w:pPr>
            <w:r>
              <w:rPr/>
              <w:t> </w:t>
            </w:r>
          </w:p>
        </w:tc>
        <w:tc>
          <w:tcPr>
            <w:tcW w:w="6590" w:type="dxa"/>
            <w:gridSpan w:val="8"/>
            <w:tcBorders/>
            <w:vAlign w:val="bottom"/>
          </w:tcPr>
          <w:p>
            <w:pPr>
              <w:pStyle w:val="TableContents"/>
              <w:pBdr>
                <w:top w:val="double" w:sz="6"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pBdr>
                <w:top w:val="double" w:sz="6"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pBdr/>
        <w:bidi w:val="0"/>
        <w:spacing w:before="0" w:after="0"/>
        <w:jc w:val="left"/>
        <w:rPr>
          <w:rFonts w:ascii="Calibri" w:hAnsi="Calibri"/>
          <w:sz w:val="13"/>
          <w:bdr w:val="single" w:sz="2" w:space="2" w:color="000000"/>
        </w:rPr>
      </w:pPr>
      <w:r>
        <w:rPr>
          <w:rFonts w:ascii="Calibri" w:hAnsi="Calibri"/>
          <w:sz w:val="13"/>
          <w:bdr w:val="single" w:sz="2" w:space="2" w:color="000000"/>
        </w:rPr>
        <w:t xml:space="preserve">(1) To compute segment and consolidated adjusted EBITDA margin, we exclude fair value adjustments related to acquired deferred revenue from our IFRS revenues. The chart above reconciles IFRS revenues to revenues used in the calculation of adjusted EBITDA margin, which excludes fair value adjustments related to acquired deferred revenue. </w:t>
      </w:r>
    </w:p>
    <w:p>
      <w:pPr>
        <w:pStyle w:val="TextBody"/>
        <w:bidi w:val="0"/>
        <w:spacing w:before="160" w:after="0"/>
        <w:jc w:val="left"/>
        <w:rPr>
          <w:rFonts w:ascii="Calibri" w:hAnsi="Calibri"/>
          <w:sz w:val="13"/>
          <w:bdr w:val="single" w:sz="2" w:space="2" w:color="000000"/>
        </w:rPr>
      </w:pPr>
      <w:r>
        <w:rPr>
          <w:rFonts w:ascii="Calibri" w:hAnsi="Calibri"/>
          <w:sz w:val="13"/>
          <w:bdr w:val="single" w:sz="2" w:space="2" w:color="000000"/>
        </w:rPr>
        <w:t xml:space="preserve">The Company reports its results in millions of U.S. dollars, but computes margins using whole-dollars to be more precise. As a result, adjusted EBITDA margins calculated from reported amounts may differ from those presented.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293"/>
        <w:gridCol w:w="141"/>
        <w:gridCol w:w="1771"/>
      </w:tblGrid>
      <w:tr>
        <w:trPr/>
        <w:tc>
          <w:tcPr>
            <w:tcW w:w="8293"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r>
      <w:tr>
        <w:trPr/>
        <w:tc>
          <w:tcPr>
            <w:tcW w:w="8293" w:type="dxa"/>
            <w:tcBorders/>
          </w:tcPr>
          <w:p>
            <w:pPr>
              <w:pStyle w:val="TableContents"/>
              <w:bidi w:val="0"/>
              <w:spacing w:before="0" w:after="283"/>
              <w:jc w:val="left"/>
              <w:rPr>
                <w:b/>
              </w:rPr>
            </w:pPr>
            <w:r>
              <w:rPr>
                <w:b/>
              </w:rPr>
              <w:t>THOMSON REUTERS CORPORATION</w:t>
            </w:r>
          </w:p>
        </w:tc>
        <w:tc>
          <w:tcPr>
            <w:tcW w:w="141" w:type="dxa"/>
            <w:tcBorders/>
            <w:vAlign w:val="bottom"/>
          </w:tcPr>
          <w:p>
            <w:pPr>
              <w:pStyle w:val="TableContents"/>
              <w:bidi w:val="0"/>
              <w:spacing w:before="0" w:after="283"/>
              <w:jc w:val="left"/>
              <w:rPr/>
            </w:pPr>
            <w:r>
              <w:rPr/>
              <w:t>  </w:t>
            </w:r>
          </w:p>
        </w:tc>
        <w:tc>
          <w:tcPr>
            <w:tcW w:w="1771" w:type="dxa"/>
            <w:tcBorders/>
          </w:tcPr>
          <w:p>
            <w:pPr>
              <w:pStyle w:val="TableContents"/>
              <w:bidi w:val="0"/>
              <w:spacing w:before="0" w:after="283"/>
              <w:jc w:val="left"/>
              <w:rPr>
                <w:sz w:val="4"/>
                <w:szCs w:val="4"/>
              </w:rPr>
            </w:pPr>
            <w:r>
              <w:rPr>
                <w:sz w:val="4"/>
                <w:szCs w:val="4"/>
              </w:rPr>
            </w:r>
          </w:p>
        </w:tc>
      </w:tr>
      <w:tr>
        <w:trPr/>
        <w:tc>
          <w:tcPr>
            <w:tcW w:w="8293" w:type="dxa"/>
            <w:tcBorders/>
          </w:tcPr>
          <w:p>
            <w:pPr>
              <w:pStyle w:val="TableContents"/>
              <w:bidi w:val="0"/>
              <w:spacing w:before="0" w:after="283"/>
              <w:jc w:val="left"/>
              <w:rPr>
                <w:b/>
              </w:rPr>
            </w:pPr>
            <w:r>
              <w:rPr>
                <w:b/>
              </w:rPr>
              <w:t>SUPPLEMENTAL FINANCIAL INFORMATION- RECONCILIATION OF ADJUSTED EBITDA MARGIN (1)</w:t>
            </w:r>
          </w:p>
        </w:tc>
        <w:tc>
          <w:tcPr>
            <w:tcW w:w="141" w:type="dxa"/>
            <w:tcBorders/>
            <w:vAlign w:val="bottom"/>
          </w:tcPr>
          <w:p>
            <w:pPr>
              <w:pStyle w:val="TableContents"/>
              <w:bidi w:val="0"/>
              <w:spacing w:before="0" w:after="283"/>
              <w:jc w:val="left"/>
              <w:rPr/>
            </w:pPr>
            <w:r>
              <w:rPr/>
              <w:t>  </w:t>
            </w:r>
          </w:p>
        </w:tc>
        <w:tc>
          <w:tcPr>
            <w:tcW w:w="1771" w:type="dxa"/>
            <w:tcBorders/>
          </w:tcPr>
          <w:p>
            <w:pPr>
              <w:pStyle w:val="TableContents"/>
              <w:bidi w:val="0"/>
              <w:spacing w:before="0" w:after="283"/>
              <w:jc w:val="left"/>
              <w:rPr>
                <w:b/>
              </w:rPr>
            </w:pPr>
            <w:r>
              <w:rPr>
                <w:b/>
              </w:rPr>
              <w:t>October 19, 2026</w:t>
            </w:r>
          </w:p>
        </w:tc>
      </w:tr>
      <w:tr>
        <w:trPr/>
        <w:tc>
          <w:tcPr>
            <w:tcW w:w="8293" w:type="dxa"/>
            <w:tcBorders/>
          </w:tcPr>
          <w:p>
            <w:pPr>
              <w:pStyle w:val="TableContents"/>
              <w:bidi w:val="0"/>
              <w:spacing w:before="0" w:after="283"/>
              <w:jc w:val="left"/>
              <w:rPr>
                <w:sz w:val="12"/>
              </w:rPr>
            </w:pPr>
            <w:r>
              <w:rPr>
                <w:sz w:val="12"/>
              </w:rPr>
              <w:t>(Unaudited)</w:t>
            </w:r>
          </w:p>
        </w:tc>
        <w:tc>
          <w:tcPr>
            <w:tcW w:w="141" w:type="dxa"/>
            <w:tcBorders/>
            <w:vAlign w:val="bottom"/>
          </w:tcPr>
          <w:p>
            <w:pPr>
              <w:pStyle w:val="TableContents"/>
              <w:bidi w:val="0"/>
              <w:spacing w:before="0" w:after="283"/>
              <w:jc w:val="left"/>
              <w:rPr/>
            </w:pPr>
            <w:r>
              <w:rPr/>
              <w:t>  </w:t>
            </w:r>
          </w:p>
        </w:tc>
        <w:tc>
          <w:tcPr>
            <w:tcW w:w="1771" w:type="dxa"/>
            <w:tcBorders/>
          </w:tcPr>
          <w:p>
            <w:pPr>
              <w:pStyle w:val="TableContents"/>
              <w:bidi w:val="0"/>
              <w:spacing w:before="0" w:after="283"/>
              <w:jc w:val="center"/>
              <w:rPr>
                <w:b/>
              </w:rPr>
            </w:pPr>
            <w:r>
              <w:rPr>
                <w:b/>
              </w:rPr>
              <w:t>Page 8</w:t>
            </w:r>
          </w:p>
        </w:tc>
      </w:tr>
      <w:tr>
        <w:trPr/>
        <w:tc>
          <w:tcPr>
            <w:tcW w:w="8293" w:type="dxa"/>
            <w:tcBorders/>
          </w:tcPr>
          <w:p>
            <w:pPr>
              <w:pStyle w:val="TableContents"/>
              <w:bidi w:val="0"/>
              <w:spacing w:before="0" w:after="283"/>
              <w:jc w:val="left"/>
              <w:rPr>
                <w:sz w:val="12"/>
              </w:rPr>
            </w:pPr>
            <w:r>
              <w:rPr>
                <w:sz w:val="12"/>
              </w:rPr>
              <w:t>(millions of U.S. dollars)</w:t>
            </w:r>
          </w:p>
        </w:tc>
        <w:tc>
          <w:tcPr>
            <w:tcW w:w="141" w:type="dxa"/>
            <w:tcBorders/>
            <w:vAlign w:val="bottom"/>
          </w:tcPr>
          <w:p>
            <w:pPr>
              <w:pStyle w:val="TableContents"/>
              <w:bidi w:val="0"/>
              <w:spacing w:before="0" w:after="283"/>
              <w:jc w:val="left"/>
              <w:rPr/>
            </w:pPr>
            <w:r>
              <w:rPr/>
              <w:t>  </w:t>
            </w:r>
          </w:p>
        </w:tc>
        <w:tc>
          <w:tcPr>
            <w:tcW w:w="1771"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3320" w:type="dxa"/>
        <w:jc w:val="center"/>
        <w:tblInd w:w="0" w:type="dxa"/>
        <w:tblLayout w:type="fixed"/>
        <w:tblCellMar>
          <w:top w:w="0" w:type="dxa"/>
          <w:left w:w="0" w:type="dxa"/>
          <w:bottom w:w="0" w:type="dxa"/>
          <w:right w:w="0" w:type="dxa"/>
        </w:tblCellMar>
      </w:tblPr>
      <w:tblGrid>
        <w:gridCol w:w="1085"/>
        <w:gridCol w:w="60"/>
        <w:gridCol w:w="60"/>
        <w:gridCol w:w="1640"/>
        <w:gridCol w:w="60"/>
        <w:gridCol w:w="60"/>
        <w:gridCol w:w="370"/>
        <w:gridCol w:w="2350"/>
        <w:gridCol w:w="60"/>
        <w:gridCol w:w="60"/>
        <w:gridCol w:w="2675"/>
        <w:gridCol w:w="60"/>
        <w:gridCol w:w="2300"/>
        <w:gridCol w:w="60"/>
        <w:gridCol w:w="2420"/>
      </w:tblGrid>
      <w:tr>
        <w:trPr/>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left"/>
              <w:rPr>
                <w:sz w:val="4"/>
                <w:szCs w:val="4"/>
              </w:rPr>
            </w:pPr>
            <w:r>
              <w:rPr>
                <w:sz w:val="4"/>
                <w:szCs w:val="4"/>
              </w:rPr>
            </w:r>
          </w:p>
        </w:tc>
      </w:tr>
      <w:tr>
        <w:trPr/>
        <w:tc>
          <w:tcPr>
            <w:tcW w:w="10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0" w:type="dxa"/>
            <w:gridSpan w:val="2"/>
            <w:tcBorders/>
            <w:vAlign w:val="bottom"/>
          </w:tcPr>
          <w:p>
            <w:pPr>
              <w:pStyle w:val="TableContents"/>
              <w:bidi w:val="0"/>
              <w:spacing w:before="0" w:after="283"/>
              <w:jc w:val="center"/>
              <w:rPr/>
            </w:pPr>
            <w:r>
              <w:rPr/>
              <w:t>Revised IFRS</w:t>
              <w:br/>
              <w:t>revenues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20" w:type="dxa"/>
            <w:gridSpan w:val="2"/>
            <w:tcBorders/>
            <w:vAlign w:val="bottom"/>
          </w:tcPr>
          <w:p>
            <w:pPr>
              <w:pStyle w:val="TableContents"/>
              <w:bidi w:val="0"/>
              <w:spacing w:before="0" w:after="283"/>
              <w:jc w:val="center"/>
              <w:rPr/>
            </w:pPr>
            <w:r>
              <w:rPr/>
              <w:t>Remove fair value</w:t>
              <w:br/>
              <w:t> adjustments to acquired </w:t>
              <w:br/>
              <w:t>deferred revenue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center"/>
              <w:rPr/>
            </w:pPr>
            <w:r>
              <w:rPr/>
              <w:t>Revised revenues excluding</w:t>
              <w:br/>
              <w:t>fair value adjustments to</w:t>
              <w:br/>
              <w:t>acquired deferred revenue</w:t>
            </w:r>
          </w:p>
        </w:tc>
        <w:tc>
          <w:tcPr>
            <w:tcW w:w="60" w:type="dxa"/>
            <w:tcBorders/>
            <w:vAlign w:val="bottom"/>
          </w:tcPr>
          <w:p>
            <w:pPr>
              <w:pStyle w:val="TableContents"/>
              <w:bidi w:val="0"/>
              <w:spacing w:before="0" w:after="283"/>
              <w:jc w:val="left"/>
              <w:rPr/>
            </w:pPr>
            <w:r>
              <w:rPr/>
              <w:t> </w:t>
            </w:r>
          </w:p>
        </w:tc>
        <w:tc>
          <w:tcPr>
            <w:tcW w:w="2300" w:type="dxa"/>
            <w:tcBorders/>
            <w:vAlign w:val="bottom"/>
          </w:tcPr>
          <w:p>
            <w:pPr>
              <w:pStyle w:val="TableContents"/>
              <w:bidi w:val="0"/>
              <w:spacing w:before="0" w:after="283"/>
              <w:jc w:val="center"/>
              <w:rPr/>
            </w:pPr>
            <w:r>
              <w:rPr/>
              <w:t>  </w:t>
            </w:r>
            <w:r>
              <w:rPr/>
              <w:t>Revised Adjusted </w:t>
              <w:br/>
              <w:t>EBITDA</w:t>
            </w:r>
          </w:p>
        </w:tc>
        <w:tc>
          <w:tcPr>
            <w:tcW w:w="60" w:type="dxa"/>
            <w:tcBorders/>
            <w:vAlign w:val="bottom"/>
          </w:tcPr>
          <w:p>
            <w:pPr>
              <w:pStyle w:val="TableContents"/>
              <w:bidi w:val="0"/>
              <w:spacing w:before="0" w:after="283"/>
              <w:jc w:val="left"/>
              <w:rPr/>
            </w:pPr>
            <w:r>
              <w:rPr/>
              <w:t> </w:t>
            </w:r>
          </w:p>
        </w:tc>
        <w:tc>
          <w:tcPr>
            <w:tcW w:w="2420" w:type="dxa"/>
            <w:tcBorders/>
            <w:vAlign w:val="bottom"/>
          </w:tcPr>
          <w:p>
            <w:pPr>
              <w:pStyle w:val="TableContents"/>
              <w:bidi w:val="0"/>
              <w:spacing w:before="0" w:after="283"/>
              <w:jc w:val="center"/>
              <w:rPr/>
            </w:pPr>
            <w:r>
              <w:rPr/>
              <w:t>  </w:t>
            </w:r>
            <w:r>
              <w:rPr/>
              <w:t>Revised Adjusted  </w:t>
              <w:br/>
              <w:t>EBITDA Margin</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275" w:type="dxa"/>
            <w:gridSpan w:val="8"/>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300"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420" w:type="dxa"/>
            <w:tcBorders/>
            <w:vAlign w:val="bottom"/>
          </w:tcPr>
          <w:p>
            <w:pPr>
              <w:pStyle w:val="TableContents"/>
              <w:pBdr>
                <w:top w:val="single" w:sz="2" w:space="1" w:color="000000"/>
              </w:pBdr>
              <w:bidi w:val="0"/>
              <w:spacing w:before="0" w:after="0"/>
              <w:jc w:val="left"/>
              <w:rPr/>
            </w:pPr>
            <w:r>
              <w:rPr/>
              <w:t> </w:t>
            </w:r>
          </w:p>
        </w:tc>
      </w:tr>
      <w:tr>
        <w:trPr/>
        <w:tc>
          <w:tcPr>
            <w:tcW w:w="1085" w:type="dxa"/>
            <w:tcBorders/>
          </w:tcPr>
          <w:p>
            <w:pPr>
              <w:pStyle w:val="TableContents"/>
              <w:bidi w:val="0"/>
              <w:spacing w:before="0" w:after="0"/>
              <w:jc w:val="left"/>
              <w:rPr>
                <w:rFonts w:ascii="Arial" w:hAnsi="Arial"/>
                <w:b/>
                <w:sz w:val="15"/>
                <w:u w:val="single"/>
              </w:rPr>
            </w:pPr>
            <w:r>
              <w:rPr>
                <w:rFonts w:ascii="Arial" w:hAnsi="Arial"/>
                <w:b/>
                <w:sz w:val="15"/>
                <w:u w:val="single"/>
              </w:rPr>
              <w:t>Year ended December 31, 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6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sz w:val="4"/>
                <w:szCs w:val="4"/>
              </w:rPr>
            </w:pPr>
            <w:r>
              <w:rPr>
                <w:sz w:val="4"/>
                <w:szCs w:val="4"/>
              </w:rPr>
            </w:r>
          </w:p>
        </w:tc>
        <w:tc>
          <w:tcPr>
            <w:tcW w:w="2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20" w:type="dxa"/>
            <w:tcBorders/>
            <w:vAlign w:val="bottom"/>
          </w:tcPr>
          <w:p>
            <w:pPr>
              <w:pStyle w:val="TableContents"/>
              <w:bidi w:val="0"/>
              <w:spacing w:before="0" w:after="283"/>
              <w:jc w:val="left"/>
              <w:rPr>
                <w:sz w:val="4"/>
                <w:szCs w:val="4"/>
              </w:rPr>
            </w:pPr>
            <w:r>
              <w:rPr>
                <w:sz w:val="4"/>
                <w:szCs w:val="4"/>
              </w:rPr>
            </w:r>
          </w:p>
        </w:tc>
      </w:tr>
      <w:tr>
        <w:trPr/>
        <w:tc>
          <w:tcPr>
            <w:tcW w:w="1085" w:type="dxa"/>
            <w:tcBorders/>
          </w:tcPr>
          <w:p>
            <w:pPr>
              <w:pStyle w:val="TableContents"/>
              <w:bidi w:val="0"/>
              <w:spacing w:before="0" w:after="0"/>
              <w:jc w:val="left"/>
              <w:rPr>
                <w:rFonts w:ascii="Arial" w:hAnsi="Arial"/>
                <w:sz w:val="15"/>
              </w:rPr>
            </w:pPr>
            <w:r>
              <w:rPr>
                <w:rFonts w:ascii="Arial" w:hAnsi="Arial"/>
                <w:sz w:val="15"/>
              </w:rPr>
              <w:t>Legal Professionals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tcBorders/>
            <w:vAlign w:val="bottom"/>
          </w:tcPr>
          <w:p>
            <w:pPr>
              <w:pStyle w:val="TableContents"/>
              <w:bidi w:val="0"/>
              <w:spacing w:before="0" w:after="283"/>
              <w:jc w:val="right"/>
              <w:rPr/>
            </w:pPr>
            <w:r>
              <w:rPr/>
              <w:t>$2,843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235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right"/>
              <w:rPr/>
            </w:pPr>
            <w:r>
              <w:rPr/>
              <w:t>$2,843</w:t>
            </w:r>
          </w:p>
        </w:tc>
        <w:tc>
          <w:tcPr>
            <w:tcW w:w="60" w:type="dxa"/>
            <w:tcBorders/>
            <w:vAlign w:val="bottom"/>
          </w:tcPr>
          <w:p>
            <w:pPr>
              <w:pStyle w:val="TableContents"/>
              <w:bidi w:val="0"/>
              <w:spacing w:before="0" w:after="283"/>
              <w:jc w:val="left"/>
              <w:rPr/>
            </w:pPr>
            <w:r>
              <w:rPr/>
              <w:t> </w:t>
            </w:r>
          </w:p>
        </w:tc>
        <w:tc>
          <w:tcPr>
            <w:tcW w:w="2300" w:type="dxa"/>
            <w:tcBorders/>
            <w:vAlign w:val="bottom"/>
          </w:tcPr>
          <w:p>
            <w:pPr>
              <w:pStyle w:val="TableContents"/>
              <w:bidi w:val="0"/>
              <w:spacing w:before="0" w:after="283"/>
              <w:jc w:val="right"/>
              <w:rPr/>
            </w:pPr>
            <w:r>
              <w:rPr/>
              <w:t>$1,354</w:t>
            </w:r>
          </w:p>
        </w:tc>
        <w:tc>
          <w:tcPr>
            <w:tcW w:w="60" w:type="dxa"/>
            <w:tcBorders/>
            <w:vAlign w:val="bottom"/>
          </w:tcPr>
          <w:p>
            <w:pPr>
              <w:pStyle w:val="TableContents"/>
              <w:bidi w:val="0"/>
              <w:spacing w:before="0" w:after="283"/>
              <w:jc w:val="left"/>
              <w:rPr/>
            </w:pPr>
            <w:r>
              <w:rPr/>
              <w:t> </w:t>
            </w:r>
          </w:p>
        </w:tc>
        <w:tc>
          <w:tcPr>
            <w:tcW w:w="2420" w:type="dxa"/>
            <w:tcBorders/>
            <w:vAlign w:val="bottom"/>
          </w:tcPr>
          <w:p>
            <w:pPr>
              <w:pStyle w:val="TableContents"/>
              <w:bidi w:val="0"/>
              <w:spacing w:before="0" w:after="283"/>
              <w:jc w:val="right"/>
              <w:rPr/>
            </w:pPr>
            <w:r>
              <w:rPr/>
              <w:t>47.6%</w:t>
            </w:r>
          </w:p>
        </w:tc>
      </w:tr>
      <w:tr>
        <w:trPr/>
        <w:tc>
          <w:tcPr>
            <w:tcW w:w="1085" w:type="dxa"/>
            <w:tcBorders/>
          </w:tcPr>
          <w:p>
            <w:pPr>
              <w:pStyle w:val="TableContents"/>
              <w:bidi w:val="0"/>
              <w:spacing w:before="0" w:after="0"/>
              <w:jc w:val="left"/>
              <w:rPr>
                <w:rFonts w:ascii="Arial" w:hAnsi="Arial"/>
                <w:sz w:val="15"/>
              </w:rPr>
            </w:pPr>
            <w:r>
              <w:rPr>
                <w:rFonts w:ascii="Arial" w:hAnsi="Arial"/>
                <w:sz w:val="15"/>
              </w:rPr>
              <w:t>Corporates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tcBorders/>
            <w:vAlign w:val="bottom"/>
          </w:tcPr>
          <w:p>
            <w:pPr>
              <w:pStyle w:val="TableContents"/>
              <w:bidi w:val="0"/>
              <w:spacing w:before="0" w:after="283"/>
              <w:jc w:val="right"/>
              <w:rPr/>
            </w:pPr>
            <w:r>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235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right"/>
              <w:rPr/>
            </w:pPr>
            <w:r>
              <w:rPr/>
              <w:t>2,023</w:t>
            </w:r>
          </w:p>
        </w:tc>
        <w:tc>
          <w:tcPr>
            <w:tcW w:w="60" w:type="dxa"/>
            <w:tcBorders/>
            <w:vAlign w:val="bottom"/>
          </w:tcPr>
          <w:p>
            <w:pPr>
              <w:pStyle w:val="TableContents"/>
              <w:bidi w:val="0"/>
              <w:spacing w:before="0" w:after="283"/>
              <w:jc w:val="left"/>
              <w:rPr/>
            </w:pPr>
            <w:r>
              <w:rPr/>
              <w:t> </w:t>
            </w:r>
          </w:p>
        </w:tc>
        <w:tc>
          <w:tcPr>
            <w:tcW w:w="2300" w:type="dxa"/>
            <w:tcBorders/>
            <w:vAlign w:val="bottom"/>
          </w:tcPr>
          <w:p>
            <w:pPr>
              <w:pStyle w:val="TableContents"/>
              <w:bidi w:val="0"/>
              <w:spacing w:before="0" w:after="283"/>
              <w:jc w:val="right"/>
              <w:rPr/>
            </w:pPr>
            <w:r>
              <w:rPr/>
              <w:t>727</w:t>
            </w:r>
          </w:p>
        </w:tc>
        <w:tc>
          <w:tcPr>
            <w:tcW w:w="60" w:type="dxa"/>
            <w:tcBorders/>
            <w:vAlign w:val="bottom"/>
          </w:tcPr>
          <w:p>
            <w:pPr>
              <w:pStyle w:val="TableContents"/>
              <w:bidi w:val="0"/>
              <w:spacing w:before="0" w:after="283"/>
              <w:jc w:val="left"/>
              <w:rPr/>
            </w:pPr>
            <w:r>
              <w:rPr/>
              <w:t> </w:t>
            </w:r>
          </w:p>
        </w:tc>
        <w:tc>
          <w:tcPr>
            <w:tcW w:w="2420" w:type="dxa"/>
            <w:tcBorders/>
            <w:vAlign w:val="bottom"/>
          </w:tcPr>
          <w:p>
            <w:pPr>
              <w:pStyle w:val="TableContents"/>
              <w:bidi w:val="0"/>
              <w:spacing w:before="0" w:after="283"/>
              <w:jc w:val="right"/>
              <w:rPr/>
            </w:pPr>
            <w:r>
              <w:rPr/>
              <w:t>35.9%</w:t>
            </w:r>
          </w:p>
        </w:tc>
      </w:tr>
      <w:tr>
        <w:trPr/>
        <w:tc>
          <w:tcPr>
            <w:tcW w:w="1085" w:type="dxa"/>
            <w:tcBorders/>
          </w:tcPr>
          <w:p>
            <w:pPr>
              <w:pStyle w:val="TableContents"/>
              <w:bidi w:val="0"/>
              <w:spacing w:before="0" w:after="0"/>
              <w:jc w:val="left"/>
              <w:rPr>
                <w:rFonts w:ascii="Arial" w:hAnsi="Arial"/>
                <w:sz w:val="15"/>
              </w:rPr>
            </w:pPr>
            <w:r>
              <w:rPr>
                <w:rFonts w:ascii="Arial" w:hAnsi="Arial"/>
                <w:sz w:val="15"/>
              </w:rPr>
              <w:t>Tax, Audit &amp; Accounting Professionals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tcBorders/>
            <w:vAlign w:val="bottom"/>
          </w:tcPr>
          <w:p>
            <w:pPr>
              <w:pStyle w:val="TableContents"/>
              <w:bidi w:val="0"/>
              <w:spacing w:before="0" w:after="283"/>
              <w:jc w:val="right"/>
              <w:rPr/>
            </w:pPr>
            <w:r>
              <w:rPr/>
              <w:t>1,291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2350" w:type="dxa"/>
            <w:tcBorders/>
            <w:vAlign w:val="bottom"/>
          </w:tcPr>
          <w:p>
            <w:pPr>
              <w:pStyle w:val="TableContents"/>
              <w:bidi w:val="0"/>
              <w:spacing w:before="0" w:after="283"/>
              <w:jc w:val="right"/>
              <w:rPr/>
            </w:pPr>
            <w:r>
              <w:rPr/>
              <w:t>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right"/>
              <w:rPr/>
            </w:pPr>
            <w:r>
              <w:rPr/>
              <w:t>1,311</w:t>
            </w:r>
          </w:p>
        </w:tc>
        <w:tc>
          <w:tcPr>
            <w:tcW w:w="60" w:type="dxa"/>
            <w:tcBorders/>
            <w:vAlign w:val="bottom"/>
          </w:tcPr>
          <w:p>
            <w:pPr>
              <w:pStyle w:val="TableContents"/>
              <w:bidi w:val="0"/>
              <w:spacing w:before="0" w:after="283"/>
              <w:jc w:val="left"/>
              <w:rPr/>
            </w:pPr>
            <w:r>
              <w:rPr/>
              <w:t> </w:t>
            </w:r>
          </w:p>
        </w:tc>
        <w:tc>
          <w:tcPr>
            <w:tcW w:w="2300" w:type="dxa"/>
            <w:tcBorders/>
            <w:vAlign w:val="bottom"/>
          </w:tcPr>
          <w:p>
            <w:pPr>
              <w:pStyle w:val="TableContents"/>
              <w:bidi w:val="0"/>
              <w:spacing w:before="0" w:after="283"/>
              <w:jc w:val="right"/>
              <w:rPr/>
            </w:pPr>
            <w:r>
              <w:rPr/>
              <w:t>614</w:t>
            </w:r>
          </w:p>
        </w:tc>
        <w:tc>
          <w:tcPr>
            <w:tcW w:w="60" w:type="dxa"/>
            <w:tcBorders/>
            <w:vAlign w:val="bottom"/>
          </w:tcPr>
          <w:p>
            <w:pPr>
              <w:pStyle w:val="TableContents"/>
              <w:bidi w:val="0"/>
              <w:spacing w:before="0" w:after="283"/>
              <w:jc w:val="left"/>
              <w:rPr/>
            </w:pPr>
            <w:r>
              <w:rPr/>
              <w:t> </w:t>
            </w:r>
          </w:p>
        </w:tc>
        <w:tc>
          <w:tcPr>
            <w:tcW w:w="2420" w:type="dxa"/>
            <w:tcBorders/>
            <w:vAlign w:val="bottom"/>
          </w:tcPr>
          <w:p>
            <w:pPr>
              <w:pStyle w:val="TableContents"/>
              <w:bidi w:val="0"/>
              <w:spacing w:before="0" w:after="283"/>
              <w:jc w:val="right"/>
              <w:rPr/>
            </w:pPr>
            <w:r>
              <w:rPr/>
              <w:t>46.9%</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275" w:type="dxa"/>
            <w:gridSpan w:val="8"/>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300"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420" w:type="dxa"/>
            <w:tcBorders/>
            <w:vAlign w:val="bottom"/>
          </w:tcPr>
          <w:p>
            <w:pPr>
              <w:pStyle w:val="TableContents"/>
              <w:bidi w:val="0"/>
              <w:spacing w:before="0" w:after="283"/>
              <w:jc w:val="left"/>
              <w:rPr>
                <w:sz w:val="4"/>
                <w:szCs w:val="4"/>
              </w:rPr>
            </w:pPr>
            <w:r>
              <w:rPr>
                <w:sz w:val="4"/>
                <w:szCs w:val="4"/>
              </w:rPr>
            </w:r>
          </w:p>
        </w:tc>
      </w:tr>
      <w:tr>
        <w:trPr/>
        <w:tc>
          <w:tcPr>
            <w:tcW w:w="1085" w:type="dxa"/>
            <w:tcBorders/>
          </w:tcPr>
          <w:p>
            <w:pPr>
              <w:pStyle w:val="TableContents"/>
              <w:bidi w:val="0"/>
              <w:spacing w:before="0" w:after="0"/>
              <w:jc w:val="left"/>
              <w:rPr/>
            </w:pPr>
            <w:r>
              <w:rPr/>
              <w:t>“</w:t>
            </w:r>
            <w:r>
              <w:rPr>
                <w:rFonts w:ascii="Arial" w:hAnsi="Arial"/>
                <w:sz w:val="15"/>
              </w:rPr>
              <w:t>Big 3” Segments Combined(1)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tcBorders/>
            <w:vAlign w:val="bottom"/>
          </w:tcPr>
          <w:p>
            <w:pPr>
              <w:pStyle w:val="TableContents"/>
              <w:bidi w:val="0"/>
              <w:spacing w:before="0" w:after="283"/>
              <w:jc w:val="right"/>
              <w:rPr/>
            </w:pPr>
            <w:r>
              <w:rPr/>
              <w:t>6,157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2350" w:type="dxa"/>
            <w:tcBorders/>
            <w:vAlign w:val="bottom"/>
          </w:tcPr>
          <w:p>
            <w:pPr>
              <w:pStyle w:val="TableContents"/>
              <w:bidi w:val="0"/>
              <w:spacing w:before="0" w:after="283"/>
              <w:jc w:val="right"/>
              <w:rPr/>
            </w:pPr>
            <w:r>
              <w:rPr/>
              <w:t>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right"/>
              <w:rPr/>
            </w:pPr>
            <w:r>
              <w:rPr/>
              <w:t>6,177</w:t>
            </w:r>
          </w:p>
        </w:tc>
        <w:tc>
          <w:tcPr>
            <w:tcW w:w="60" w:type="dxa"/>
            <w:tcBorders/>
            <w:vAlign w:val="bottom"/>
          </w:tcPr>
          <w:p>
            <w:pPr>
              <w:pStyle w:val="TableContents"/>
              <w:bidi w:val="0"/>
              <w:spacing w:before="0" w:after="283"/>
              <w:jc w:val="left"/>
              <w:rPr/>
            </w:pPr>
            <w:r>
              <w:rPr/>
              <w:t> </w:t>
            </w:r>
          </w:p>
        </w:tc>
        <w:tc>
          <w:tcPr>
            <w:tcW w:w="2300" w:type="dxa"/>
            <w:tcBorders/>
            <w:vAlign w:val="bottom"/>
          </w:tcPr>
          <w:p>
            <w:pPr>
              <w:pStyle w:val="TableContents"/>
              <w:bidi w:val="0"/>
              <w:spacing w:before="0" w:after="283"/>
              <w:jc w:val="right"/>
              <w:rPr/>
            </w:pPr>
            <w:r>
              <w:rPr/>
              <w:t>2,695</w:t>
            </w:r>
          </w:p>
        </w:tc>
        <w:tc>
          <w:tcPr>
            <w:tcW w:w="60" w:type="dxa"/>
            <w:tcBorders/>
            <w:vAlign w:val="bottom"/>
          </w:tcPr>
          <w:p>
            <w:pPr>
              <w:pStyle w:val="TableContents"/>
              <w:bidi w:val="0"/>
              <w:spacing w:before="0" w:after="283"/>
              <w:jc w:val="left"/>
              <w:rPr/>
            </w:pPr>
            <w:r>
              <w:rPr/>
              <w:t> </w:t>
            </w:r>
          </w:p>
        </w:tc>
        <w:tc>
          <w:tcPr>
            <w:tcW w:w="2420" w:type="dxa"/>
            <w:tcBorders/>
            <w:vAlign w:val="bottom"/>
          </w:tcPr>
          <w:p>
            <w:pPr>
              <w:pStyle w:val="TableContents"/>
              <w:bidi w:val="0"/>
              <w:spacing w:before="0" w:after="283"/>
              <w:jc w:val="right"/>
              <w:rPr/>
            </w:pPr>
            <w:r>
              <w:rPr/>
              <w:t>43.6%</w:t>
            </w:r>
          </w:p>
        </w:tc>
      </w:tr>
      <w:tr>
        <w:trPr/>
        <w:tc>
          <w:tcPr>
            <w:tcW w:w="1085" w:type="dxa"/>
            <w:tcBorders/>
          </w:tcPr>
          <w:p>
            <w:pPr>
              <w:pStyle w:val="TableContents"/>
              <w:bidi w:val="0"/>
              <w:spacing w:before="0" w:after="0"/>
              <w:jc w:val="left"/>
              <w:rPr>
                <w:rFonts w:ascii="Arial" w:hAnsi="Arial"/>
                <w:sz w:val="15"/>
              </w:rPr>
            </w:pPr>
            <w:r>
              <w:rPr>
                <w:rFonts w:ascii="Arial" w:hAnsi="Arial"/>
                <w:sz w:val="15"/>
              </w:rPr>
              <w:t>Reuters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tcBorders/>
            <w:vAlign w:val="bottom"/>
          </w:tcPr>
          <w:p>
            <w:pPr>
              <w:pStyle w:val="TableContents"/>
              <w:bidi w:val="0"/>
              <w:spacing w:before="0" w:after="283"/>
              <w:jc w:val="right"/>
              <w:rPr/>
            </w:pPr>
            <w:r>
              <w:rPr/>
              <w:t>853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235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right"/>
              <w:rPr/>
            </w:pPr>
            <w:r>
              <w:rPr/>
              <w:t>853</w:t>
            </w:r>
          </w:p>
        </w:tc>
        <w:tc>
          <w:tcPr>
            <w:tcW w:w="60" w:type="dxa"/>
            <w:tcBorders/>
            <w:vAlign w:val="bottom"/>
          </w:tcPr>
          <w:p>
            <w:pPr>
              <w:pStyle w:val="TableContents"/>
              <w:bidi w:val="0"/>
              <w:spacing w:before="0" w:after="283"/>
              <w:jc w:val="left"/>
              <w:rPr/>
            </w:pPr>
            <w:r>
              <w:rPr/>
              <w:t> </w:t>
            </w:r>
          </w:p>
        </w:tc>
        <w:tc>
          <w:tcPr>
            <w:tcW w:w="2300" w:type="dxa"/>
            <w:tcBorders/>
            <w:vAlign w:val="bottom"/>
          </w:tcPr>
          <w:p>
            <w:pPr>
              <w:pStyle w:val="TableContents"/>
              <w:bidi w:val="0"/>
              <w:spacing w:before="0" w:after="283"/>
              <w:jc w:val="right"/>
              <w:rPr/>
            </w:pPr>
            <w:r>
              <w:rPr/>
              <w:t>174</w:t>
            </w:r>
          </w:p>
        </w:tc>
        <w:tc>
          <w:tcPr>
            <w:tcW w:w="60" w:type="dxa"/>
            <w:tcBorders/>
            <w:vAlign w:val="bottom"/>
          </w:tcPr>
          <w:p>
            <w:pPr>
              <w:pStyle w:val="TableContents"/>
              <w:bidi w:val="0"/>
              <w:spacing w:before="0" w:after="283"/>
              <w:jc w:val="left"/>
              <w:rPr/>
            </w:pPr>
            <w:r>
              <w:rPr/>
              <w:t> </w:t>
            </w:r>
          </w:p>
        </w:tc>
        <w:tc>
          <w:tcPr>
            <w:tcW w:w="2420" w:type="dxa"/>
            <w:tcBorders/>
            <w:vAlign w:val="bottom"/>
          </w:tcPr>
          <w:p>
            <w:pPr>
              <w:pStyle w:val="TableContents"/>
              <w:bidi w:val="0"/>
              <w:spacing w:before="0" w:after="283"/>
              <w:jc w:val="right"/>
              <w:rPr/>
            </w:pPr>
            <w:r>
              <w:rPr/>
              <w:t>20.4%</w:t>
            </w:r>
          </w:p>
        </w:tc>
      </w:tr>
      <w:tr>
        <w:trPr/>
        <w:tc>
          <w:tcPr>
            <w:tcW w:w="1085" w:type="dxa"/>
            <w:tcBorders/>
          </w:tcPr>
          <w:p>
            <w:pPr>
              <w:pStyle w:val="TableContents"/>
              <w:bidi w:val="0"/>
              <w:spacing w:before="0" w:after="0"/>
              <w:jc w:val="left"/>
              <w:rPr>
                <w:rFonts w:ascii="Arial" w:hAnsi="Arial"/>
                <w:sz w:val="15"/>
              </w:rPr>
            </w:pPr>
            <w:r>
              <w:rPr>
                <w:rFonts w:ascii="Arial" w:hAnsi="Arial"/>
                <w:sz w:val="15"/>
              </w:rPr>
              <w:t>Eliminations/Rounding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235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c>
          <w:tcPr>
            <w:tcW w:w="23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420" w:type="dxa"/>
            <w:tcBorders/>
            <w:vAlign w:val="bottom"/>
          </w:tcPr>
          <w:p>
            <w:pPr>
              <w:pStyle w:val="TableContents"/>
              <w:bidi w:val="0"/>
              <w:spacing w:before="0" w:after="283"/>
              <w:jc w:val="right"/>
              <w:rPr/>
            </w:pPr>
            <w:r>
              <w:rPr/>
              <w:t>n/a</w:t>
            </w:r>
          </w:p>
        </w:tc>
      </w:tr>
      <w:tr>
        <w:trPr/>
        <w:tc>
          <w:tcPr>
            <w:tcW w:w="1085" w:type="dxa"/>
            <w:tcBorders/>
          </w:tcPr>
          <w:p>
            <w:pPr>
              <w:pStyle w:val="TableContents"/>
              <w:bidi w:val="0"/>
              <w:spacing w:before="0" w:after="0"/>
              <w:jc w:val="left"/>
              <w:rPr>
                <w:rFonts w:ascii="Arial" w:hAnsi="Arial"/>
                <w:sz w:val="15"/>
              </w:rPr>
            </w:pPr>
            <w:r>
              <w:rPr>
                <w:rFonts w:ascii="Arial" w:hAnsi="Arial"/>
                <w:sz w:val="15"/>
              </w:rPr>
              <w:t>Corporate costs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235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300" w:type="dxa"/>
            <w:tcBorders/>
            <w:vAlign w:val="bottom"/>
          </w:tcPr>
          <w:p>
            <w:pPr>
              <w:pStyle w:val="TableContents"/>
              <w:bidi w:val="0"/>
              <w:spacing w:before="0" w:after="283"/>
              <w:jc w:val="right"/>
              <w:rPr/>
            </w:pPr>
            <w:r>
              <w:rPr/>
              <w:t>(252)</w:t>
            </w:r>
          </w:p>
        </w:tc>
        <w:tc>
          <w:tcPr>
            <w:tcW w:w="60" w:type="dxa"/>
            <w:tcBorders/>
            <w:vAlign w:val="bottom"/>
          </w:tcPr>
          <w:p>
            <w:pPr>
              <w:pStyle w:val="TableContents"/>
              <w:bidi w:val="0"/>
              <w:spacing w:before="0" w:after="283"/>
              <w:jc w:val="left"/>
              <w:rPr/>
            </w:pPr>
            <w:r>
              <w:rPr/>
              <w:t> </w:t>
            </w:r>
          </w:p>
        </w:tc>
        <w:tc>
          <w:tcPr>
            <w:tcW w:w="2420" w:type="dxa"/>
            <w:tcBorders/>
            <w:vAlign w:val="bottom"/>
          </w:tcPr>
          <w:p>
            <w:pPr>
              <w:pStyle w:val="TableContents"/>
              <w:bidi w:val="0"/>
              <w:spacing w:before="0" w:after="283"/>
              <w:jc w:val="right"/>
              <w:rPr/>
            </w:pPr>
            <w:r>
              <w:rPr/>
              <w:t>n/a</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275" w:type="dxa"/>
            <w:gridSpan w:val="8"/>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300"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420" w:type="dxa"/>
            <w:tcBorders/>
            <w:vAlign w:val="bottom"/>
          </w:tcPr>
          <w:p>
            <w:pPr>
              <w:pStyle w:val="TableContents"/>
              <w:bidi w:val="0"/>
              <w:spacing w:before="0" w:after="283"/>
              <w:jc w:val="left"/>
              <w:rPr>
                <w:sz w:val="4"/>
                <w:szCs w:val="4"/>
              </w:rPr>
            </w:pPr>
            <w:r>
              <w:rPr>
                <w:sz w:val="4"/>
                <w:szCs w:val="4"/>
              </w:rPr>
            </w:r>
          </w:p>
        </w:tc>
      </w:tr>
      <w:tr>
        <w:trPr/>
        <w:tc>
          <w:tcPr>
            <w:tcW w:w="1085" w:type="dxa"/>
            <w:tcBorders/>
          </w:tcPr>
          <w:p>
            <w:pPr>
              <w:pStyle w:val="TableContents"/>
              <w:bidi w:val="0"/>
              <w:spacing w:before="0" w:after="0"/>
              <w:jc w:val="left"/>
              <w:rPr>
                <w:rFonts w:ascii="Arial" w:hAnsi="Arial"/>
                <w:b/>
                <w:sz w:val="15"/>
              </w:rPr>
            </w:pPr>
            <w:r>
              <w:rPr>
                <w:rFonts w:ascii="Arial" w:hAnsi="Arial"/>
                <w:b/>
                <w:sz w:val="15"/>
              </w:rPr>
              <w:t>Consolidated totals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tcBorders/>
            <w:vAlign w:val="bottom"/>
          </w:tcPr>
          <w:p>
            <w:pPr>
              <w:pStyle w:val="TableContents"/>
              <w:bidi w:val="0"/>
              <w:spacing w:before="0" w:after="283"/>
              <w:jc w:val="right"/>
              <w:rPr>
                <w:b/>
              </w:rPr>
            </w:pPr>
            <w:r>
              <w:rPr>
                <w:b/>
              </w:rPr>
              <w:t>$6,986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2350" w:type="dxa"/>
            <w:tcBorders/>
            <w:vAlign w:val="bottom"/>
          </w:tcPr>
          <w:p>
            <w:pPr>
              <w:pStyle w:val="TableContents"/>
              <w:bidi w:val="0"/>
              <w:spacing w:before="0" w:after="283"/>
              <w:jc w:val="right"/>
              <w:rPr>
                <w:b/>
              </w:rPr>
            </w:pPr>
            <w:r>
              <w:rPr>
                <w:b/>
              </w:rPr>
              <w:t>$20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right"/>
              <w:rPr>
                <w:b/>
              </w:rPr>
            </w:pPr>
            <w:r>
              <w:rPr>
                <w:b/>
              </w:rPr>
              <w:t>$7,006</w:t>
            </w:r>
          </w:p>
        </w:tc>
        <w:tc>
          <w:tcPr>
            <w:tcW w:w="60" w:type="dxa"/>
            <w:tcBorders/>
            <w:vAlign w:val="bottom"/>
          </w:tcPr>
          <w:p>
            <w:pPr>
              <w:pStyle w:val="TableContents"/>
              <w:bidi w:val="0"/>
              <w:spacing w:before="0" w:after="283"/>
              <w:jc w:val="left"/>
              <w:rPr/>
            </w:pPr>
            <w:r>
              <w:rPr/>
              <w:t> </w:t>
            </w:r>
          </w:p>
        </w:tc>
        <w:tc>
          <w:tcPr>
            <w:tcW w:w="2300" w:type="dxa"/>
            <w:tcBorders/>
            <w:vAlign w:val="bottom"/>
          </w:tcPr>
          <w:p>
            <w:pPr>
              <w:pStyle w:val="TableContents"/>
              <w:bidi w:val="0"/>
              <w:spacing w:before="0" w:after="283"/>
              <w:jc w:val="right"/>
              <w:rPr>
                <w:b/>
              </w:rPr>
            </w:pPr>
            <w:r>
              <w:rPr>
                <w:b/>
              </w:rPr>
              <w:t>$2,617</w:t>
            </w:r>
          </w:p>
        </w:tc>
        <w:tc>
          <w:tcPr>
            <w:tcW w:w="60" w:type="dxa"/>
            <w:tcBorders/>
            <w:vAlign w:val="bottom"/>
          </w:tcPr>
          <w:p>
            <w:pPr>
              <w:pStyle w:val="TableContents"/>
              <w:bidi w:val="0"/>
              <w:spacing w:before="0" w:after="283"/>
              <w:jc w:val="left"/>
              <w:rPr/>
            </w:pPr>
            <w:r>
              <w:rPr/>
              <w:t> </w:t>
            </w:r>
          </w:p>
        </w:tc>
        <w:tc>
          <w:tcPr>
            <w:tcW w:w="2420" w:type="dxa"/>
            <w:tcBorders/>
            <w:vAlign w:val="bottom"/>
          </w:tcPr>
          <w:p>
            <w:pPr>
              <w:pStyle w:val="TableContents"/>
              <w:bidi w:val="0"/>
              <w:spacing w:before="0" w:after="283"/>
              <w:jc w:val="right"/>
              <w:rPr/>
            </w:pPr>
            <w:r>
              <w:rPr/>
              <w:t>37.4%</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275" w:type="dxa"/>
            <w:gridSpan w:val="8"/>
            <w:tcBorders/>
            <w:vAlign w:val="bottom"/>
          </w:tcPr>
          <w:p>
            <w:pPr>
              <w:pStyle w:val="TableContents"/>
              <w:pBdr>
                <w:top w:val="double" w:sz="6"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300" w:type="dxa"/>
            <w:tcBorders/>
            <w:vAlign w:val="bottom"/>
          </w:tcPr>
          <w:p>
            <w:pPr>
              <w:pStyle w:val="TableContents"/>
              <w:pBdr>
                <w:top w:val="double" w:sz="6"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420" w:type="dxa"/>
            <w:tcBorders/>
            <w:vAlign w:val="bottom"/>
          </w:tcPr>
          <w:p>
            <w:pPr>
              <w:pStyle w:val="TableContents"/>
              <w:bidi w:val="0"/>
              <w:spacing w:before="0" w:after="283"/>
              <w:jc w:val="left"/>
              <w:rPr>
                <w:sz w:val="4"/>
                <w:szCs w:val="4"/>
              </w:rPr>
            </w:pPr>
            <w:r>
              <w:rPr>
                <w:sz w:val="4"/>
                <w:szCs w:val="4"/>
              </w:rPr>
            </w:r>
          </w:p>
        </w:tc>
      </w:tr>
      <w:tr>
        <w:trPr>
          <w:trHeight w:val="60" w:hRule="atLeast"/>
        </w:trPr>
        <w:tc>
          <w:tcPr>
            <w:tcW w:w="1085" w:type="dxa"/>
            <w:tcBorders/>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left"/>
              <w:rPr>
                <w:sz w:val="4"/>
                <w:szCs w:val="4"/>
              </w:rPr>
            </w:pPr>
            <w:r>
              <w:rPr>
                <w:sz w:val="4"/>
                <w:szCs w:val="4"/>
              </w:rPr>
            </w:r>
          </w:p>
        </w:tc>
        <w:tc>
          <w:tcPr>
            <w:tcW w:w="2840" w:type="dxa"/>
            <w:gridSpan w:val="4"/>
            <w:tcBorders/>
            <w:vAlign w:val="center"/>
          </w:tcPr>
          <w:p>
            <w:pPr>
              <w:pStyle w:val="TableContents"/>
              <w:bidi w:val="0"/>
              <w:spacing w:before="0" w:after="283"/>
              <w:jc w:val="left"/>
              <w:rPr>
                <w:sz w:val="4"/>
                <w:szCs w:val="4"/>
              </w:rPr>
            </w:pPr>
            <w:r>
              <w:rPr>
                <w:sz w:val="4"/>
                <w:szCs w:val="4"/>
              </w:rPr>
            </w:r>
          </w:p>
        </w:tc>
        <w:tc>
          <w:tcPr>
            <w:tcW w:w="2735" w:type="dxa"/>
            <w:gridSpan w:val="2"/>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c>
          <w:tcPr>
            <w:tcW w:w="2480" w:type="dxa"/>
            <w:gridSpan w:val="2"/>
            <w:tcBorders/>
            <w:vAlign w:val="center"/>
          </w:tcPr>
          <w:p>
            <w:pPr>
              <w:pStyle w:val="TableContents"/>
              <w:bidi w:val="0"/>
              <w:spacing w:before="0" w:after="283"/>
              <w:jc w:val="left"/>
              <w:rPr>
                <w:sz w:val="4"/>
                <w:szCs w:val="4"/>
              </w:rPr>
            </w:pPr>
            <w:r>
              <w:rPr>
                <w:sz w:val="4"/>
                <w:szCs w:val="4"/>
              </w:rPr>
            </w:r>
          </w:p>
        </w:tc>
      </w:tr>
      <w:tr>
        <w:trPr/>
        <w:tc>
          <w:tcPr>
            <w:tcW w:w="1085" w:type="dxa"/>
            <w:tcBorders/>
          </w:tcPr>
          <w:p>
            <w:pPr>
              <w:pStyle w:val="TableContents"/>
              <w:bidi w:val="0"/>
              <w:spacing w:before="0" w:after="0"/>
              <w:jc w:val="left"/>
              <w:rPr>
                <w:rFonts w:ascii="Arial" w:hAnsi="Arial"/>
                <w:b/>
                <w:sz w:val="15"/>
                <w:u w:val="single"/>
              </w:rPr>
            </w:pPr>
            <w:r>
              <w:rPr>
                <w:rFonts w:ascii="Arial" w:hAnsi="Arial"/>
                <w:b/>
                <w:sz w:val="15"/>
                <w:u w:val="single"/>
              </w:rPr>
              <w:t>Three Months ended December 31, 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6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sz w:val="4"/>
                <w:szCs w:val="4"/>
              </w:rPr>
            </w:pPr>
            <w:r>
              <w:rPr>
                <w:sz w:val="4"/>
                <w:szCs w:val="4"/>
              </w:rPr>
            </w:r>
          </w:p>
        </w:tc>
        <w:tc>
          <w:tcPr>
            <w:tcW w:w="2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20" w:type="dxa"/>
            <w:tcBorders/>
            <w:vAlign w:val="bottom"/>
          </w:tcPr>
          <w:p>
            <w:pPr>
              <w:pStyle w:val="TableContents"/>
              <w:bidi w:val="0"/>
              <w:spacing w:before="0" w:after="283"/>
              <w:jc w:val="left"/>
              <w:rPr>
                <w:sz w:val="4"/>
                <w:szCs w:val="4"/>
              </w:rPr>
            </w:pPr>
            <w:r>
              <w:rPr>
                <w:sz w:val="4"/>
                <w:szCs w:val="4"/>
              </w:rPr>
            </w:r>
          </w:p>
        </w:tc>
      </w:tr>
      <w:tr>
        <w:trPr/>
        <w:tc>
          <w:tcPr>
            <w:tcW w:w="1085" w:type="dxa"/>
            <w:tcBorders/>
          </w:tcPr>
          <w:p>
            <w:pPr>
              <w:pStyle w:val="TableContents"/>
              <w:bidi w:val="0"/>
              <w:spacing w:before="0" w:after="0"/>
              <w:jc w:val="left"/>
              <w:rPr>
                <w:rFonts w:ascii="Arial" w:hAnsi="Arial"/>
                <w:sz w:val="15"/>
              </w:rPr>
            </w:pPr>
            <w:r>
              <w:rPr>
                <w:rFonts w:ascii="Arial" w:hAnsi="Arial"/>
                <w:sz w:val="15"/>
              </w:rPr>
              <w:t>Legal Professionals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tcBorders/>
            <w:vAlign w:val="bottom"/>
          </w:tcPr>
          <w:p>
            <w:pPr>
              <w:pStyle w:val="TableContents"/>
              <w:bidi w:val="0"/>
              <w:spacing w:before="0" w:after="283"/>
              <w:jc w:val="right"/>
              <w:rPr/>
            </w:pPr>
            <w:r>
              <w:rPr/>
              <w:t>$730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235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right"/>
              <w:rPr/>
            </w:pPr>
            <w:r>
              <w:rPr/>
              <w:t>$730</w:t>
            </w:r>
          </w:p>
        </w:tc>
        <w:tc>
          <w:tcPr>
            <w:tcW w:w="60" w:type="dxa"/>
            <w:tcBorders/>
            <w:vAlign w:val="bottom"/>
          </w:tcPr>
          <w:p>
            <w:pPr>
              <w:pStyle w:val="TableContents"/>
              <w:bidi w:val="0"/>
              <w:spacing w:before="0" w:after="283"/>
              <w:jc w:val="left"/>
              <w:rPr/>
            </w:pPr>
            <w:r>
              <w:rPr/>
              <w:t> </w:t>
            </w:r>
          </w:p>
        </w:tc>
        <w:tc>
          <w:tcPr>
            <w:tcW w:w="2300" w:type="dxa"/>
            <w:tcBorders/>
            <w:vAlign w:val="bottom"/>
          </w:tcPr>
          <w:p>
            <w:pPr>
              <w:pStyle w:val="TableContents"/>
              <w:bidi w:val="0"/>
              <w:spacing w:before="0" w:after="283"/>
              <w:jc w:val="right"/>
              <w:rPr/>
            </w:pPr>
            <w:r>
              <w:rPr/>
              <w:t>$326</w:t>
            </w:r>
          </w:p>
        </w:tc>
        <w:tc>
          <w:tcPr>
            <w:tcW w:w="60" w:type="dxa"/>
            <w:tcBorders/>
            <w:vAlign w:val="bottom"/>
          </w:tcPr>
          <w:p>
            <w:pPr>
              <w:pStyle w:val="TableContents"/>
              <w:bidi w:val="0"/>
              <w:spacing w:before="0" w:after="283"/>
              <w:jc w:val="left"/>
              <w:rPr/>
            </w:pPr>
            <w:r>
              <w:rPr/>
              <w:t> </w:t>
            </w:r>
          </w:p>
        </w:tc>
        <w:tc>
          <w:tcPr>
            <w:tcW w:w="2420" w:type="dxa"/>
            <w:tcBorders/>
            <w:vAlign w:val="bottom"/>
          </w:tcPr>
          <w:p>
            <w:pPr>
              <w:pStyle w:val="TableContents"/>
              <w:bidi w:val="0"/>
              <w:spacing w:before="0" w:after="283"/>
              <w:jc w:val="right"/>
              <w:rPr/>
            </w:pPr>
            <w:r>
              <w:rPr/>
              <w:t>44.7%</w:t>
            </w:r>
          </w:p>
        </w:tc>
      </w:tr>
      <w:tr>
        <w:trPr/>
        <w:tc>
          <w:tcPr>
            <w:tcW w:w="1085" w:type="dxa"/>
            <w:tcBorders/>
          </w:tcPr>
          <w:p>
            <w:pPr>
              <w:pStyle w:val="TableContents"/>
              <w:bidi w:val="0"/>
              <w:spacing w:before="0" w:after="0"/>
              <w:jc w:val="left"/>
              <w:rPr>
                <w:rFonts w:ascii="Arial" w:hAnsi="Arial"/>
                <w:sz w:val="15"/>
              </w:rPr>
            </w:pPr>
            <w:r>
              <w:rPr>
                <w:rFonts w:ascii="Arial" w:hAnsi="Arial"/>
                <w:sz w:val="15"/>
              </w:rPr>
              <w:t>Corporates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tcBorders/>
            <w:vAlign w:val="bottom"/>
          </w:tcPr>
          <w:p>
            <w:pPr>
              <w:pStyle w:val="TableContents"/>
              <w:bidi w:val="0"/>
              <w:spacing w:before="0" w:after="283"/>
              <w:jc w:val="right"/>
              <w:rPr/>
            </w:pPr>
            <w:r>
              <w:rPr/>
              <w:t>506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235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right"/>
              <w:rPr/>
            </w:pPr>
            <w:r>
              <w:rPr/>
              <w:t>506</w:t>
            </w:r>
          </w:p>
        </w:tc>
        <w:tc>
          <w:tcPr>
            <w:tcW w:w="60" w:type="dxa"/>
            <w:tcBorders/>
            <w:vAlign w:val="bottom"/>
          </w:tcPr>
          <w:p>
            <w:pPr>
              <w:pStyle w:val="TableContents"/>
              <w:bidi w:val="0"/>
              <w:spacing w:before="0" w:after="283"/>
              <w:jc w:val="left"/>
              <w:rPr/>
            </w:pPr>
            <w:r>
              <w:rPr/>
              <w:t> </w:t>
            </w:r>
          </w:p>
        </w:tc>
        <w:tc>
          <w:tcPr>
            <w:tcW w:w="2300" w:type="dxa"/>
            <w:tcBorders/>
            <w:vAlign w:val="bottom"/>
          </w:tcPr>
          <w:p>
            <w:pPr>
              <w:pStyle w:val="TableContents"/>
              <w:bidi w:val="0"/>
              <w:spacing w:before="0" w:after="283"/>
              <w:jc w:val="right"/>
              <w:rPr/>
            </w:pPr>
            <w:r>
              <w:rPr/>
              <w:t>163</w:t>
            </w:r>
          </w:p>
        </w:tc>
        <w:tc>
          <w:tcPr>
            <w:tcW w:w="60" w:type="dxa"/>
            <w:tcBorders/>
            <w:vAlign w:val="bottom"/>
          </w:tcPr>
          <w:p>
            <w:pPr>
              <w:pStyle w:val="TableContents"/>
              <w:bidi w:val="0"/>
              <w:spacing w:before="0" w:after="283"/>
              <w:jc w:val="left"/>
              <w:rPr/>
            </w:pPr>
            <w:r>
              <w:rPr/>
              <w:t> </w:t>
            </w:r>
          </w:p>
        </w:tc>
        <w:tc>
          <w:tcPr>
            <w:tcW w:w="2420" w:type="dxa"/>
            <w:tcBorders/>
            <w:vAlign w:val="bottom"/>
          </w:tcPr>
          <w:p>
            <w:pPr>
              <w:pStyle w:val="TableContents"/>
              <w:bidi w:val="0"/>
              <w:spacing w:before="0" w:after="283"/>
              <w:jc w:val="right"/>
              <w:rPr/>
            </w:pPr>
            <w:r>
              <w:rPr/>
              <w:t>32.2%</w:t>
            </w:r>
          </w:p>
        </w:tc>
      </w:tr>
      <w:tr>
        <w:trPr/>
        <w:tc>
          <w:tcPr>
            <w:tcW w:w="1085" w:type="dxa"/>
            <w:tcBorders/>
          </w:tcPr>
          <w:p>
            <w:pPr>
              <w:pStyle w:val="TableContents"/>
              <w:bidi w:val="0"/>
              <w:spacing w:before="0" w:after="0"/>
              <w:jc w:val="left"/>
              <w:rPr>
                <w:rFonts w:ascii="Arial" w:hAnsi="Arial"/>
                <w:sz w:val="15"/>
              </w:rPr>
            </w:pPr>
            <w:r>
              <w:rPr>
                <w:rFonts w:ascii="Arial" w:hAnsi="Arial"/>
                <w:sz w:val="15"/>
              </w:rPr>
              <w:t>Tax, Audit &amp; Accounting Professionals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tcBorders/>
            <w:vAlign w:val="bottom"/>
          </w:tcPr>
          <w:p>
            <w:pPr>
              <w:pStyle w:val="TableContents"/>
              <w:bidi w:val="0"/>
              <w:spacing w:before="0" w:after="283"/>
              <w:jc w:val="right"/>
              <w:rPr/>
            </w:pPr>
            <w:r>
              <w:rPr/>
              <w:t>412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235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right"/>
              <w:rPr/>
            </w:pPr>
            <w:r>
              <w:rPr/>
              <w:t>412</w:t>
            </w:r>
          </w:p>
        </w:tc>
        <w:tc>
          <w:tcPr>
            <w:tcW w:w="60" w:type="dxa"/>
            <w:tcBorders/>
            <w:vAlign w:val="bottom"/>
          </w:tcPr>
          <w:p>
            <w:pPr>
              <w:pStyle w:val="TableContents"/>
              <w:bidi w:val="0"/>
              <w:spacing w:before="0" w:after="283"/>
              <w:jc w:val="left"/>
              <w:rPr/>
            </w:pPr>
            <w:r>
              <w:rPr/>
              <w:t> </w:t>
            </w:r>
          </w:p>
        </w:tc>
        <w:tc>
          <w:tcPr>
            <w:tcW w:w="2300" w:type="dxa"/>
            <w:tcBorders/>
            <w:vAlign w:val="bottom"/>
          </w:tcPr>
          <w:p>
            <w:pPr>
              <w:pStyle w:val="TableContents"/>
              <w:bidi w:val="0"/>
              <w:spacing w:before="0" w:after="283"/>
              <w:jc w:val="right"/>
              <w:rPr/>
            </w:pPr>
            <w:r>
              <w:rPr/>
              <w:t>220</w:t>
            </w:r>
          </w:p>
        </w:tc>
        <w:tc>
          <w:tcPr>
            <w:tcW w:w="60" w:type="dxa"/>
            <w:tcBorders/>
            <w:vAlign w:val="bottom"/>
          </w:tcPr>
          <w:p>
            <w:pPr>
              <w:pStyle w:val="TableContents"/>
              <w:bidi w:val="0"/>
              <w:spacing w:before="0" w:after="283"/>
              <w:jc w:val="left"/>
              <w:rPr/>
            </w:pPr>
            <w:r>
              <w:rPr/>
              <w:t> </w:t>
            </w:r>
          </w:p>
        </w:tc>
        <w:tc>
          <w:tcPr>
            <w:tcW w:w="2420" w:type="dxa"/>
            <w:tcBorders/>
            <w:vAlign w:val="bottom"/>
          </w:tcPr>
          <w:p>
            <w:pPr>
              <w:pStyle w:val="TableContents"/>
              <w:bidi w:val="0"/>
              <w:spacing w:before="0" w:after="283"/>
              <w:jc w:val="right"/>
              <w:rPr/>
            </w:pPr>
            <w:r>
              <w:rPr/>
              <w:t>53.4%</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275" w:type="dxa"/>
            <w:gridSpan w:val="8"/>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300"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420" w:type="dxa"/>
            <w:tcBorders/>
            <w:vAlign w:val="bottom"/>
          </w:tcPr>
          <w:p>
            <w:pPr>
              <w:pStyle w:val="TableContents"/>
              <w:bidi w:val="0"/>
              <w:spacing w:before="0" w:after="283"/>
              <w:jc w:val="left"/>
              <w:rPr>
                <w:sz w:val="4"/>
                <w:szCs w:val="4"/>
              </w:rPr>
            </w:pPr>
            <w:r>
              <w:rPr>
                <w:sz w:val="4"/>
                <w:szCs w:val="4"/>
              </w:rPr>
            </w:r>
          </w:p>
        </w:tc>
      </w:tr>
      <w:tr>
        <w:trPr/>
        <w:tc>
          <w:tcPr>
            <w:tcW w:w="1085" w:type="dxa"/>
            <w:tcBorders/>
          </w:tcPr>
          <w:p>
            <w:pPr>
              <w:pStyle w:val="TableContents"/>
              <w:bidi w:val="0"/>
              <w:spacing w:before="0" w:after="0"/>
              <w:jc w:val="left"/>
              <w:rPr/>
            </w:pPr>
            <w:r>
              <w:rPr/>
              <w:t>“</w:t>
            </w:r>
            <w:r>
              <w:rPr>
                <w:rFonts w:ascii="Arial" w:hAnsi="Arial"/>
                <w:sz w:val="15"/>
              </w:rPr>
              <w:t>Big 3” Segments Combined(1)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tcBorders/>
            <w:vAlign w:val="bottom"/>
          </w:tcPr>
          <w:p>
            <w:pPr>
              <w:pStyle w:val="TableContents"/>
              <w:bidi w:val="0"/>
              <w:spacing w:before="0" w:after="283"/>
              <w:jc w:val="right"/>
              <w:rPr/>
            </w:pPr>
            <w:r>
              <w:rPr/>
              <w:t>1,648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235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right"/>
              <w:rPr/>
            </w:pPr>
            <w:r>
              <w:rPr/>
              <w:t>1,648</w:t>
            </w:r>
          </w:p>
        </w:tc>
        <w:tc>
          <w:tcPr>
            <w:tcW w:w="60" w:type="dxa"/>
            <w:tcBorders/>
            <w:vAlign w:val="bottom"/>
          </w:tcPr>
          <w:p>
            <w:pPr>
              <w:pStyle w:val="TableContents"/>
              <w:bidi w:val="0"/>
              <w:spacing w:before="0" w:after="283"/>
              <w:jc w:val="left"/>
              <w:rPr/>
            </w:pPr>
            <w:r>
              <w:rPr/>
              <w:t> </w:t>
            </w:r>
          </w:p>
        </w:tc>
        <w:tc>
          <w:tcPr>
            <w:tcW w:w="2300" w:type="dxa"/>
            <w:tcBorders/>
            <w:vAlign w:val="bottom"/>
          </w:tcPr>
          <w:p>
            <w:pPr>
              <w:pStyle w:val="TableContents"/>
              <w:bidi w:val="0"/>
              <w:spacing w:before="0" w:after="283"/>
              <w:jc w:val="right"/>
              <w:rPr/>
            </w:pPr>
            <w:r>
              <w:rPr/>
              <w:t>709</w:t>
            </w:r>
          </w:p>
        </w:tc>
        <w:tc>
          <w:tcPr>
            <w:tcW w:w="60" w:type="dxa"/>
            <w:tcBorders/>
            <w:vAlign w:val="bottom"/>
          </w:tcPr>
          <w:p>
            <w:pPr>
              <w:pStyle w:val="TableContents"/>
              <w:bidi w:val="0"/>
              <w:spacing w:before="0" w:after="283"/>
              <w:jc w:val="left"/>
              <w:rPr/>
            </w:pPr>
            <w:r>
              <w:rPr/>
              <w:t> </w:t>
            </w:r>
          </w:p>
        </w:tc>
        <w:tc>
          <w:tcPr>
            <w:tcW w:w="2420" w:type="dxa"/>
            <w:tcBorders/>
            <w:vAlign w:val="bottom"/>
          </w:tcPr>
          <w:p>
            <w:pPr>
              <w:pStyle w:val="TableContents"/>
              <w:bidi w:val="0"/>
              <w:spacing w:before="0" w:after="283"/>
              <w:jc w:val="right"/>
              <w:rPr/>
            </w:pPr>
            <w:r>
              <w:rPr/>
              <w:t>43.0%</w:t>
            </w:r>
          </w:p>
        </w:tc>
      </w:tr>
      <w:tr>
        <w:trPr/>
        <w:tc>
          <w:tcPr>
            <w:tcW w:w="1085" w:type="dxa"/>
            <w:tcBorders/>
          </w:tcPr>
          <w:p>
            <w:pPr>
              <w:pStyle w:val="TableContents"/>
              <w:bidi w:val="0"/>
              <w:spacing w:before="0" w:after="0"/>
              <w:jc w:val="left"/>
              <w:rPr>
                <w:rFonts w:ascii="Arial" w:hAnsi="Arial"/>
                <w:sz w:val="15"/>
              </w:rPr>
            </w:pPr>
            <w:r>
              <w:rPr>
                <w:rFonts w:ascii="Arial" w:hAnsi="Arial"/>
                <w:sz w:val="15"/>
              </w:rPr>
              <w:t>Reuters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tcBorders/>
            <w:vAlign w:val="bottom"/>
          </w:tcPr>
          <w:p>
            <w:pPr>
              <w:pStyle w:val="TableContents"/>
              <w:bidi w:val="0"/>
              <w:spacing w:before="0" w:after="283"/>
              <w:jc w:val="right"/>
              <w:rPr/>
            </w:pPr>
            <w:r>
              <w:rPr/>
              <w:t>232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235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right"/>
              <w:rPr/>
            </w:pPr>
            <w:r>
              <w:rPr/>
              <w:t>232</w:t>
            </w:r>
          </w:p>
        </w:tc>
        <w:tc>
          <w:tcPr>
            <w:tcW w:w="60" w:type="dxa"/>
            <w:tcBorders/>
            <w:vAlign w:val="bottom"/>
          </w:tcPr>
          <w:p>
            <w:pPr>
              <w:pStyle w:val="TableContents"/>
              <w:bidi w:val="0"/>
              <w:spacing w:before="0" w:after="283"/>
              <w:jc w:val="left"/>
              <w:rPr/>
            </w:pPr>
            <w:r>
              <w:rPr/>
              <w:t> </w:t>
            </w:r>
          </w:p>
        </w:tc>
        <w:tc>
          <w:tcPr>
            <w:tcW w:w="2300" w:type="dxa"/>
            <w:tcBorders/>
            <w:vAlign w:val="bottom"/>
          </w:tcPr>
          <w:p>
            <w:pPr>
              <w:pStyle w:val="TableContents"/>
              <w:bidi w:val="0"/>
              <w:spacing w:before="0" w:after="283"/>
              <w:jc w:val="right"/>
              <w:rPr/>
            </w:pPr>
            <w:r>
              <w:rPr/>
              <w:t>48</w:t>
            </w:r>
          </w:p>
        </w:tc>
        <w:tc>
          <w:tcPr>
            <w:tcW w:w="60" w:type="dxa"/>
            <w:tcBorders/>
            <w:vAlign w:val="bottom"/>
          </w:tcPr>
          <w:p>
            <w:pPr>
              <w:pStyle w:val="TableContents"/>
              <w:bidi w:val="0"/>
              <w:spacing w:before="0" w:after="283"/>
              <w:jc w:val="left"/>
              <w:rPr/>
            </w:pPr>
            <w:r>
              <w:rPr/>
              <w:t> </w:t>
            </w:r>
          </w:p>
        </w:tc>
        <w:tc>
          <w:tcPr>
            <w:tcW w:w="2420" w:type="dxa"/>
            <w:tcBorders/>
            <w:vAlign w:val="bottom"/>
          </w:tcPr>
          <w:p>
            <w:pPr>
              <w:pStyle w:val="TableContents"/>
              <w:bidi w:val="0"/>
              <w:spacing w:before="0" w:after="283"/>
              <w:jc w:val="right"/>
              <w:rPr/>
            </w:pPr>
            <w:r>
              <w:rPr/>
              <w:t>21.0%</w:t>
            </w:r>
          </w:p>
        </w:tc>
      </w:tr>
      <w:tr>
        <w:trPr/>
        <w:tc>
          <w:tcPr>
            <w:tcW w:w="1085" w:type="dxa"/>
            <w:tcBorders/>
          </w:tcPr>
          <w:p>
            <w:pPr>
              <w:pStyle w:val="TableContents"/>
              <w:bidi w:val="0"/>
              <w:spacing w:before="0" w:after="0"/>
              <w:jc w:val="left"/>
              <w:rPr>
                <w:rFonts w:ascii="Arial" w:hAnsi="Arial"/>
                <w:sz w:val="15"/>
              </w:rPr>
            </w:pPr>
            <w:r>
              <w:rPr>
                <w:rFonts w:ascii="Arial" w:hAnsi="Arial"/>
                <w:sz w:val="15"/>
              </w:rPr>
              <w:t>Eliminations/Rounding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tcBorders/>
            <w:vAlign w:val="bottom"/>
          </w:tcPr>
          <w:p>
            <w:pPr>
              <w:pStyle w:val="TableContents"/>
              <w:bidi w:val="0"/>
              <w:spacing w:before="0" w:after="283"/>
              <w:jc w:val="right"/>
              <w:rPr/>
            </w:pPr>
            <w:r>
              <w:rPr/>
              <w:t>(7)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235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right"/>
              <w:rPr/>
            </w:pPr>
            <w:r>
              <w:rPr/>
              <w:t>(7)</w:t>
            </w:r>
          </w:p>
        </w:tc>
        <w:tc>
          <w:tcPr>
            <w:tcW w:w="60" w:type="dxa"/>
            <w:tcBorders/>
            <w:vAlign w:val="bottom"/>
          </w:tcPr>
          <w:p>
            <w:pPr>
              <w:pStyle w:val="TableContents"/>
              <w:bidi w:val="0"/>
              <w:spacing w:before="0" w:after="283"/>
              <w:jc w:val="left"/>
              <w:rPr/>
            </w:pPr>
            <w:r>
              <w:rPr/>
              <w:t> </w:t>
            </w:r>
          </w:p>
        </w:tc>
        <w:tc>
          <w:tcPr>
            <w:tcW w:w="23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420" w:type="dxa"/>
            <w:tcBorders/>
            <w:vAlign w:val="bottom"/>
          </w:tcPr>
          <w:p>
            <w:pPr>
              <w:pStyle w:val="TableContents"/>
              <w:bidi w:val="0"/>
              <w:spacing w:before="0" w:after="283"/>
              <w:jc w:val="right"/>
              <w:rPr/>
            </w:pPr>
            <w:r>
              <w:rPr/>
              <w:t>n/a</w:t>
            </w:r>
          </w:p>
        </w:tc>
      </w:tr>
      <w:tr>
        <w:trPr/>
        <w:tc>
          <w:tcPr>
            <w:tcW w:w="1085" w:type="dxa"/>
            <w:tcBorders/>
          </w:tcPr>
          <w:p>
            <w:pPr>
              <w:pStyle w:val="TableContents"/>
              <w:bidi w:val="0"/>
              <w:spacing w:before="0" w:after="0"/>
              <w:jc w:val="left"/>
              <w:rPr>
                <w:rFonts w:ascii="Arial" w:hAnsi="Arial"/>
                <w:sz w:val="15"/>
              </w:rPr>
            </w:pPr>
            <w:r>
              <w:rPr>
                <w:rFonts w:ascii="Arial" w:hAnsi="Arial"/>
                <w:sz w:val="15"/>
              </w:rPr>
              <w:t>Corporate costs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235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300" w:type="dxa"/>
            <w:tcBorders/>
            <w:vAlign w:val="bottom"/>
          </w:tcPr>
          <w:p>
            <w:pPr>
              <w:pStyle w:val="TableContents"/>
              <w:bidi w:val="0"/>
              <w:spacing w:before="0" w:after="283"/>
              <w:jc w:val="right"/>
              <w:rPr/>
            </w:pPr>
            <w:r>
              <w:rPr/>
              <w:t>(70)</w:t>
            </w:r>
          </w:p>
        </w:tc>
        <w:tc>
          <w:tcPr>
            <w:tcW w:w="60" w:type="dxa"/>
            <w:tcBorders/>
            <w:vAlign w:val="bottom"/>
          </w:tcPr>
          <w:p>
            <w:pPr>
              <w:pStyle w:val="TableContents"/>
              <w:bidi w:val="0"/>
              <w:spacing w:before="0" w:after="283"/>
              <w:jc w:val="left"/>
              <w:rPr/>
            </w:pPr>
            <w:r>
              <w:rPr/>
              <w:t> </w:t>
            </w:r>
          </w:p>
        </w:tc>
        <w:tc>
          <w:tcPr>
            <w:tcW w:w="2420" w:type="dxa"/>
            <w:tcBorders/>
            <w:vAlign w:val="bottom"/>
          </w:tcPr>
          <w:p>
            <w:pPr>
              <w:pStyle w:val="TableContents"/>
              <w:bidi w:val="0"/>
              <w:spacing w:before="0" w:after="283"/>
              <w:jc w:val="right"/>
              <w:rPr/>
            </w:pPr>
            <w:r>
              <w:rPr/>
              <w:t>n/a</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275" w:type="dxa"/>
            <w:gridSpan w:val="8"/>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300"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420" w:type="dxa"/>
            <w:tcBorders/>
            <w:vAlign w:val="bottom"/>
          </w:tcPr>
          <w:p>
            <w:pPr>
              <w:pStyle w:val="TableContents"/>
              <w:bidi w:val="0"/>
              <w:spacing w:before="0" w:after="283"/>
              <w:jc w:val="left"/>
              <w:rPr>
                <w:sz w:val="4"/>
                <w:szCs w:val="4"/>
              </w:rPr>
            </w:pPr>
            <w:r>
              <w:rPr>
                <w:sz w:val="4"/>
                <w:szCs w:val="4"/>
              </w:rPr>
            </w:r>
          </w:p>
        </w:tc>
      </w:tr>
      <w:tr>
        <w:trPr/>
        <w:tc>
          <w:tcPr>
            <w:tcW w:w="1085" w:type="dxa"/>
            <w:tcBorders/>
          </w:tcPr>
          <w:p>
            <w:pPr>
              <w:pStyle w:val="TableContents"/>
              <w:bidi w:val="0"/>
              <w:spacing w:before="0" w:after="0"/>
              <w:jc w:val="left"/>
              <w:rPr>
                <w:rFonts w:ascii="Arial" w:hAnsi="Arial"/>
                <w:b/>
                <w:sz w:val="15"/>
              </w:rPr>
            </w:pPr>
            <w:r>
              <w:rPr>
                <w:rFonts w:ascii="Arial" w:hAnsi="Arial"/>
                <w:b/>
                <w:sz w:val="15"/>
              </w:rPr>
              <w:t>Consolidated totals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tcBorders/>
            <w:vAlign w:val="bottom"/>
          </w:tcPr>
          <w:p>
            <w:pPr>
              <w:pStyle w:val="TableContents"/>
              <w:bidi w:val="0"/>
              <w:spacing w:before="0" w:after="283"/>
              <w:jc w:val="right"/>
              <w:rPr>
                <w:b/>
              </w:rPr>
            </w:pPr>
            <w:r>
              <w:rPr>
                <w:b/>
              </w:rPr>
              <w:t>$1,873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2350" w:type="dxa"/>
            <w:tcBorders/>
            <w:vAlign w:val="bottom"/>
          </w:tcPr>
          <w:p>
            <w:pPr>
              <w:pStyle w:val="TableContents"/>
              <w:bidi w:val="0"/>
              <w:spacing w:before="0" w:after="283"/>
              <w:jc w:val="right"/>
              <w:rPr>
                <w:b/>
              </w:rPr>
            </w:pPr>
            <w:r>
              <w:rPr>
                <w:b/>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right"/>
              <w:rPr>
                <w:b/>
              </w:rPr>
            </w:pPr>
            <w:r>
              <w:rPr>
                <w:b/>
              </w:rPr>
              <w:t>$1,873</w:t>
            </w:r>
          </w:p>
        </w:tc>
        <w:tc>
          <w:tcPr>
            <w:tcW w:w="60" w:type="dxa"/>
            <w:tcBorders/>
            <w:vAlign w:val="bottom"/>
          </w:tcPr>
          <w:p>
            <w:pPr>
              <w:pStyle w:val="TableContents"/>
              <w:bidi w:val="0"/>
              <w:spacing w:before="0" w:after="283"/>
              <w:jc w:val="left"/>
              <w:rPr/>
            </w:pPr>
            <w:r>
              <w:rPr/>
              <w:t> </w:t>
            </w:r>
          </w:p>
        </w:tc>
        <w:tc>
          <w:tcPr>
            <w:tcW w:w="2300" w:type="dxa"/>
            <w:tcBorders/>
            <w:vAlign w:val="bottom"/>
          </w:tcPr>
          <w:p>
            <w:pPr>
              <w:pStyle w:val="TableContents"/>
              <w:bidi w:val="0"/>
              <w:spacing w:before="0" w:after="283"/>
              <w:jc w:val="right"/>
              <w:rPr>
                <w:b/>
              </w:rPr>
            </w:pPr>
            <w:r>
              <w:rPr>
                <w:b/>
              </w:rPr>
              <w:t>$687</w:t>
            </w:r>
          </w:p>
        </w:tc>
        <w:tc>
          <w:tcPr>
            <w:tcW w:w="60" w:type="dxa"/>
            <w:tcBorders/>
            <w:vAlign w:val="bottom"/>
          </w:tcPr>
          <w:p>
            <w:pPr>
              <w:pStyle w:val="TableContents"/>
              <w:bidi w:val="0"/>
              <w:spacing w:before="0" w:after="283"/>
              <w:jc w:val="left"/>
              <w:rPr/>
            </w:pPr>
            <w:r>
              <w:rPr/>
              <w:t> </w:t>
            </w:r>
          </w:p>
        </w:tc>
        <w:tc>
          <w:tcPr>
            <w:tcW w:w="2420" w:type="dxa"/>
            <w:tcBorders/>
            <w:vAlign w:val="bottom"/>
          </w:tcPr>
          <w:p>
            <w:pPr>
              <w:pStyle w:val="TableContents"/>
              <w:bidi w:val="0"/>
              <w:spacing w:before="0" w:after="283"/>
              <w:jc w:val="right"/>
              <w:rPr/>
            </w:pPr>
            <w:r>
              <w:rPr/>
              <w:t>36.7%</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275" w:type="dxa"/>
            <w:gridSpan w:val="8"/>
            <w:tcBorders/>
            <w:vAlign w:val="bottom"/>
          </w:tcPr>
          <w:p>
            <w:pPr>
              <w:pStyle w:val="TableContents"/>
              <w:pBdr>
                <w:top w:val="double" w:sz="6"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300" w:type="dxa"/>
            <w:tcBorders/>
            <w:vAlign w:val="bottom"/>
          </w:tcPr>
          <w:p>
            <w:pPr>
              <w:pStyle w:val="TableContents"/>
              <w:pBdr>
                <w:top w:val="double" w:sz="6"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420" w:type="dxa"/>
            <w:tcBorders/>
            <w:vAlign w:val="bottom"/>
          </w:tcPr>
          <w:p>
            <w:pPr>
              <w:pStyle w:val="TableContents"/>
              <w:bidi w:val="0"/>
              <w:spacing w:before="0" w:after="283"/>
              <w:jc w:val="left"/>
              <w:rPr>
                <w:sz w:val="4"/>
                <w:szCs w:val="4"/>
              </w:rPr>
            </w:pPr>
            <w:r>
              <w:rPr>
                <w:sz w:val="4"/>
                <w:szCs w:val="4"/>
              </w:rPr>
            </w:r>
          </w:p>
        </w:tc>
      </w:tr>
      <w:tr>
        <w:trPr>
          <w:trHeight w:val="60" w:hRule="atLeast"/>
        </w:trPr>
        <w:tc>
          <w:tcPr>
            <w:tcW w:w="1085" w:type="dxa"/>
            <w:tcBorders/>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left"/>
              <w:rPr>
                <w:sz w:val="4"/>
                <w:szCs w:val="4"/>
              </w:rPr>
            </w:pPr>
            <w:r>
              <w:rPr>
                <w:sz w:val="4"/>
                <w:szCs w:val="4"/>
              </w:rPr>
            </w:r>
          </w:p>
        </w:tc>
        <w:tc>
          <w:tcPr>
            <w:tcW w:w="2840" w:type="dxa"/>
            <w:gridSpan w:val="4"/>
            <w:tcBorders/>
            <w:vAlign w:val="center"/>
          </w:tcPr>
          <w:p>
            <w:pPr>
              <w:pStyle w:val="TableContents"/>
              <w:bidi w:val="0"/>
              <w:spacing w:before="0" w:after="283"/>
              <w:jc w:val="left"/>
              <w:rPr>
                <w:sz w:val="4"/>
                <w:szCs w:val="4"/>
              </w:rPr>
            </w:pPr>
            <w:r>
              <w:rPr>
                <w:sz w:val="4"/>
                <w:szCs w:val="4"/>
              </w:rPr>
            </w:r>
          </w:p>
        </w:tc>
        <w:tc>
          <w:tcPr>
            <w:tcW w:w="2735" w:type="dxa"/>
            <w:gridSpan w:val="2"/>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c>
          <w:tcPr>
            <w:tcW w:w="2480" w:type="dxa"/>
            <w:gridSpan w:val="2"/>
            <w:tcBorders/>
            <w:vAlign w:val="center"/>
          </w:tcPr>
          <w:p>
            <w:pPr>
              <w:pStyle w:val="TableContents"/>
              <w:bidi w:val="0"/>
              <w:spacing w:before="0" w:after="283"/>
              <w:jc w:val="left"/>
              <w:rPr>
                <w:sz w:val="4"/>
                <w:szCs w:val="4"/>
              </w:rPr>
            </w:pPr>
            <w:r>
              <w:rPr>
                <w:sz w:val="4"/>
                <w:szCs w:val="4"/>
              </w:rPr>
            </w:r>
          </w:p>
        </w:tc>
      </w:tr>
      <w:tr>
        <w:trPr/>
        <w:tc>
          <w:tcPr>
            <w:tcW w:w="1085" w:type="dxa"/>
            <w:tcBorders/>
          </w:tcPr>
          <w:p>
            <w:pPr>
              <w:pStyle w:val="TableContents"/>
              <w:bidi w:val="0"/>
              <w:spacing w:before="0" w:after="0"/>
              <w:jc w:val="left"/>
              <w:rPr>
                <w:rFonts w:ascii="Arial" w:hAnsi="Arial"/>
                <w:b/>
                <w:sz w:val="15"/>
                <w:u w:val="single"/>
              </w:rPr>
            </w:pPr>
            <w:r>
              <w:rPr>
                <w:rFonts w:ascii="Arial" w:hAnsi="Arial"/>
                <w:b/>
                <w:sz w:val="15"/>
                <w:u w:val="single"/>
              </w:rPr>
              <w:t>Three Months ended September 30, 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6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sz w:val="4"/>
                <w:szCs w:val="4"/>
              </w:rPr>
            </w:pPr>
            <w:r>
              <w:rPr>
                <w:sz w:val="4"/>
                <w:szCs w:val="4"/>
              </w:rPr>
            </w:r>
          </w:p>
        </w:tc>
        <w:tc>
          <w:tcPr>
            <w:tcW w:w="2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20" w:type="dxa"/>
            <w:tcBorders/>
            <w:vAlign w:val="bottom"/>
          </w:tcPr>
          <w:p>
            <w:pPr>
              <w:pStyle w:val="TableContents"/>
              <w:bidi w:val="0"/>
              <w:spacing w:before="0" w:after="283"/>
              <w:jc w:val="left"/>
              <w:rPr>
                <w:sz w:val="4"/>
                <w:szCs w:val="4"/>
              </w:rPr>
            </w:pPr>
            <w:r>
              <w:rPr>
                <w:sz w:val="4"/>
                <w:szCs w:val="4"/>
              </w:rPr>
            </w:r>
          </w:p>
        </w:tc>
      </w:tr>
      <w:tr>
        <w:trPr/>
        <w:tc>
          <w:tcPr>
            <w:tcW w:w="1085" w:type="dxa"/>
            <w:tcBorders/>
          </w:tcPr>
          <w:p>
            <w:pPr>
              <w:pStyle w:val="TableContents"/>
              <w:bidi w:val="0"/>
              <w:spacing w:before="0" w:after="0"/>
              <w:jc w:val="left"/>
              <w:rPr>
                <w:rFonts w:ascii="Arial" w:hAnsi="Arial"/>
                <w:sz w:val="15"/>
              </w:rPr>
            </w:pPr>
            <w:r>
              <w:rPr>
                <w:rFonts w:ascii="Arial" w:hAnsi="Arial"/>
                <w:sz w:val="15"/>
              </w:rPr>
              <w:t>Legal Professionals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tcBorders/>
            <w:vAlign w:val="bottom"/>
          </w:tcPr>
          <w:p>
            <w:pPr>
              <w:pStyle w:val="TableContents"/>
              <w:bidi w:val="0"/>
              <w:spacing w:before="0" w:after="283"/>
              <w:jc w:val="right"/>
              <w:rPr/>
            </w:pPr>
            <w:r>
              <w:rPr/>
              <w:t>$721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235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right"/>
              <w:rPr/>
            </w:pPr>
            <w:r>
              <w:rPr/>
              <w:t>$721</w:t>
            </w:r>
          </w:p>
        </w:tc>
        <w:tc>
          <w:tcPr>
            <w:tcW w:w="60" w:type="dxa"/>
            <w:tcBorders/>
            <w:vAlign w:val="bottom"/>
          </w:tcPr>
          <w:p>
            <w:pPr>
              <w:pStyle w:val="TableContents"/>
              <w:bidi w:val="0"/>
              <w:spacing w:before="0" w:after="283"/>
              <w:jc w:val="left"/>
              <w:rPr/>
            </w:pPr>
            <w:r>
              <w:rPr/>
              <w:t> </w:t>
            </w:r>
          </w:p>
        </w:tc>
        <w:tc>
          <w:tcPr>
            <w:tcW w:w="2300" w:type="dxa"/>
            <w:tcBorders/>
            <w:vAlign w:val="bottom"/>
          </w:tcPr>
          <w:p>
            <w:pPr>
              <w:pStyle w:val="TableContents"/>
              <w:bidi w:val="0"/>
              <w:spacing w:before="0" w:after="283"/>
              <w:jc w:val="right"/>
              <w:rPr/>
            </w:pPr>
            <w:r>
              <w:rPr/>
              <w:t>$353</w:t>
            </w:r>
          </w:p>
        </w:tc>
        <w:tc>
          <w:tcPr>
            <w:tcW w:w="60" w:type="dxa"/>
            <w:tcBorders/>
            <w:vAlign w:val="bottom"/>
          </w:tcPr>
          <w:p>
            <w:pPr>
              <w:pStyle w:val="TableContents"/>
              <w:bidi w:val="0"/>
              <w:spacing w:before="0" w:after="283"/>
              <w:jc w:val="left"/>
              <w:rPr/>
            </w:pPr>
            <w:r>
              <w:rPr/>
              <w:t> </w:t>
            </w:r>
          </w:p>
        </w:tc>
        <w:tc>
          <w:tcPr>
            <w:tcW w:w="2420" w:type="dxa"/>
            <w:tcBorders/>
            <w:vAlign w:val="bottom"/>
          </w:tcPr>
          <w:p>
            <w:pPr>
              <w:pStyle w:val="TableContents"/>
              <w:bidi w:val="0"/>
              <w:spacing w:before="0" w:after="283"/>
              <w:jc w:val="right"/>
              <w:rPr/>
            </w:pPr>
            <w:r>
              <w:rPr/>
              <w:t>49.0%</w:t>
            </w:r>
          </w:p>
        </w:tc>
      </w:tr>
      <w:tr>
        <w:trPr/>
        <w:tc>
          <w:tcPr>
            <w:tcW w:w="1085" w:type="dxa"/>
            <w:tcBorders/>
          </w:tcPr>
          <w:p>
            <w:pPr>
              <w:pStyle w:val="TableContents"/>
              <w:bidi w:val="0"/>
              <w:spacing w:before="0" w:after="0"/>
              <w:jc w:val="left"/>
              <w:rPr>
                <w:rFonts w:ascii="Arial" w:hAnsi="Arial"/>
                <w:sz w:val="15"/>
              </w:rPr>
            </w:pPr>
            <w:r>
              <w:rPr>
                <w:rFonts w:ascii="Arial" w:hAnsi="Arial"/>
                <w:sz w:val="15"/>
              </w:rPr>
              <w:t>Corporates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tcBorders/>
            <w:vAlign w:val="bottom"/>
          </w:tcPr>
          <w:p>
            <w:pPr>
              <w:pStyle w:val="TableContents"/>
              <w:bidi w:val="0"/>
              <w:spacing w:before="0" w:after="283"/>
              <w:jc w:val="right"/>
              <w:rPr/>
            </w:pPr>
            <w:r>
              <w:rPr/>
              <w:t>489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235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right"/>
              <w:rPr/>
            </w:pPr>
            <w:r>
              <w:rPr/>
              <w:t>489</w:t>
            </w:r>
          </w:p>
        </w:tc>
        <w:tc>
          <w:tcPr>
            <w:tcW w:w="60" w:type="dxa"/>
            <w:tcBorders/>
            <w:vAlign w:val="bottom"/>
          </w:tcPr>
          <w:p>
            <w:pPr>
              <w:pStyle w:val="TableContents"/>
              <w:bidi w:val="0"/>
              <w:spacing w:before="0" w:after="283"/>
              <w:jc w:val="left"/>
              <w:rPr/>
            </w:pPr>
            <w:r>
              <w:rPr/>
              <w:t> </w:t>
            </w:r>
          </w:p>
        </w:tc>
        <w:tc>
          <w:tcPr>
            <w:tcW w:w="2300" w:type="dxa"/>
            <w:tcBorders/>
            <w:vAlign w:val="bottom"/>
          </w:tcPr>
          <w:p>
            <w:pPr>
              <w:pStyle w:val="TableContents"/>
              <w:bidi w:val="0"/>
              <w:spacing w:before="0" w:after="283"/>
              <w:jc w:val="right"/>
              <w:rPr/>
            </w:pPr>
            <w:r>
              <w:rPr/>
              <w:t>177</w:t>
            </w:r>
          </w:p>
        </w:tc>
        <w:tc>
          <w:tcPr>
            <w:tcW w:w="60" w:type="dxa"/>
            <w:tcBorders/>
            <w:vAlign w:val="bottom"/>
          </w:tcPr>
          <w:p>
            <w:pPr>
              <w:pStyle w:val="TableContents"/>
              <w:bidi w:val="0"/>
              <w:spacing w:before="0" w:after="283"/>
              <w:jc w:val="left"/>
              <w:rPr/>
            </w:pPr>
            <w:r>
              <w:rPr/>
              <w:t> </w:t>
            </w:r>
          </w:p>
        </w:tc>
        <w:tc>
          <w:tcPr>
            <w:tcW w:w="2420" w:type="dxa"/>
            <w:tcBorders/>
            <w:vAlign w:val="bottom"/>
          </w:tcPr>
          <w:p>
            <w:pPr>
              <w:pStyle w:val="TableContents"/>
              <w:bidi w:val="0"/>
              <w:spacing w:before="0" w:after="283"/>
              <w:jc w:val="right"/>
              <w:rPr/>
            </w:pPr>
            <w:r>
              <w:rPr/>
              <w:t>36.3%</w:t>
            </w:r>
          </w:p>
        </w:tc>
      </w:tr>
      <w:tr>
        <w:trPr/>
        <w:tc>
          <w:tcPr>
            <w:tcW w:w="1085" w:type="dxa"/>
            <w:tcBorders/>
          </w:tcPr>
          <w:p>
            <w:pPr>
              <w:pStyle w:val="TableContents"/>
              <w:bidi w:val="0"/>
              <w:spacing w:before="0" w:after="0"/>
              <w:jc w:val="left"/>
              <w:rPr>
                <w:rFonts w:ascii="Arial" w:hAnsi="Arial"/>
                <w:sz w:val="15"/>
              </w:rPr>
            </w:pPr>
            <w:r>
              <w:rPr>
                <w:rFonts w:ascii="Arial" w:hAnsi="Arial"/>
                <w:sz w:val="15"/>
              </w:rPr>
              <w:t>Tax, Audit &amp; Accounting Professionals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tcBorders/>
            <w:vAlign w:val="bottom"/>
          </w:tcPr>
          <w:p>
            <w:pPr>
              <w:pStyle w:val="TableContents"/>
              <w:bidi w:val="0"/>
              <w:spacing w:before="0" w:after="283"/>
              <w:jc w:val="right"/>
              <w:rPr/>
            </w:pPr>
            <w:r>
              <w:rPr/>
              <w:t>247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235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right"/>
              <w:rPr/>
            </w:pPr>
            <w:r>
              <w:rPr/>
              <w:t>247</w:t>
            </w:r>
          </w:p>
        </w:tc>
        <w:tc>
          <w:tcPr>
            <w:tcW w:w="60" w:type="dxa"/>
            <w:tcBorders/>
            <w:vAlign w:val="bottom"/>
          </w:tcPr>
          <w:p>
            <w:pPr>
              <w:pStyle w:val="TableContents"/>
              <w:bidi w:val="0"/>
              <w:spacing w:before="0" w:after="283"/>
              <w:jc w:val="left"/>
              <w:rPr/>
            </w:pPr>
            <w:r>
              <w:rPr/>
              <w:t> </w:t>
            </w:r>
          </w:p>
        </w:tc>
        <w:tc>
          <w:tcPr>
            <w:tcW w:w="2300" w:type="dxa"/>
            <w:tcBorders/>
            <w:vAlign w:val="bottom"/>
          </w:tcPr>
          <w:p>
            <w:pPr>
              <w:pStyle w:val="TableContents"/>
              <w:bidi w:val="0"/>
              <w:spacing w:before="0" w:after="283"/>
              <w:jc w:val="right"/>
              <w:rPr/>
            </w:pPr>
            <w:r>
              <w:rPr/>
              <w:t>76</w:t>
            </w:r>
          </w:p>
        </w:tc>
        <w:tc>
          <w:tcPr>
            <w:tcW w:w="60" w:type="dxa"/>
            <w:tcBorders/>
            <w:vAlign w:val="bottom"/>
          </w:tcPr>
          <w:p>
            <w:pPr>
              <w:pStyle w:val="TableContents"/>
              <w:bidi w:val="0"/>
              <w:spacing w:before="0" w:after="283"/>
              <w:jc w:val="left"/>
              <w:rPr/>
            </w:pPr>
            <w:r>
              <w:rPr/>
              <w:t> </w:t>
            </w:r>
          </w:p>
        </w:tc>
        <w:tc>
          <w:tcPr>
            <w:tcW w:w="2420" w:type="dxa"/>
            <w:tcBorders/>
            <w:vAlign w:val="bottom"/>
          </w:tcPr>
          <w:p>
            <w:pPr>
              <w:pStyle w:val="TableContents"/>
              <w:bidi w:val="0"/>
              <w:spacing w:before="0" w:after="283"/>
              <w:jc w:val="right"/>
              <w:rPr/>
            </w:pPr>
            <w:r>
              <w:rPr/>
              <w:t>30.6%</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275" w:type="dxa"/>
            <w:gridSpan w:val="8"/>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300"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420" w:type="dxa"/>
            <w:tcBorders/>
            <w:vAlign w:val="bottom"/>
          </w:tcPr>
          <w:p>
            <w:pPr>
              <w:pStyle w:val="TableContents"/>
              <w:bidi w:val="0"/>
              <w:spacing w:before="0" w:after="283"/>
              <w:jc w:val="left"/>
              <w:rPr>
                <w:sz w:val="4"/>
                <w:szCs w:val="4"/>
              </w:rPr>
            </w:pPr>
            <w:r>
              <w:rPr>
                <w:sz w:val="4"/>
                <w:szCs w:val="4"/>
              </w:rPr>
            </w:r>
          </w:p>
        </w:tc>
      </w:tr>
      <w:tr>
        <w:trPr/>
        <w:tc>
          <w:tcPr>
            <w:tcW w:w="1085" w:type="dxa"/>
            <w:tcBorders/>
          </w:tcPr>
          <w:p>
            <w:pPr>
              <w:pStyle w:val="TableContents"/>
              <w:bidi w:val="0"/>
              <w:spacing w:before="0" w:after="0"/>
              <w:jc w:val="left"/>
              <w:rPr/>
            </w:pPr>
            <w:r>
              <w:rPr/>
              <w:t>“</w:t>
            </w:r>
            <w:r>
              <w:rPr>
                <w:rFonts w:ascii="Arial" w:hAnsi="Arial"/>
                <w:sz w:val="15"/>
              </w:rPr>
              <w:t>Big 3” Segments Combined(1)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tcBorders/>
            <w:vAlign w:val="bottom"/>
          </w:tcPr>
          <w:p>
            <w:pPr>
              <w:pStyle w:val="TableContents"/>
              <w:bidi w:val="0"/>
              <w:spacing w:before="0" w:after="283"/>
              <w:jc w:val="right"/>
              <w:rPr/>
            </w:pPr>
            <w:r>
              <w:rPr/>
              <w:t>1,457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235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right"/>
              <w:rPr/>
            </w:pPr>
            <w:r>
              <w:rPr/>
              <w:t>1,457</w:t>
            </w:r>
          </w:p>
        </w:tc>
        <w:tc>
          <w:tcPr>
            <w:tcW w:w="60" w:type="dxa"/>
            <w:tcBorders/>
            <w:vAlign w:val="bottom"/>
          </w:tcPr>
          <w:p>
            <w:pPr>
              <w:pStyle w:val="TableContents"/>
              <w:bidi w:val="0"/>
              <w:spacing w:before="0" w:after="283"/>
              <w:jc w:val="left"/>
              <w:rPr/>
            </w:pPr>
            <w:r>
              <w:rPr/>
              <w:t> </w:t>
            </w:r>
          </w:p>
        </w:tc>
        <w:tc>
          <w:tcPr>
            <w:tcW w:w="2300" w:type="dxa"/>
            <w:tcBorders/>
            <w:vAlign w:val="bottom"/>
          </w:tcPr>
          <w:p>
            <w:pPr>
              <w:pStyle w:val="TableContents"/>
              <w:bidi w:val="0"/>
              <w:spacing w:before="0" w:after="283"/>
              <w:jc w:val="right"/>
              <w:rPr/>
            </w:pPr>
            <w:r>
              <w:rPr/>
              <w:t>606</w:t>
            </w:r>
          </w:p>
        </w:tc>
        <w:tc>
          <w:tcPr>
            <w:tcW w:w="60" w:type="dxa"/>
            <w:tcBorders/>
            <w:vAlign w:val="bottom"/>
          </w:tcPr>
          <w:p>
            <w:pPr>
              <w:pStyle w:val="TableContents"/>
              <w:bidi w:val="0"/>
              <w:spacing w:before="0" w:after="283"/>
              <w:jc w:val="left"/>
              <w:rPr/>
            </w:pPr>
            <w:r>
              <w:rPr/>
              <w:t> </w:t>
            </w:r>
          </w:p>
        </w:tc>
        <w:tc>
          <w:tcPr>
            <w:tcW w:w="2420" w:type="dxa"/>
            <w:tcBorders/>
            <w:vAlign w:val="bottom"/>
          </w:tcPr>
          <w:p>
            <w:pPr>
              <w:pStyle w:val="TableContents"/>
              <w:bidi w:val="0"/>
              <w:spacing w:before="0" w:after="283"/>
              <w:jc w:val="right"/>
              <w:rPr/>
            </w:pPr>
            <w:r>
              <w:rPr/>
              <w:t>41.7%</w:t>
            </w:r>
          </w:p>
        </w:tc>
      </w:tr>
      <w:tr>
        <w:trPr/>
        <w:tc>
          <w:tcPr>
            <w:tcW w:w="1085" w:type="dxa"/>
            <w:tcBorders/>
          </w:tcPr>
          <w:p>
            <w:pPr>
              <w:pStyle w:val="TableContents"/>
              <w:bidi w:val="0"/>
              <w:spacing w:before="0" w:after="0"/>
              <w:jc w:val="left"/>
              <w:rPr>
                <w:rFonts w:ascii="Arial" w:hAnsi="Arial"/>
                <w:sz w:val="15"/>
              </w:rPr>
            </w:pPr>
            <w:r>
              <w:rPr>
                <w:rFonts w:ascii="Arial" w:hAnsi="Arial"/>
                <w:sz w:val="15"/>
              </w:rPr>
              <w:t>Reuters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tcBorders/>
            <w:vAlign w:val="bottom"/>
          </w:tcPr>
          <w:p>
            <w:pPr>
              <w:pStyle w:val="TableContents"/>
              <w:bidi w:val="0"/>
              <w:spacing w:before="0" w:after="283"/>
              <w:jc w:val="right"/>
              <w:rPr/>
            </w:pPr>
            <w:r>
              <w:rPr/>
              <w:t>207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235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right"/>
              <w:rPr/>
            </w:pPr>
            <w:r>
              <w:rPr/>
              <w:t>207</w:t>
            </w:r>
          </w:p>
        </w:tc>
        <w:tc>
          <w:tcPr>
            <w:tcW w:w="60" w:type="dxa"/>
            <w:tcBorders/>
            <w:vAlign w:val="bottom"/>
          </w:tcPr>
          <w:p>
            <w:pPr>
              <w:pStyle w:val="TableContents"/>
              <w:bidi w:val="0"/>
              <w:spacing w:before="0" w:after="283"/>
              <w:jc w:val="left"/>
              <w:rPr/>
            </w:pPr>
            <w:r>
              <w:rPr/>
              <w:t> </w:t>
            </w:r>
          </w:p>
        </w:tc>
        <w:tc>
          <w:tcPr>
            <w:tcW w:w="2300" w:type="dxa"/>
            <w:tcBorders/>
            <w:vAlign w:val="bottom"/>
          </w:tcPr>
          <w:p>
            <w:pPr>
              <w:pStyle w:val="TableContents"/>
              <w:bidi w:val="0"/>
              <w:spacing w:before="0" w:after="283"/>
              <w:jc w:val="right"/>
              <w:rPr/>
            </w:pPr>
            <w:r>
              <w:rPr/>
              <w:t>42</w:t>
            </w:r>
          </w:p>
        </w:tc>
        <w:tc>
          <w:tcPr>
            <w:tcW w:w="60" w:type="dxa"/>
            <w:tcBorders/>
            <w:vAlign w:val="bottom"/>
          </w:tcPr>
          <w:p>
            <w:pPr>
              <w:pStyle w:val="TableContents"/>
              <w:bidi w:val="0"/>
              <w:spacing w:before="0" w:after="283"/>
              <w:jc w:val="left"/>
              <w:rPr/>
            </w:pPr>
            <w:r>
              <w:rPr/>
              <w:t> </w:t>
            </w:r>
          </w:p>
        </w:tc>
        <w:tc>
          <w:tcPr>
            <w:tcW w:w="2420" w:type="dxa"/>
            <w:tcBorders/>
            <w:vAlign w:val="bottom"/>
          </w:tcPr>
          <w:p>
            <w:pPr>
              <w:pStyle w:val="TableContents"/>
              <w:bidi w:val="0"/>
              <w:spacing w:before="0" w:after="283"/>
              <w:jc w:val="right"/>
              <w:rPr/>
            </w:pPr>
            <w:r>
              <w:rPr/>
              <w:t>19.9%</w:t>
            </w:r>
          </w:p>
        </w:tc>
      </w:tr>
      <w:tr>
        <w:trPr/>
        <w:tc>
          <w:tcPr>
            <w:tcW w:w="1085" w:type="dxa"/>
            <w:tcBorders/>
          </w:tcPr>
          <w:p>
            <w:pPr>
              <w:pStyle w:val="TableContents"/>
              <w:bidi w:val="0"/>
              <w:spacing w:before="0" w:after="0"/>
              <w:jc w:val="left"/>
              <w:rPr>
                <w:rFonts w:ascii="Arial" w:hAnsi="Arial"/>
                <w:sz w:val="15"/>
              </w:rPr>
            </w:pPr>
            <w:r>
              <w:rPr>
                <w:rFonts w:ascii="Arial" w:hAnsi="Arial"/>
                <w:sz w:val="15"/>
              </w:rPr>
              <w:t>Eliminations/Rounding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tcBorders/>
            <w:vAlign w:val="bottom"/>
          </w:tcPr>
          <w:p>
            <w:pPr>
              <w:pStyle w:val="TableContents"/>
              <w:bidi w:val="0"/>
              <w:spacing w:before="0" w:after="283"/>
              <w:jc w:val="right"/>
              <w:rPr/>
            </w:pPr>
            <w:r>
              <w:rPr/>
              <w:t>(6)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235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right"/>
              <w:rPr/>
            </w:pPr>
            <w:r>
              <w:rPr/>
              <w:t>(6)</w:t>
            </w:r>
          </w:p>
        </w:tc>
        <w:tc>
          <w:tcPr>
            <w:tcW w:w="60" w:type="dxa"/>
            <w:tcBorders/>
            <w:vAlign w:val="bottom"/>
          </w:tcPr>
          <w:p>
            <w:pPr>
              <w:pStyle w:val="TableContents"/>
              <w:bidi w:val="0"/>
              <w:spacing w:before="0" w:after="283"/>
              <w:jc w:val="left"/>
              <w:rPr/>
            </w:pPr>
            <w:r>
              <w:rPr/>
              <w:t> </w:t>
            </w:r>
          </w:p>
        </w:tc>
        <w:tc>
          <w:tcPr>
            <w:tcW w:w="23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420" w:type="dxa"/>
            <w:tcBorders/>
            <w:vAlign w:val="bottom"/>
          </w:tcPr>
          <w:p>
            <w:pPr>
              <w:pStyle w:val="TableContents"/>
              <w:bidi w:val="0"/>
              <w:spacing w:before="0" w:after="283"/>
              <w:jc w:val="right"/>
              <w:rPr/>
            </w:pPr>
            <w:r>
              <w:rPr/>
              <w:t>n/a</w:t>
            </w:r>
          </w:p>
        </w:tc>
      </w:tr>
      <w:tr>
        <w:trPr/>
        <w:tc>
          <w:tcPr>
            <w:tcW w:w="1085" w:type="dxa"/>
            <w:tcBorders/>
          </w:tcPr>
          <w:p>
            <w:pPr>
              <w:pStyle w:val="TableContents"/>
              <w:bidi w:val="0"/>
              <w:spacing w:before="0" w:after="0"/>
              <w:jc w:val="left"/>
              <w:rPr>
                <w:rFonts w:ascii="Arial" w:hAnsi="Arial"/>
                <w:sz w:val="15"/>
              </w:rPr>
            </w:pPr>
            <w:r>
              <w:rPr>
                <w:rFonts w:ascii="Arial" w:hAnsi="Arial"/>
                <w:sz w:val="15"/>
              </w:rPr>
              <w:t>Corporate costs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235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300" w:type="dxa"/>
            <w:tcBorders/>
            <w:vAlign w:val="bottom"/>
          </w:tcPr>
          <w:p>
            <w:pPr>
              <w:pStyle w:val="TableContents"/>
              <w:bidi w:val="0"/>
              <w:spacing w:before="0" w:after="283"/>
              <w:jc w:val="right"/>
              <w:rPr/>
            </w:pPr>
            <w:r>
              <w:rPr/>
              <w:t>(55)</w:t>
            </w:r>
          </w:p>
        </w:tc>
        <w:tc>
          <w:tcPr>
            <w:tcW w:w="60" w:type="dxa"/>
            <w:tcBorders/>
            <w:vAlign w:val="bottom"/>
          </w:tcPr>
          <w:p>
            <w:pPr>
              <w:pStyle w:val="TableContents"/>
              <w:bidi w:val="0"/>
              <w:spacing w:before="0" w:after="283"/>
              <w:jc w:val="left"/>
              <w:rPr/>
            </w:pPr>
            <w:r>
              <w:rPr/>
              <w:t> </w:t>
            </w:r>
          </w:p>
        </w:tc>
        <w:tc>
          <w:tcPr>
            <w:tcW w:w="2420" w:type="dxa"/>
            <w:tcBorders/>
            <w:vAlign w:val="bottom"/>
          </w:tcPr>
          <w:p>
            <w:pPr>
              <w:pStyle w:val="TableContents"/>
              <w:bidi w:val="0"/>
              <w:spacing w:before="0" w:after="283"/>
              <w:jc w:val="right"/>
              <w:rPr/>
            </w:pPr>
            <w:r>
              <w:rPr/>
              <w:t>n/a</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275" w:type="dxa"/>
            <w:gridSpan w:val="8"/>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300"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420" w:type="dxa"/>
            <w:tcBorders/>
            <w:vAlign w:val="bottom"/>
          </w:tcPr>
          <w:p>
            <w:pPr>
              <w:pStyle w:val="TableContents"/>
              <w:bidi w:val="0"/>
              <w:spacing w:before="0" w:after="283"/>
              <w:jc w:val="left"/>
              <w:rPr>
                <w:sz w:val="4"/>
                <w:szCs w:val="4"/>
              </w:rPr>
            </w:pPr>
            <w:r>
              <w:rPr>
                <w:sz w:val="4"/>
                <w:szCs w:val="4"/>
              </w:rPr>
            </w:r>
          </w:p>
        </w:tc>
      </w:tr>
      <w:tr>
        <w:trPr/>
        <w:tc>
          <w:tcPr>
            <w:tcW w:w="1085" w:type="dxa"/>
            <w:tcBorders/>
          </w:tcPr>
          <w:p>
            <w:pPr>
              <w:pStyle w:val="TableContents"/>
              <w:bidi w:val="0"/>
              <w:spacing w:before="0" w:after="0"/>
              <w:jc w:val="left"/>
              <w:rPr>
                <w:rFonts w:ascii="Arial" w:hAnsi="Arial"/>
                <w:b/>
                <w:sz w:val="15"/>
              </w:rPr>
            </w:pPr>
            <w:r>
              <w:rPr>
                <w:rFonts w:ascii="Arial" w:hAnsi="Arial"/>
                <w:b/>
                <w:sz w:val="15"/>
              </w:rPr>
              <w:t>Consolidated totals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tcBorders/>
            <w:vAlign w:val="bottom"/>
          </w:tcPr>
          <w:p>
            <w:pPr>
              <w:pStyle w:val="TableContents"/>
              <w:bidi w:val="0"/>
              <w:spacing w:before="0" w:after="283"/>
              <w:jc w:val="right"/>
              <w:rPr>
                <w:b/>
              </w:rPr>
            </w:pPr>
            <w:r>
              <w:rPr>
                <w:b/>
              </w:rPr>
              <w:t>$1,658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2350" w:type="dxa"/>
            <w:tcBorders/>
            <w:vAlign w:val="bottom"/>
          </w:tcPr>
          <w:p>
            <w:pPr>
              <w:pStyle w:val="TableContents"/>
              <w:bidi w:val="0"/>
              <w:spacing w:before="0" w:after="283"/>
              <w:jc w:val="right"/>
              <w:rPr>
                <w:b/>
              </w:rPr>
            </w:pPr>
            <w:r>
              <w:rPr>
                <w:b/>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right"/>
              <w:rPr>
                <w:b/>
              </w:rPr>
            </w:pPr>
            <w:r>
              <w:rPr>
                <w:b/>
              </w:rPr>
              <w:t>$1,658</w:t>
            </w:r>
          </w:p>
        </w:tc>
        <w:tc>
          <w:tcPr>
            <w:tcW w:w="60" w:type="dxa"/>
            <w:tcBorders/>
            <w:vAlign w:val="bottom"/>
          </w:tcPr>
          <w:p>
            <w:pPr>
              <w:pStyle w:val="TableContents"/>
              <w:bidi w:val="0"/>
              <w:spacing w:before="0" w:after="283"/>
              <w:jc w:val="left"/>
              <w:rPr/>
            </w:pPr>
            <w:r>
              <w:rPr/>
              <w:t> </w:t>
            </w:r>
          </w:p>
        </w:tc>
        <w:tc>
          <w:tcPr>
            <w:tcW w:w="2300" w:type="dxa"/>
            <w:tcBorders/>
            <w:vAlign w:val="bottom"/>
          </w:tcPr>
          <w:p>
            <w:pPr>
              <w:pStyle w:val="TableContents"/>
              <w:bidi w:val="0"/>
              <w:spacing w:before="0" w:after="283"/>
              <w:jc w:val="right"/>
              <w:rPr>
                <w:b/>
              </w:rPr>
            </w:pPr>
            <w:r>
              <w:rPr>
                <w:b/>
              </w:rPr>
              <w:t>$593</w:t>
            </w:r>
          </w:p>
        </w:tc>
        <w:tc>
          <w:tcPr>
            <w:tcW w:w="60" w:type="dxa"/>
            <w:tcBorders/>
            <w:vAlign w:val="bottom"/>
          </w:tcPr>
          <w:p>
            <w:pPr>
              <w:pStyle w:val="TableContents"/>
              <w:bidi w:val="0"/>
              <w:spacing w:before="0" w:after="283"/>
              <w:jc w:val="left"/>
              <w:rPr/>
            </w:pPr>
            <w:r>
              <w:rPr/>
              <w:t> </w:t>
            </w:r>
          </w:p>
        </w:tc>
        <w:tc>
          <w:tcPr>
            <w:tcW w:w="2420" w:type="dxa"/>
            <w:tcBorders/>
            <w:vAlign w:val="bottom"/>
          </w:tcPr>
          <w:p>
            <w:pPr>
              <w:pStyle w:val="TableContents"/>
              <w:bidi w:val="0"/>
              <w:spacing w:before="0" w:after="283"/>
              <w:jc w:val="right"/>
              <w:rPr/>
            </w:pPr>
            <w:r>
              <w:rPr/>
              <w:t>35.8%</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275" w:type="dxa"/>
            <w:gridSpan w:val="8"/>
            <w:tcBorders/>
            <w:vAlign w:val="bottom"/>
          </w:tcPr>
          <w:p>
            <w:pPr>
              <w:pStyle w:val="TableContents"/>
              <w:pBdr>
                <w:top w:val="double" w:sz="6"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300" w:type="dxa"/>
            <w:tcBorders/>
            <w:vAlign w:val="bottom"/>
          </w:tcPr>
          <w:p>
            <w:pPr>
              <w:pStyle w:val="TableContents"/>
              <w:pBdr>
                <w:top w:val="double" w:sz="6"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420" w:type="dxa"/>
            <w:tcBorders/>
            <w:vAlign w:val="bottom"/>
          </w:tcPr>
          <w:p>
            <w:pPr>
              <w:pStyle w:val="TableContents"/>
              <w:bidi w:val="0"/>
              <w:spacing w:before="0" w:after="283"/>
              <w:jc w:val="left"/>
              <w:rPr>
                <w:sz w:val="4"/>
                <w:szCs w:val="4"/>
              </w:rPr>
            </w:pPr>
            <w:r>
              <w:rPr>
                <w:sz w:val="4"/>
                <w:szCs w:val="4"/>
              </w:rPr>
            </w:r>
          </w:p>
        </w:tc>
      </w:tr>
      <w:tr>
        <w:trPr>
          <w:trHeight w:val="60" w:hRule="atLeast"/>
        </w:trPr>
        <w:tc>
          <w:tcPr>
            <w:tcW w:w="1085" w:type="dxa"/>
            <w:tcBorders/>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left"/>
              <w:rPr>
                <w:sz w:val="4"/>
                <w:szCs w:val="4"/>
              </w:rPr>
            </w:pPr>
            <w:r>
              <w:rPr>
                <w:sz w:val="4"/>
                <w:szCs w:val="4"/>
              </w:rPr>
            </w:r>
          </w:p>
        </w:tc>
        <w:tc>
          <w:tcPr>
            <w:tcW w:w="2840" w:type="dxa"/>
            <w:gridSpan w:val="4"/>
            <w:tcBorders/>
            <w:vAlign w:val="center"/>
          </w:tcPr>
          <w:p>
            <w:pPr>
              <w:pStyle w:val="TableContents"/>
              <w:bidi w:val="0"/>
              <w:spacing w:before="0" w:after="283"/>
              <w:jc w:val="left"/>
              <w:rPr>
                <w:sz w:val="4"/>
                <w:szCs w:val="4"/>
              </w:rPr>
            </w:pPr>
            <w:r>
              <w:rPr>
                <w:sz w:val="4"/>
                <w:szCs w:val="4"/>
              </w:rPr>
            </w:r>
          </w:p>
        </w:tc>
        <w:tc>
          <w:tcPr>
            <w:tcW w:w="2735" w:type="dxa"/>
            <w:gridSpan w:val="2"/>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c>
          <w:tcPr>
            <w:tcW w:w="2480" w:type="dxa"/>
            <w:gridSpan w:val="2"/>
            <w:tcBorders/>
            <w:vAlign w:val="center"/>
          </w:tcPr>
          <w:p>
            <w:pPr>
              <w:pStyle w:val="TableContents"/>
              <w:bidi w:val="0"/>
              <w:spacing w:before="0" w:after="283"/>
              <w:jc w:val="left"/>
              <w:rPr>
                <w:sz w:val="4"/>
                <w:szCs w:val="4"/>
              </w:rPr>
            </w:pPr>
            <w:r>
              <w:rPr>
                <w:sz w:val="4"/>
                <w:szCs w:val="4"/>
              </w:rPr>
            </w:r>
          </w:p>
        </w:tc>
      </w:tr>
      <w:tr>
        <w:trPr/>
        <w:tc>
          <w:tcPr>
            <w:tcW w:w="1085" w:type="dxa"/>
            <w:tcBorders/>
          </w:tcPr>
          <w:p>
            <w:pPr>
              <w:pStyle w:val="TableContents"/>
              <w:bidi w:val="0"/>
              <w:spacing w:before="0" w:after="0"/>
              <w:jc w:val="left"/>
              <w:rPr>
                <w:rFonts w:ascii="Arial" w:hAnsi="Arial"/>
                <w:b/>
                <w:sz w:val="15"/>
                <w:u w:val="single"/>
              </w:rPr>
            </w:pPr>
            <w:r>
              <w:rPr>
                <w:rFonts w:ascii="Arial" w:hAnsi="Arial"/>
                <w:b/>
                <w:sz w:val="15"/>
                <w:u w:val="single"/>
              </w:rPr>
              <w:t>Three Months ended June 30, 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6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sz w:val="4"/>
                <w:szCs w:val="4"/>
              </w:rPr>
            </w:pPr>
            <w:r>
              <w:rPr>
                <w:sz w:val="4"/>
                <w:szCs w:val="4"/>
              </w:rPr>
            </w:r>
          </w:p>
        </w:tc>
        <w:tc>
          <w:tcPr>
            <w:tcW w:w="2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20" w:type="dxa"/>
            <w:tcBorders/>
            <w:vAlign w:val="bottom"/>
          </w:tcPr>
          <w:p>
            <w:pPr>
              <w:pStyle w:val="TableContents"/>
              <w:bidi w:val="0"/>
              <w:spacing w:before="0" w:after="283"/>
              <w:jc w:val="left"/>
              <w:rPr>
                <w:sz w:val="4"/>
                <w:szCs w:val="4"/>
              </w:rPr>
            </w:pPr>
            <w:r>
              <w:rPr>
                <w:sz w:val="4"/>
                <w:szCs w:val="4"/>
              </w:rPr>
            </w:r>
          </w:p>
        </w:tc>
      </w:tr>
      <w:tr>
        <w:trPr/>
        <w:tc>
          <w:tcPr>
            <w:tcW w:w="1085" w:type="dxa"/>
            <w:tcBorders/>
          </w:tcPr>
          <w:p>
            <w:pPr>
              <w:pStyle w:val="TableContents"/>
              <w:bidi w:val="0"/>
              <w:spacing w:before="0" w:after="0"/>
              <w:jc w:val="left"/>
              <w:rPr>
                <w:rFonts w:ascii="Arial" w:hAnsi="Arial"/>
                <w:sz w:val="15"/>
              </w:rPr>
            </w:pPr>
            <w:r>
              <w:rPr>
                <w:rFonts w:ascii="Arial" w:hAnsi="Arial"/>
                <w:sz w:val="15"/>
              </w:rPr>
              <w:t>Legal Professionals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tcBorders/>
            <w:vAlign w:val="bottom"/>
          </w:tcPr>
          <w:p>
            <w:pPr>
              <w:pStyle w:val="TableContents"/>
              <w:bidi w:val="0"/>
              <w:spacing w:before="0" w:after="283"/>
              <w:jc w:val="right"/>
              <w:rPr/>
            </w:pPr>
            <w:r>
              <w:rPr/>
              <w:t>$704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235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right"/>
              <w:rPr/>
            </w:pPr>
            <w:r>
              <w:rPr/>
              <w:t>$704</w:t>
            </w:r>
          </w:p>
        </w:tc>
        <w:tc>
          <w:tcPr>
            <w:tcW w:w="60" w:type="dxa"/>
            <w:tcBorders/>
            <w:vAlign w:val="bottom"/>
          </w:tcPr>
          <w:p>
            <w:pPr>
              <w:pStyle w:val="TableContents"/>
              <w:bidi w:val="0"/>
              <w:spacing w:before="0" w:after="283"/>
              <w:jc w:val="left"/>
              <w:rPr/>
            </w:pPr>
            <w:r>
              <w:rPr/>
              <w:t> </w:t>
            </w:r>
          </w:p>
        </w:tc>
        <w:tc>
          <w:tcPr>
            <w:tcW w:w="2300" w:type="dxa"/>
            <w:tcBorders/>
            <w:vAlign w:val="bottom"/>
          </w:tcPr>
          <w:p>
            <w:pPr>
              <w:pStyle w:val="TableContents"/>
              <w:bidi w:val="0"/>
              <w:spacing w:before="0" w:after="283"/>
              <w:jc w:val="right"/>
              <w:rPr/>
            </w:pPr>
            <w:r>
              <w:rPr/>
              <w:t>$339</w:t>
            </w:r>
          </w:p>
        </w:tc>
        <w:tc>
          <w:tcPr>
            <w:tcW w:w="60" w:type="dxa"/>
            <w:tcBorders/>
            <w:vAlign w:val="bottom"/>
          </w:tcPr>
          <w:p>
            <w:pPr>
              <w:pStyle w:val="TableContents"/>
              <w:bidi w:val="0"/>
              <w:spacing w:before="0" w:after="283"/>
              <w:jc w:val="left"/>
              <w:rPr/>
            </w:pPr>
            <w:r>
              <w:rPr/>
              <w:t> </w:t>
            </w:r>
          </w:p>
        </w:tc>
        <w:tc>
          <w:tcPr>
            <w:tcW w:w="2420" w:type="dxa"/>
            <w:tcBorders/>
            <w:vAlign w:val="bottom"/>
          </w:tcPr>
          <w:p>
            <w:pPr>
              <w:pStyle w:val="TableContents"/>
              <w:bidi w:val="0"/>
              <w:spacing w:before="0" w:after="283"/>
              <w:jc w:val="right"/>
              <w:rPr/>
            </w:pPr>
            <w:r>
              <w:rPr/>
              <w:t>48.1%</w:t>
            </w:r>
          </w:p>
        </w:tc>
      </w:tr>
      <w:tr>
        <w:trPr/>
        <w:tc>
          <w:tcPr>
            <w:tcW w:w="1085" w:type="dxa"/>
            <w:tcBorders/>
          </w:tcPr>
          <w:p>
            <w:pPr>
              <w:pStyle w:val="TableContents"/>
              <w:bidi w:val="0"/>
              <w:spacing w:before="0" w:after="0"/>
              <w:jc w:val="left"/>
              <w:rPr>
                <w:rFonts w:ascii="Arial" w:hAnsi="Arial"/>
                <w:sz w:val="15"/>
              </w:rPr>
            </w:pPr>
            <w:r>
              <w:rPr>
                <w:rFonts w:ascii="Arial" w:hAnsi="Arial"/>
                <w:sz w:val="15"/>
              </w:rPr>
              <w:t>Corporates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tcBorders/>
            <w:vAlign w:val="bottom"/>
          </w:tcPr>
          <w:p>
            <w:pPr>
              <w:pStyle w:val="TableContents"/>
              <w:bidi w:val="0"/>
              <w:spacing w:before="0" w:after="283"/>
              <w:jc w:val="right"/>
              <w:rPr/>
            </w:pPr>
            <w:r>
              <w:rPr/>
              <w:t>480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235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right"/>
              <w:rPr/>
            </w:pPr>
            <w:r>
              <w:rPr/>
              <w:t>480</w:t>
            </w:r>
          </w:p>
        </w:tc>
        <w:tc>
          <w:tcPr>
            <w:tcW w:w="60" w:type="dxa"/>
            <w:tcBorders/>
            <w:vAlign w:val="bottom"/>
          </w:tcPr>
          <w:p>
            <w:pPr>
              <w:pStyle w:val="TableContents"/>
              <w:bidi w:val="0"/>
              <w:spacing w:before="0" w:after="283"/>
              <w:jc w:val="left"/>
              <w:rPr/>
            </w:pPr>
            <w:r>
              <w:rPr/>
              <w:t> </w:t>
            </w:r>
          </w:p>
        </w:tc>
        <w:tc>
          <w:tcPr>
            <w:tcW w:w="2300" w:type="dxa"/>
            <w:tcBorders/>
            <w:vAlign w:val="bottom"/>
          </w:tcPr>
          <w:p>
            <w:pPr>
              <w:pStyle w:val="TableContents"/>
              <w:bidi w:val="0"/>
              <w:spacing w:before="0" w:after="283"/>
              <w:jc w:val="right"/>
              <w:rPr/>
            </w:pPr>
            <w:r>
              <w:rPr/>
              <w:t>172</w:t>
            </w:r>
          </w:p>
        </w:tc>
        <w:tc>
          <w:tcPr>
            <w:tcW w:w="60" w:type="dxa"/>
            <w:tcBorders/>
            <w:vAlign w:val="bottom"/>
          </w:tcPr>
          <w:p>
            <w:pPr>
              <w:pStyle w:val="TableContents"/>
              <w:bidi w:val="0"/>
              <w:spacing w:before="0" w:after="283"/>
              <w:jc w:val="left"/>
              <w:rPr/>
            </w:pPr>
            <w:r>
              <w:rPr/>
              <w:t> </w:t>
            </w:r>
          </w:p>
        </w:tc>
        <w:tc>
          <w:tcPr>
            <w:tcW w:w="2420" w:type="dxa"/>
            <w:tcBorders/>
            <w:vAlign w:val="bottom"/>
          </w:tcPr>
          <w:p>
            <w:pPr>
              <w:pStyle w:val="TableContents"/>
              <w:bidi w:val="0"/>
              <w:spacing w:before="0" w:after="283"/>
              <w:jc w:val="right"/>
              <w:rPr/>
            </w:pPr>
            <w:r>
              <w:rPr/>
              <w:t>35.7%</w:t>
            </w:r>
          </w:p>
        </w:tc>
      </w:tr>
      <w:tr>
        <w:trPr/>
        <w:tc>
          <w:tcPr>
            <w:tcW w:w="1085" w:type="dxa"/>
            <w:tcBorders/>
          </w:tcPr>
          <w:p>
            <w:pPr>
              <w:pStyle w:val="TableContents"/>
              <w:bidi w:val="0"/>
              <w:spacing w:before="0" w:after="0"/>
              <w:jc w:val="left"/>
              <w:rPr>
                <w:rFonts w:ascii="Arial" w:hAnsi="Arial"/>
                <w:sz w:val="15"/>
              </w:rPr>
            </w:pPr>
            <w:r>
              <w:rPr>
                <w:rFonts w:ascii="Arial" w:hAnsi="Arial"/>
                <w:sz w:val="15"/>
              </w:rPr>
              <w:t>Tax, Audit &amp; Accounting Professionals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tcBorders/>
            <w:vAlign w:val="bottom"/>
          </w:tcPr>
          <w:p>
            <w:pPr>
              <w:pStyle w:val="TableContents"/>
              <w:bidi w:val="0"/>
              <w:spacing w:before="0" w:after="283"/>
              <w:jc w:val="right"/>
              <w:rPr/>
            </w:pPr>
            <w:r>
              <w:rPr/>
              <w:t>274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2350" w:type="dxa"/>
            <w:tcBorders/>
            <w:vAlign w:val="bottom"/>
          </w:tcPr>
          <w:p>
            <w:pPr>
              <w:pStyle w:val="TableContents"/>
              <w:bidi w:val="0"/>
              <w:spacing w:before="0" w:after="283"/>
              <w:jc w:val="right"/>
              <w:rPr/>
            </w:pPr>
            <w:r>
              <w:rPr/>
              <w:t>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right"/>
              <w:rPr/>
            </w:pPr>
            <w:r>
              <w:rPr/>
              <w:t>284</w:t>
            </w:r>
          </w:p>
        </w:tc>
        <w:tc>
          <w:tcPr>
            <w:tcW w:w="60" w:type="dxa"/>
            <w:tcBorders/>
            <w:vAlign w:val="bottom"/>
          </w:tcPr>
          <w:p>
            <w:pPr>
              <w:pStyle w:val="TableContents"/>
              <w:bidi w:val="0"/>
              <w:spacing w:before="0" w:after="283"/>
              <w:jc w:val="left"/>
              <w:rPr/>
            </w:pPr>
            <w:r>
              <w:rPr/>
              <w:t> </w:t>
            </w:r>
          </w:p>
        </w:tc>
        <w:tc>
          <w:tcPr>
            <w:tcW w:w="2300" w:type="dxa"/>
            <w:tcBorders/>
            <w:vAlign w:val="bottom"/>
          </w:tcPr>
          <w:p>
            <w:pPr>
              <w:pStyle w:val="TableContents"/>
              <w:bidi w:val="0"/>
              <w:spacing w:before="0" w:after="283"/>
              <w:jc w:val="right"/>
              <w:rPr/>
            </w:pPr>
            <w:r>
              <w:rPr/>
              <w:t>110</w:t>
            </w:r>
          </w:p>
        </w:tc>
        <w:tc>
          <w:tcPr>
            <w:tcW w:w="60" w:type="dxa"/>
            <w:tcBorders/>
            <w:vAlign w:val="bottom"/>
          </w:tcPr>
          <w:p>
            <w:pPr>
              <w:pStyle w:val="TableContents"/>
              <w:bidi w:val="0"/>
              <w:spacing w:before="0" w:after="283"/>
              <w:jc w:val="left"/>
              <w:rPr/>
            </w:pPr>
            <w:r>
              <w:rPr/>
              <w:t> </w:t>
            </w:r>
          </w:p>
        </w:tc>
        <w:tc>
          <w:tcPr>
            <w:tcW w:w="2420" w:type="dxa"/>
            <w:tcBorders/>
            <w:vAlign w:val="bottom"/>
          </w:tcPr>
          <w:p>
            <w:pPr>
              <w:pStyle w:val="TableContents"/>
              <w:bidi w:val="0"/>
              <w:spacing w:before="0" w:after="283"/>
              <w:jc w:val="right"/>
              <w:rPr/>
            </w:pPr>
            <w:r>
              <w:rPr/>
              <w:t>38.9%</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275" w:type="dxa"/>
            <w:gridSpan w:val="8"/>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300"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420" w:type="dxa"/>
            <w:tcBorders/>
            <w:vAlign w:val="bottom"/>
          </w:tcPr>
          <w:p>
            <w:pPr>
              <w:pStyle w:val="TableContents"/>
              <w:bidi w:val="0"/>
              <w:spacing w:before="0" w:after="283"/>
              <w:jc w:val="left"/>
              <w:rPr>
                <w:sz w:val="4"/>
                <w:szCs w:val="4"/>
              </w:rPr>
            </w:pPr>
            <w:r>
              <w:rPr>
                <w:sz w:val="4"/>
                <w:szCs w:val="4"/>
              </w:rPr>
            </w:r>
          </w:p>
        </w:tc>
      </w:tr>
      <w:tr>
        <w:trPr/>
        <w:tc>
          <w:tcPr>
            <w:tcW w:w="1085" w:type="dxa"/>
            <w:tcBorders/>
          </w:tcPr>
          <w:p>
            <w:pPr>
              <w:pStyle w:val="TableContents"/>
              <w:bidi w:val="0"/>
              <w:spacing w:before="0" w:after="0"/>
              <w:jc w:val="left"/>
              <w:rPr/>
            </w:pPr>
            <w:r>
              <w:rPr/>
              <w:t>“</w:t>
            </w:r>
            <w:r>
              <w:rPr>
                <w:rFonts w:ascii="Arial" w:hAnsi="Arial"/>
                <w:sz w:val="15"/>
              </w:rPr>
              <w:t>Big 3” Segments Combined(1)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tcBorders/>
            <w:vAlign w:val="bottom"/>
          </w:tcPr>
          <w:p>
            <w:pPr>
              <w:pStyle w:val="TableContents"/>
              <w:bidi w:val="0"/>
              <w:spacing w:before="0" w:after="283"/>
              <w:jc w:val="right"/>
              <w:rPr/>
            </w:pPr>
            <w:r>
              <w:rPr/>
              <w:t>1,458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2350" w:type="dxa"/>
            <w:tcBorders/>
            <w:vAlign w:val="bottom"/>
          </w:tcPr>
          <w:p>
            <w:pPr>
              <w:pStyle w:val="TableContents"/>
              <w:bidi w:val="0"/>
              <w:spacing w:before="0" w:after="283"/>
              <w:jc w:val="right"/>
              <w:rPr/>
            </w:pPr>
            <w:r>
              <w:rPr/>
              <w:t>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right"/>
              <w:rPr/>
            </w:pPr>
            <w:r>
              <w:rPr/>
              <w:t>1,468</w:t>
            </w:r>
          </w:p>
        </w:tc>
        <w:tc>
          <w:tcPr>
            <w:tcW w:w="60" w:type="dxa"/>
            <w:tcBorders/>
            <w:vAlign w:val="bottom"/>
          </w:tcPr>
          <w:p>
            <w:pPr>
              <w:pStyle w:val="TableContents"/>
              <w:bidi w:val="0"/>
              <w:spacing w:before="0" w:after="283"/>
              <w:jc w:val="left"/>
              <w:rPr/>
            </w:pPr>
            <w:r>
              <w:rPr/>
              <w:t> </w:t>
            </w:r>
          </w:p>
        </w:tc>
        <w:tc>
          <w:tcPr>
            <w:tcW w:w="2300" w:type="dxa"/>
            <w:tcBorders/>
            <w:vAlign w:val="bottom"/>
          </w:tcPr>
          <w:p>
            <w:pPr>
              <w:pStyle w:val="TableContents"/>
              <w:bidi w:val="0"/>
              <w:spacing w:before="0" w:after="283"/>
              <w:jc w:val="right"/>
              <w:rPr/>
            </w:pPr>
            <w:r>
              <w:rPr/>
              <w:t>621</w:t>
            </w:r>
          </w:p>
        </w:tc>
        <w:tc>
          <w:tcPr>
            <w:tcW w:w="60" w:type="dxa"/>
            <w:tcBorders/>
            <w:vAlign w:val="bottom"/>
          </w:tcPr>
          <w:p>
            <w:pPr>
              <w:pStyle w:val="TableContents"/>
              <w:bidi w:val="0"/>
              <w:spacing w:before="0" w:after="283"/>
              <w:jc w:val="left"/>
              <w:rPr/>
            </w:pPr>
            <w:r>
              <w:rPr/>
              <w:t> </w:t>
            </w:r>
          </w:p>
        </w:tc>
        <w:tc>
          <w:tcPr>
            <w:tcW w:w="2420" w:type="dxa"/>
            <w:tcBorders/>
            <w:vAlign w:val="bottom"/>
          </w:tcPr>
          <w:p>
            <w:pPr>
              <w:pStyle w:val="TableContents"/>
              <w:bidi w:val="0"/>
              <w:spacing w:before="0" w:after="283"/>
              <w:jc w:val="right"/>
              <w:rPr/>
            </w:pPr>
            <w:r>
              <w:rPr/>
              <w:t>42.3%</w:t>
            </w:r>
          </w:p>
        </w:tc>
      </w:tr>
      <w:tr>
        <w:trPr/>
        <w:tc>
          <w:tcPr>
            <w:tcW w:w="1085" w:type="dxa"/>
            <w:tcBorders/>
          </w:tcPr>
          <w:p>
            <w:pPr>
              <w:pStyle w:val="TableContents"/>
              <w:bidi w:val="0"/>
              <w:spacing w:before="0" w:after="0"/>
              <w:jc w:val="left"/>
              <w:rPr>
                <w:rFonts w:ascii="Arial" w:hAnsi="Arial"/>
                <w:sz w:val="15"/>
              </w:rPr>
            </w:pPr>
            <w:r>
              <w:rPr>
                <w:rFonts w:ascii="Arial" w:hAnsi="Arial"/>
                <w:sz w:val="15"/>
              </w:rPr>
              <w:t>Reuters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tcBorders/>
            <w:vAlign w:val="bottom"/>
          </w:tcPr>
          <w:p>
            <w:pPr>
              <w:pStyle w:val="TableContents"/>
              <w:bidi w:val="0"/>
              <w:spacing w:before="0" w:after="283"/>
              <w:jc w:val="right"/>
              <w:rPr/>
            </w:pPr>
            <w:r>
              <w:rPr/>
              <w:t>218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235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right"/>
              <w:rPr/>
            </w:pPr>
            <w:r>
              <w:rPr/>
              <w:t>218</w:t>
            </w:r>
          </w:p>
        </w:tc>
        <w:tc>
          <w:tcPr>
            <w:tcW w:w="60" w:type="dxa"/>
            <w:tcBorders/>
            <w:vAlign w:val="bottom"/>
          </w:tcPr>
          <w:p>
            <w:pPr>
              <w:pStyle w:val="TableContents"/>
              <w:bidi w:val="0"/>
              <w:spacing w:before="0" w:after="283"/>
              <w:jc w:val="left"/>
              <w:rPr/>
            </w:pPr>
            <w:r>
              <w:rPr/>
              <w:t> </w:t>
            </w:r>
          </w:p>
        </w:tc>
        <w:tc>
          <w:tcPr>
            <w:tcW w:w="2300" w:type="dxa"/>
            <w:tcBorders/>
            <w:vAlign w:val="bottom"/>
          </w:tcPr>
          <w:p>
            <w:pPr>
              <w:pStyle w:val="TableContents"/>
              <w:bidi w:val="0"/>
              <w:spacing w:before="0" w:after="283"/>
              <w:jc w:val="right"/>
              <w:rPr/>
            </w:pPr>
            <w:r>
              <w:rPr/>
              <w:t>45</w:t>
            </w:r>
          </w:p>
        </w:tc>
        <w:tc>
          <w:tcPr>
            <w:tcW w:w="60" w:type="dxa"/>
            <w:tcBorders/>
            <w:vAlign w:val="bottom"/>
          </w:tcPr>
          <w:p>
            <w:pPr>
              <w:pStyle w:val="TableContents"/>
              <w:bidi w:val="0"/>
              <w:spacing w:before="0" w:after="283"/>
              <w:jc w:val="left"/>
              <w:rPr/>
            </w:pPr>
            <w:r>
              <w:rPr/>
              <w:t> </w:t>
            </w:r>
          </w:p>
        </w:tc>
        <w:tc>
          <w:tcPr>
            <w:tcW w:w="2420" w:type="dxa"/>
            <w:tcBorders/>
            <w:vAlign w:val="bottom"/>
          </w:tcPr>
          <w:p>
            <w:pPr>
              <w:pStyle w:val="TableContents"/>
              <w:bidi w:val="0"/>
              <w:spacing w:before="0" w:after="283"/>
              <w:jc w:val="right"/>
              <w:rPr/>
            </w:pPr>
            <w:r>
              <w:rPr/>
              <w:t>20.8%</w:t>
            </w:r>
          </w:p>
        </w:tc>
      </w:tr>
      <w:tr>
        <w:trPr/>
        <w:tc>
          <w:tcPr>
            <w:tcW w:w="1085" w:type="dxa"/>
            <w:tcBorders/>
          </w:tcPr>
          <w:p>
            <w:pPr>
              <w:pStyle w:val="TableContents"/>
              <w:bidi w:val="0"/>
              <w:spacing w:before="0" w:after="0"/>
              <w:jc w:val="left"/>
              <w:rPr>
                <w:rFonts w:ascii="Arial" w:hAnsi="Arial"/>
                <w:sz w:val="15"/>
              </w:rPr>
            </w:pPr>
            <w:r>
              <w:rPr>
                <w:rFonts w:ascii="Arial" w:hAnsi="Arial"/>
                <w:sz w:val="15"/>
              </w:rPr>
              <w:t>Eliminations/Rounding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235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c>
          <w:tcPr>
            <w:tcW w:w="23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420" w:type="dxa"/>
            <w:tcBorders/>
            <w:vAlign w:val="bottom"/>
          </w:tcPr>
          <w:p>
            <w:pPr>
              <w:pStyle w:val="TableContents"/>
              <w:bidi w:val="0"/>
              <w:spacing w:before="0" w:after="283"/>
              <w:jc w:val="right"/>
              <w:rPr/>
            </w:pPr>
            <w:r>
              <w:rPr/>
              <w:t>n/a</w:t>
            </w:r>
          </w:p>
        </w:tc>
      </w:tr>
      <w:tr>
        <w:trPr/>
        <w:tc>
          <w:tcPr>
            <w:tcW w:w="1085" w:type="dxa"/>
            <w:tcBorders/>
          </w:tcPr>
          <w:p>
            <w:pPr>
              <w:pStyle w:val="TableContents"/>
              <w:bidi w:val="0"/>
              <w:spacing w:before="0" w:after="0"/>
              <w:jc w:val="left"/>
              <w:rPr>
                <w:rFonts w:ascii="Arial" w:hAnsi="Arial"/>
                <w:sz w:val="15"/>
              </w:rPr>
            </w:pPr>
            <w:r>
              <w:rPr>
                <w:rFonts w:ascii="Arial" w:hAnsi="Arial"/>
                <w:sz w:val="15"/>
              </w:rPr>
              <w:t>Corporate costs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235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300" w:type="dxa"/>
            <w:tcBorders/>
            <w:vAlign w:val="bottom"/>
          </w:tcPr>
          <w:p>
            <w:pPr>
              <w:pStyle w:val="TableContents"/>
              <w:bidi w:val="0"/>
              <w:spacing w:before="0" w:after="283"/>
              <w:jc w:val="right"/>
              <w:rPr/>
            </w:pPr>
            <w:r>
              <w:rPr/>
              <w:t>(61)</w:t>
            </w:r>
          </w:p>
        </w:tc>
        <w:tc>
          <w:tcPr>
            <w:tcW w:w="60" w:type="dxa"/>
            <w:tcBorders/>
            <w:vAlign w:val="bottom"/>
          </w:tcPr>
          <w:p>
            <w:pPr>
              <w:pStyle w:val="TableContents"/>
              <w:bidi w:val="0"/>
              <w:spacing w:before="0" w:after="283"/>
              <w:jc w:val="left"/>
              <w:rPr/>
            </w:pPr>
            <w:r>
              <w:rPr/>
              <w:t> </w:t>
            </w:r>
          </w:p>
        </w:tc>
        <w:tc>
          <w:tcPr>
            <w:tcW w:w="2420" w:type="dxa"/>
            <w:tcBorders/>
            <w:vAlign w:val="bottom"/>
          </w:tcPr>
          <w:p>
            <w:pPr>
              <w:pStyle w:val="TableContents"/>
              <w:bidi w:val="0"/>
              <w:spacing w:before="0" w:after="283"/>
              <w:jc w:val="right"/>
              <w:rPr/>
            </w:pPr>
            <w:r>
              <w:rPr/>
              <w:t>n/a</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275" w:type="dxa"/>
            <w:gridSpan w:val="8"/>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300"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420" w:type="dxa"/>
            <w:tcBorders/>
            <w:vAlign w:val="bottom"/>
          </w:tcPr>
          <w:p>
            <w:pPr>
              <w:pStyle w:val="TableContents"/>
              <w:bidi w:val="0"/>
              <w:spacing w:before="0" w:after="283"/>
              <w:jc w:val="left"/>
              <w:rPr>
                <w:sz w:val="4"/>
                <w:szCs w:val="4"/>
              </w:rPr>
            </w:pPr>
            <w:r>
              <w:rPr>
                <w:sz w:val="4"/>
                <w:szCs w:val="4"/>
              </w:rPr>
            </w:r>
          </w:p>
        </w:tc>
      </w:tr>
      <w:tr>
        <w:trPr/>
        <w:tc>
          <w:tcPr>
            <w:tcW w:w="1085" w:type="dxa"/>
            <w:tcBorders/>
          </w:tcPr>
          <w:p>
            <w:pPr>
              <w:pStyle w:val="TableContents"/>
              <w:bidi w:val="0"/>
              <w:spacing w:before="0" w:after="0"/>
              <w:jc w:val="left"/>
              <w:rPr>
                <w:rFonts w:ascii="Arial" w:hAnsi="Arial"/>
                <w:b/>
                <w:sz w:val="15"/>
              </w:rPr>
            </w:pPr>
            <w:r>
              <w:rPr>
                <w:rFonts w:ascii="Arial" w:hAnsi="Arial"/>
                <w:b/>
                <w:sz w:val="15"/>
              </w:rPr>
              <w:t>Consolidated totals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tcBorders/>
            <w:vAlign w:val="bottom"/>
          </w:tcPr>
          <w:p>
            <w:pPr>
              <w:pStyle w:val="TableContents"/>
              <w:bidi w:val="0"/>
              <w:spacing w:before="0" w:after="283"/>
              <w:jc w:val="right"/>
              <w:rPr>
                <w:b/>
              </w:rPr>
            </w:pPr>
            <w:r>
              <w:rPr>
                <w:b/>
              </w:rPr>
              <w:t>$1,671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2350" w:type="dxa"/>
            <w:tcBorders/>
            <w:vAlign w:val="bottom"/>
          </w:tcPr>
          <w:p>
            <w:pPr>
              <w:pStyle w:val="TableContents"/>
              <w:bidi w:val="0"/>
              <w:spacing w:before="0" w:after="283"/>
              <w:jc w:val="right"/>
              <w:rPr>
                <w:b/>
              </w:rPr>
            </w:pPr>
            <w:r>
              <w:rPr>
                <w:b/>
              </w:rPr>
              <w:t>$10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right"/>
              <w:rPr>
                <w:b/>
              </w:rPr>
            </w:pPr>
            <w:r>
              <w:rPr>
                <w:b/>
              </w:rPr>
              <w:t>$1,681</w:t>
            </w:r>
          </w:p>
        </w:tc>
        <w:tc>
          <w:tcPr>
            <w:tcW w:w="60" w:type="dxa"/>
            <w:tcBorders/>
            <w:vAlign w:val="bottom"/>
          </w:tcPr>
          <w:p>
            <w:pPr>
              <w:pStyle w:val="TableContents"/>
              <w:bidi w:val="0"/>
              <w:spacing w:before="0" w:after="283"/>
              <w:jc w:val="left"/>
              <w:rPr/>
            </w:pPr>
            <w:r>
              <w:rPr/>
              <w:t> </w:t>
            </w:r>
          </w:p>
        </w:tc>
        <w:tc>
          <w:tcPr>
            <w:tcW w:w="2300" w:type="dxa"/>
            <w:tcBorders/>
            <w:vAlign w:val="bottom"/>
          </w:tcPr>
          <w:p>
            <w:pPr>
              <w:pStyle w:val="TableContents"/>
              <w:bidi w:val="0"/>
              <w:spacing w:before="0" w:after="283"/>
              <w:jc w:val="right"/>
              <w:rPr>
                <w:b/>
              </w:rPr>
            </w:pPr>
            <w:r>
              <w:rPr>
                <w:b/>
              </w:rPr>
              <w:t>$605</w:t>
            </w:r>
          </w:p>
        </w:tc>
        <w:tc>
          <w:tcPr>
            <w:tcW w:w="60" w:type="dxa"/>
            <w:tcBorders/>
            <w:vAlign w:val="bottom"/>
          </w:tcPr>
          <w:p>
            <w:pPr>
              <w:pStyle w:val="TableContents"/>
              <w:bidi w:val="0"/>
              <w:spacing w:before="0" w:after="283"/>
              <w:jc w:val="left"/>
              <w:rPr/>
            </w:pPr>
            <w:r>
              <w:rPr/>
              <w:t> </w:t>
            </w:r>
          </w:p>
        </w:tc>
        <w:tc>
          <w:tcPr>
            <w:tcW w:w="2420" w:type="dxa"/>
            <w:tcBorders/>
            <w:vAlign w:val="bottom"/>
          </w:tcPr>
          <w:p>
            <w:pPr>
              <w:pStyle w:val="TableContents"/>
              <w:bidi w:val="0"/>
              <w:spacing w:before="0" w:after="283"/>
              <w:jc w:val="right"/>
              <w:rPr/>
            </w:pPr>
            <w:r>
              <w:rPr/>
              <w:t>36.0%</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275" w:type="dxa"/>
            <w:gridSpan w:val="8"/>
            <w:tcBorders/>
            <w:vAlign w:val="bottom"/>
          </w:tcPr>
          <w:p>
            <w:pPr>
              <w:pStyle w:val="TableContents"/>
              <w:pBdr>
                <w:top w:val="double" w:sz="6"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300" w:type="dxa"/>
            <w:tcBorders/>
            <w:vAlign w:val="bottom"/>
          </w:tcPr>
          <w:p>
            <w:pPr>
              <w:pStyle w:val="TableContents"/>
              <w:pBdr>
                <w:top w:val="double" w:sz="6"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420" w:type="dxa"/>
            <w:tcBorders/>
            <w:vAlign w:val="bottom"/>
          </w:tcPr>
          <w:p>
            <w:pPr>
              <w:pStyle w:val="TableContents"/>
              <w:bidi w:val="0"/>
              <w:spacing w:before="0" w:after="283"/>
              <w:jc w:val="left"/>
              <w:rPr>
                <w:sz w:val="4"/>
                <w:szCs w:val="4"/>
              </w:rPr>
            </w:pPr>
            <w:r>
              <w:rPr>
                <w:sz w:val="4"/>
                <w:szCs w:val="4"/>
              </w:rPr>
            </w:r>
          </w:p>
        </w:tc>
      </w:tr>
      <w:tr>
        <w:trPr>
          <w:trHeight w:val="60" w:hRule="atLeast"/>
        </w:trPr>
        <w:tc>
          <w:tcPr>
            <w:tcW w:w="1085" w:type="dxa"/>
            <w:tcBorders/>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left"/>
              <w:rPr>
                <w:sz w:val="4"/>
                <w:szCs w:val="4"/>
              </w:rPr>
            </w:pPr>
            <w:r>
              <w:rPr>
                <w:sz w:val="4"/>
                <w:szCs w:val="4"/>
              </w:rPr>
            </w:r>
          </w:p>
        </w:tc>
        <w:tc>
          <w:tcPr>
            <w:tcW w:w="2840" w:type="dxa"/>
            <w:gridSpan w:val="4"/>
            <w:tcBorders/>
            <w:vAlign w:val="center"/>
          </w:tcPr>
          <w:p>
            <w:pPr>
              <w:pStyle w:val="TableContents"/>
              <w:bidi w:val="0"/>
              <w:spacing w:before="0" w:after="283"/>
              <w:jc w:val="left"/>
              <w:rPr>
                <w:sz w:val="4"/>
                <w:szCs w:val="4"/>
              </w:rPr>
            </w:pPr>
            <w:r>
              <w:rPr>
                <w:sz w:val="4"/>
                <w:szCs w:val="4"/>
              </w:rPr>
            </w:r>
          </w:p>
        </w:tc>
        <w:tc>
          <w:tcPr>
            <w:tcW w:w="2735" w:type="dxa"/>
            <w:gridSpan w:val="2"/>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c>
          <w:tcPr>
            <w:tcW w:w="2480" w:type="dxa"/>
            <w:gridSpan w:val="2"/>
            <w:tcBorders/>
            <w:vAlign w:val="center"/>
          </w:tcPr>
          <w:p>
            <w:pPr>
              <w:pStyle w:val="TableContents"/>
              <w:bidi w:val="0"/>
              <w:spacing w:before="0" w:after="283"/>
              <w:jc w:val="left"/>
              <w:rPr>
                <w:sz w:val="4"/>
                <w:szCs w:val="4"/>
              </w:rPr>
            </w:pPr>
            <w:r>
              <w:rPr>
                <w:sz w:val="4"/>
                <w:szCs w:val="4"/>
              </w:rPr>
            </w:r>
          </w:p>
        </w:tc>
      </w:tr>
      <w:tr>
        <w:trPr/>
        <w:tc>
          <w:tcPr>
            <w:tcW w:w="1085" w:type="dxa"/>
            <w:tcBorders/>
          </w:tcPr>
          <w:p>
            <w:pPr>
              <w:pStyle w:val="TableContents"/>
              <w:bidi w:val="0"/>
              <w:spacing w:before="0" w:after="0"/>
              <w:jc w:val="left"/>
              <w:rPr>
                <w:rFonts w:ascii="Arial" w:hAnsi="Arial"/>
                <w:b/>
                <w:sz w:val="15"/>
                <w:u w:val="single"/>
              </w:rPr>
            </w:pPr>
            <w:r>
              <w:rPr>
                <w:rFonts w:ascii="Arial" w:hAnsi="Arial"/>
                <w:b/>
                <w:sz w:val="15"/>
                <w:u w:val="single"/>
              </w:rPr>
              <w:t>Three Months ended March 31, 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6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sz w:val="4"/>
                <w:szCs w:val="4"/>
              </w:rPr>
            </w:pPr>
            <w:r>
              <w:rPr>
                <w:sz w:val="4"/>
                <w:szCs w:val="4"/>
              </w:rPr>
            </w:r>
          </w:p>
        </w:tc>
        <w:tc>
          <w:tcPr>
            <w:tcW w:w="2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20" w:type="dxa"/>
            <w:tcBorders/>
            <w:vAlign w:val="bottom"/>
          </w:tcPr>
          <w:p>
            <w:pPr>
              <w:pStyle w:val="TableContents"/>
              <w:bidi w:val="0"/>
              <w:spacing w:before="0" w:after="283"/>
              <w:jc w:val="left"/>
              <w:rPr>
                <w:sz w:val="4"/>
                <w:szCs w:val="4"/>
              </w:rPr>
            </w:pPr>
            <w:r>
              <w:rPr>
                <w:sz w:val="4"/>
                <w:szCs w:val="4"/>
              </w:rPr>
            </w:r>
          </w:p>
        </w:tc>
      </w:tr>
      <w:tr>
        <w:trPr/>
        <w:tc>
          <w:tcPr>
            <w:tcW w:w="1085" w:type="dxa"/>
            <w:tcBorders/>
          </w:tcPr>
          <w:p>
            <w:pPr>
              <w:pStyle w:val="TableContents"/>
              <w:bidi w:val="0"/>
              <w:spacing w:before="0" w:after="0"/>
              <w:jc w:val="left"/>
              <w:rPr>
                <w:rFonts w:ascii="Arial" w:hAnsi="Arial"/>
                <w:sz w:val="15"/>
              </w:rPr>
            </w:pPr>
            <w:r>
              <w:rPr>
                <w:rFonts w:ascii="Arial" w:hAnsi="Arial"/>
                <w:sz w:val="15"/>
              </w:rPr>
              <w:t>Legal Professionals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tcBorders/>
            <w:vAlign w:val="bottom"/>
          </w:tcPr>
          <w:p>
            <w:pPr>
              <w:pStyle w:val="TableContents"/>
              <w:bidi w:val="0"/>
              <w:spacing w:before="0" w:after="283"/>
              <w:jc w:val="right"/>
              <w:rPr/>
            </w:pPr>
            <w:r>
              <w:rPr/>
              <w:t>$688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235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right"/>
              <w:rPr/>
            </w:pPr>
            <w:r>
              <w:rPr/>
              <w:t>$688</w:t>
            </w:r>
          </w:p>
        </w:tc>
        <w:tc>
          <w:tcPr>
            <w:tcW w:w="60" w:type="dxa"/>
            <w:tcBorders/>
            <w:vAlign w:val="bottom"/>
          </w:tcPr>
          <w:p>
            <w:pPr>
              <w:pStyle w:val="TableContents"/>
              <w:bidi w:val="0"/>
              <w:spacing w:before="0" w:after="283"/>
              <w:jc w:val="left"/>
              <w:rPr/>
            </w:pPr>
            <w:r>
              <w:rPr/>
              <w:t> </w:t>
            </w:r>
          </w:p>
        </w:tc>
        <w:tc>
          <w:tcPr>
            <w:tcW w:w="2300" w:type="dxa"/>
            <w:tcBorders/>
            <w:vAlign w:val="bottom"/>
          </w:tcPr>
          <w:p>
            <w:pPr>
              <w:pStyle w:val="TableContents"/>
              <w:bidi w:val="0"/>
              <w:spacing w:before="0" w:after="283"/>
              <w:jc w:val="right"/>
              <w:rPr/>
            </w:pPr>
            <w:r>
              <w:rPr/>
              <w:t>$336</w:t>
            </w:r>
          </w:p>
        </w:tc>
        <w:tc>
          <w:tcPr>
            <w:tcW w:w="60" w:type="dxa"/>
            <w:tcBorders/>
            <w:vAlign w:val="bottom"/>
          </w:tcPr>
          <w:p>
            <w:pPr>
              <w:pStyle w:val="TableContents"/>
              <w:bidi w:val="0"/>
              <w:spacing w:before="0" w:after="283"/>
              <w:jc w:val="left"/>
              <w:rPr/>
            </w:pPr>
            <w:r>
              <w:rPr/>
              <w:t> </w:t>
            </w:r>
          </w:p>
        </w:tc>
        <w:tc>
          <w:tcPr>
            <w:tcW w:w="2420" w:type="dxa"/>
            <w:tcBorders/>
            <w:vAlign w:val="bottom"/>
          </w:tcPr>
          <w:p>
            <w:pPr>
              <w:pStyle w:val="TableContents"/>
              <w:bidi w:val="0"/>
              <w:spacing w:before="0" w:after="283"/>
              <w:jc w:val="right"/>
              <w:rPr/>
            </w:pPr>
            <w:r>
              <w:rPr/>
              <w:t>48.7%</w:t>
            </w:r>
          </w:p>
        </w:tc>
      </w:tr>
      <w:tr>
        <w:trPr/>
        <w:tc>
          <w:tcPr>
            <w:tcW w:w="1085" w:type="dxa"/>
            <w:tcBorders/>
          </w:tcPr>
          <w:p>
            <w:pPr>
              <w:pStyle w:val="TableContents"/>
              <w:bidi w:val="0"/>
              <w:spacing w:before="0" w:after="0"/>
              <w:jc w:val="left"/>
              <w:rPr>
                <w:rFonts w:ascii="Arial" w:hAnsi="Arial"/>
                <w:sz w:val="15"/>
              </w:rPr>
            </w:pPr>
            <w:r>
              <w:rPr>
                <w:rFonts w:ascii="Arial" w:hAnsi="Arial"/>
                <w:sz w:val="15"/>
              </w:rPr>
              <w:t>Corporates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tcBorders/>
            <w:vAlign w:val="bottom"/>
          </w:tcPr>
          <w:p>
            <w:pPr>
              <w:pStyle w:val="TableContents"/>
              <w:bidi w:val="0"/>
              <w:spacing w:before="0" w:after="283"/>
              <w:jc w:val="right"/>
              <w:rPr/>
            </w:pPr>
            <w:r>
              <w:rPr/>
              <w:t>548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235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right"/>
              <w:rPr/>
            </w:pPr>
            <w:r>
              <w:rPr/>
              <w:t>548</w:t>
            </w:r>
          </w:p>
        </w:tc>
        <w:tc>
          <w:tcPr>
            <w:tcW w:w="60" w:type="dxa"/>
            <w:tcBorders/>
            <w:vAlign w:val="bottom"/>
          </w:tcPr>
          <w:p>
            <w:pPr>
              <w:pStyle w:val="TableContents"/>
              <w:bidi w:val="0"/>
              <w:spacing w:before="0" w:after="283"/>
              <w:jc w:val="left"/>
              <w:rPr/>
            </w:pPr>
            <w:r>
              <w:rPr/>
              <w:t> </w:t>
            </w:r>
          </w:p>
        </w:tc>
        <w:tc>
          <w:tcPr>
            <w:tcW w:w="2300" w:type="dxa"/>
            <w:tcBorders/>
            <w:vAlign w:val="bottom"/>
          </w:tcPr>
          <w:p>
            <w:pPr>
              <w:pStyle w:val="TableContents"/>
              <w:bidi w:val="0"/>
              <w:spacing w:before="0" w:after="283"/>
              <w:jc w:val="right"/>
              <w:rPr/>
            </w:pPr>
            <w:r>
              <w:rPr/>
              <w:t>215</w:t>
            </w:r>
          </w:p>
        </w:tc>
        <w:tc>
          <w:tcPr>
            <w:tcW w:w="60" w:type="dxa"/>
            <w:tcBorders/>
            <w:vAlign w:val="bottom"/>
          </w:tcPr>
          <w:p>
            <w:pPr>
              <w:pStyle w:val="TableContents"/>
              <w:bidi w:val="0"/>
              <w:spacing w:before="0" w:after="283"/>
              <w:jc w:val="left"/>
              <w:rPr/>
            </w:pPr>
            <w:r>
              <w:rPr/>
              <w:t> </w:t>
            </w:r>
          </w:p>
        </w:tc>
        <w:tc>
          <w:tcPr>
            <w:tcW w:w="2420" w:type="dxa"/>
            <w:tcBorders/>
            <w:vAlign w:val="bottom"/>
          </w:tcPr>
          <w:p>
            <w:pPr>
              <w:pStyle w:val="TableContents"/>
              <w:bidi w:val="0"/>
              <w:spacing w:before="0" w:after="283"/>
              <w:jc w:val="right"/>
              <w:rPr/>
            </w:pPr>
            <w:r>
              <w:rPr/>
              <w:t>39.3%</w:t>
            </w:r>
          </w:p>
        </w:tc>
      </w:tr>
      <w:tr>
        <w:trPr/>
        <w:tc>
          <w:tcPr>
            <w:tcW w:w="1085" w:type="dxa"/>
            <w:tcBorders/>
          </w:tcPr>
          <w:p>
            <w:pPr>
              <w:pStyle w:val="TableContents"/>
              <w:bidi w:val="0"/>
              <w:spacing w:before="0" w:after="0"/>
              <w:jc w:val="left"/>
              <w:rPr>
                <w:rFonts w:ascii="Arial" w:hAnsi="Arial"/>
                <w:sz w:val="15"/>
              </w:rPr>
            </w:pPr>
            <w:r>
              <w:rPr>
                <w:rFonts w:ascii="Arial" w:hAnsi="Arial"/>
                <w:sz w:val="15"/>
              </w:rPr>
              <w:t>Tax, Audit &amp; Accounting Professionals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tcBorders/>
            <w:vAlign w:val="bottom"/>
          </w:tcPr>
          <w:p>
            <w:pPr>
              <w:pStyle w:val="TableContents"/>
              <w:bidi w:val="0"/>
              <w:spacing w:before="0" w:after="283"/>
              <w:jc w:val="right"/>
              <w:rPr/>
            </w:pPr>
            <w:r>
              <w:rPr/>
              <w:t>358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2350" w:type="dxa"/>
            <w:tcBorders/>
            <w:vAlign w:val="bottom"/>
          </w:tcPr>
          <w:p>
            <w:pPr>
              <w:pStyle w:val="TableContents"/>
              <w:bidi w:val="0"/>
              <w:spacing w:before="0" w:after="283"/>
              <w:jc w:val="right"/>
              <w:rPr/>
            </w:pPr>
            <w:r>
              <w:rPr/>
              <w:t>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right"/>
              <w:rPr/>
            </w:pPr>
            <w:r>
              <w:rPr/>
              <w:t>368</w:t>
            </w:r>
          </w:p>
        </w:tc>
        <w:tc>
          <w:tcPr>
            <w:tcW w:w="60" w:type="dxa"/>
            <w:tcBorders/>
            <w:vAlign w:val="bottom"/>
          </w:tcPr>
          <w:p>
            <w:pPr>
              <w:pStyle w:val="TableContents"/>
              <w:bidi w:val="0"/>
              <w:spacing w:before="0" w:after="283"/>
              <w:jc w:val="left"/>
              <w:rPr/>
            </w:pPr>
            <w:r>
              <w:rPr/>
              <w:t> </w:t>
            </w:r>
          </w:p>
        </w:tc>
        <w:tc>
          <w:tcPr>
            <w:tcW w:w="2300" w:type="dxa"/>
            <w:tcBorders/>
            <w:vAlign w:val="bottom"/>
          </w:tcPr>
          <w:p>
            <w:pPr>
              <w:pStyle w:val="TableContents"/>
              <w:bidi w:val="0"/>
              <w:spacing w:before="0" w:after="283"/>
              <w:jc w:val="right"/>
              <w:rPr/>
            </w:pPr>
            <w:r>
              <w:rPr/>
              <w:t>208</w:t>
            </w:r>
          </w:p>
        </w:tc>
        <w:tc>
          <w:tcPr>
            <w:tcW w:w="60" w:type="dxa"/>
            <w:tcBorders/>
            <w:vAlign w:val="bottom"/>
          </w:tcPr>
          <w:p>
            <w:pPr>
              <w:pStyle w:val="TableContents"/>
              <w:bidi w:val="0"/>
              <w:spacing w:before="0" w:after="283"/>
              <w:jc w:val="left"/>
              <w:rPr/>
            </w:pPr>
            <w:r>
              <w:rPr/>
              <w:t> </w:t>
            </w:r>
          </w:p>
        </w:tc>
        <w:tc>
          <w:tcPr>
            <w:tcW w:w="2420" w:type="dxa"/>
            <w:tcBorders/>
            <w:vAlign w:val="bottom"/>
          </w:tcPr>
          <w:p>
            <w:pPr>
              <w:pStyle w:val="TableContents"/>
              <w:bidi w:val="0"/>
              <w:spacing w:before="0" w:after="283"/>
              <w:jc w:val="right"/>
              <w:rPr/>
            </w:pPr>
            <w:r>
              <w:rPr/>
              <w:t>56.6%</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275" w:type="dxa"/>
            <w:gridSpan w:val="8"/>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300"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420" w:type="dxa"/>
            <w:tcBorders/>
            <w:vAlign w:val="bottom"/>
          </w:tcPr>
          <w:p>
            <w:pPr>
              <w:pStyle w:val="TableContents"/>
              <w:bidi w:val="0"/>
              <w:spacing w:before="0" w:after="283"/>
              <w:jc w:val="left"/>
              <w:rPr>
                <w:sz w:val="4"/>
                <w:szCs w:val="4"/>
              </w:rPr>
            </w:pPr>
            <w:r>
              <w:rPr>
                <w:sz w:val="4"/>
                <w:szCs w:val="4"/>
              </w:rPr>
            </w:r>
          </w:p>
        </w:tc>
      </w:tr>
      <w:tr>
        <w:trPr/>
        <w:tc>
          <w:tcPr>
            <w:tcW w:w="1085" w:type="dxa"/>
            <w:tcBorders/>
          </w:tcPr>
          <w:p>
            <w:pPr>
              <w:pStyle w:val="TableContents"/>
              <w:bidi w:val="0"/>
              <w:spacing w:before="0" w:after="0"/>
              <w:jc w:val="left"/>
              <w:rPr/>
            </w:pPr>
            <w:r>
              <w:rPr/>
              <w:t>“</w:t>
            </w:r>
            <w:r>
              <w:rPr>
                <w:rFonts w:ascii="Arial" w:hAnsi="Arial"/>
                <w:sz w:val="15"/>
              </w:rPr>
              <w:t>Big 3” Segments Combined(1)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tcBorders/>
            <w:vAlign w:val="bottom"/>
          </w:tcPr>
          <w:p>
            <w:pPr>
              <w:pStyle w:val="TableContents"/>
              <w:bidi w:val="0"/>
              <w:spacing w:before="0" w:after="283"/>
              <w:jc w:val="right"/>
              <w:rPr/>
            </w:pPr>
            <w:r>
              <w:rPr/>
              <w:t>1,594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2350" w:type="dxa"/>
            <w:tcBorders/>
            <w:vAlign w:val="bottom"/>
          </w:tcPr>
          <w:p>
            <w:pPr>
              <w:pStyle w:val="TableContents"/>
              <w:bidi w:val="0"/>
              <w:spacing w:before="0" w:after="283"/>
              <w:jc w:val="right"/>
              <w:rPr/>
            </w:pPr>
            <w:r>
              <w:rPr/>
              <w:t>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right"/>
              <w:rPr/>
            </w:pPr>
            <w:r>
              <w:rPr/>
              <w:t>1,604</w:t>
            </w:r>
          </w:p>
        </w:tc>
        <w:tc>
          <w:tcPr>
            <w:tcW w:w="60" w:type="dxa"/>
            <w:tcBorders/>
            <w:vAlign w:val="bottom"/>
          </w:tcPr>
          <w:p>
            <w:pPr>
              <w:pStyle w:val="TableContents"/>
              <w:bidi w:val="0"/>
              <w:spacing w:before="0" w:after="283"/>
              <w:jc w:val="left"/>
              <w:rPr/>
            </w:pPr>
            <w:r>
              <w:rPr/>
              <w:t> </w:t>
            </w:r>
          </w:p>
        </w:tc>
        <w:tc>
          <w:tcPr>
            <w:tcW w:w="2300" w:type="dxa"/>
            <w:tcBorders/>
            <w:vAlign w:val="bottom"/>
          </w:tcPr>
          <w:p>
            <w:pPr>
              <w:pStyle w:val="TableContents"/>
              <w:bidi w:val="0"/>
              <w:spacing w:before="0" w:after="283"/>
              <w:jc w:val="right"/>
              <w:rPr/>
            </w:pPr>
            <w:r>
              <w:rPr/>
              <w:t>759</w:t>
            </w:r>
          </w:p>
        </w:tc>
        <w:tc>
          <w:tcPr>
            <w:tcW w:w="60" w:type="dxa"/>
            <w:tcBorders/>
            <w:vAlign w:val="bottom"/>
          </w:tcPr>
          <w:p>
            <w:pPr>
              <w:pStyle w:val="TableContents"/>
              <w:bidi w:val="0"/>
              <w:spacing w:before="0" w:after="283"/>
              <w:jc w:val="left"/>
              <w:rPr/>
            </w:pPr>
            <w:r>
              <w:rPr/>
              <w:t> </w:t>
            </w:r>
          </w:p>
        </w:tc>
        <w:tc>
          <w:tcPr>
            <w:tcW w:w="2420" w:type="dxa"/>
            <w:tcBorders/>
            <w:vAlign w:val="bottom"/>
          </w:tcPr>
          <w:p>
            <w:pPr>
              <w:pStyle w:val="TableContents"/>
              <w:bidi w:val="0"/>
              <w:spacing w:before="0" w:after="283"/>
              <w:jc w:val="right"/>
              <w:rPr/>
            </w:pPr>
            <w:r>
              <w:rPr/>
              <w:t>47.3%</w:t>
            </w:r>
          </w:p>
        </w:tc>
      </w:tr>
      <w:tr>
        <w:trPr/>
        <w:tc>
          <w:tcPr>
            <w:tcW w:w="1085" w:type="dxa"/>
            <w:tcBorders/>
          </w:tcPr>
          <w:p>
            <w:pPr>
              <w:pStyle w:val="TableContents"/>
              <w:bidi w:val="0"/>
              <w:spacing w:before="0" w:after="0"/>
              <w:jc w:val="left"/>
              <w:rPr>
                <w:rFonts w:ascii="Arial" w:hAnsi="Arial"/>
                <w:sz w:val="15"/>
              </w:rPr>
            </w:pPr>
            <w:r>
              <w:rPr>
                <w:rFonts w:ascii="Arial" w:hAnsi="Arial"/>
                <w:sz w:val="15"/>
              </w:rPr>
              <w:t>Reuters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tcBorders/>
            <w:vAlign w:val="bottom"/>
          </w:tcPr>
          <w:p>
            <w:pPr>
              <w:pStyle w:val="TableContents"/>
              <w:bidi w:val="0"/>
              <w:spacing w:before="0" w:after="283"/>
              <w:jc w:val="right"/>
              <w:rPr/>
            </w:pPr>
            <w:r>
              <w:rPr/>
              <w:t>196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235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right"/>
              <w:rPr/>
            </w:pPr>
            <w:r>
              <w:rPr/>
              <w:t>196</w:t>
            </w:r>
          </w:p>
        </w:tc>
        <w:tc>
          <w:tcPr>
            <w:tcW w:w="60" w:type="dxa"/>
            <w:tcBorders/>
            <w:vAlign w:val="bottom"/>
          </w:tcPr>
          <w:p>
            <w:pPr>
              <w:pStyle w:val="TableContents"/>
              <w:bidi w:val="0"/>
              <w:spacing w:before="0" w:after="283"/>
              <w:jc w:val="left"/>
              <w:rPr/>
            </w:pPr>
            <w:r>
              <w:rPr/>
              <w:t> </w:t>
            </w:r>
          </w:p>
        </w:tc>
        <w:tc>
          <w:tcPr>
            <w:tcW w:w="2300"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c>
          <w:tcPr>
            <w:tcW w:w="2420" w:type="dxa"/>
            <w:tcBorders/>
            <w:vAlign w:val="bottom"/>
          </w:tcPr>
          <w:p>
            <w:pPr>
              <w:pStyle w:val="TableContents"/>
              <w:bidi w:val="0"/>
              <w:spacing w:before="0" w:after="283"/>
              <w:jc w:val="right"/>
              <w:rPr/>
            </w:pPr>
            <w:r>
              <w:rPr/>
              <w:t>20.0%</w:t>
            </w:r>
          </w:p>
        </w:tc>
      </w:tr>
      <w:tr>
        <w:trPr/>
        <w:tc>
          <w:tcPr>
            <w:tcW w:w="1085" w:type="dxa"/>
            <w:tcBorders/>
          </w:tcPr>
          <w:p>
            <w:pPr>
              <w:pStyle w:val="TableContents"/>
              <w:bidi w:val="0"/>
              <w:spacing w:before="0" w:after="0"/>
              <w:jc w:val="left"/>
              <w:rPr>
                <w:rFonts w:ascii="Arial" w:hAnsi="Arial"/>
                <w:sz w:val="15"/>
              </w:rPr>
            </w:pPr>
            <w:r>
              <w:rPr>
                <w:rFonts w:ascii="Arial" w:hAnsi="Arial"/>
                <w:sz w:val="15"/>
              </w:rPr>
              <w:t>Eliminations/Rounding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tcBorders/>
            <w:vAlign w:val="bottom"/>
          </w:tcPr>
          <w:p>
            <w:pPr>
              <w:pStyle w:val="TableContents"/>
              <w:bidi w:val="0"/>
              <w:spacing w:before="0" w:after="283"/>
              <w:jc w:val="right"/>
              <w:rPr/>
            </w:pPr>
            <w:r>
              <w:rPr/>
              <w:t>(6)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235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right"/>
              <w:rPr/>
            </w:pPr>
            <w:r>
              <w:rPr/>
              <w:t>(6)</w:t>
            </w:r>
          </w:p>
        </w:tc>
        <w:tc>
          <w:tcPr>
            <w:tcW w:w="60" w:type="dxa"/>
            <w:tcBorders/>
            <w:vAlign w:val="bottom"/>
          </w:tcPr>
          <w:p>
            <w:pPr>
              <w:pStyle w:val="TableContents"/>
              <w:bidi w:val="0"/>
              <w:spacing w:before="0" w:after="283"/>
              <w:jc w:val="left"/>
              <w:rPr/>
            </w:pPr>
            <w:r>
              <w:rPr/>
              <w:t> </w:t>
            </w:r>
          </w:p>
        </w:tc>
        <w:tc>
          <w:tcPr>
            <w:tcW w:w="23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420" w:type="dxa"/>
            <w:tcBorders/>
            <w:vAlign w:val="bottom"/>
          </w:tcPr>
          <w:p>
            <w:pPr>
              <w:pStyle w:val="TableContents"/>
              <w:bidi w:val="0"/>
              <w:spacing w:before="0" w:after="283"/>
              <w:jc w:val="right"/>
              <w:rPr/>
            </w:pPr>
            <w:r>
              <w:rPr/>
              <w:t>n/a</w:t>
            </w:r>
          </w:p>
        </w:tc>
      </w:tr>
      <w:tr>
        <w:trPr/>
        <w:tc>
          <w:tcPr>
            <w:tcW w:w="1085" w:type="dxa"/>
            <w:tcBorders/>
          </w:tcPr>
          <w:p>
            <w:pPr>
              <w:pStyle w:val="TableContents"/>
              <w:bidi w:val="0"/>
              <w:spacing w:before="0" w:after="0"/>
              <w:jc w:val="left"/>
              <w:rPr>
                <w:rFonts w:ascii="Arial" w:hAnsi="Arial"/>
                <w:sz w:val="15"/>
              </w:rPr>
            </w:pPr>
            <w:r>
              <w:rPr>
                <w:rFonts w:ascii="Arial" w:hAnsi="Arial"/>
                <w:sz w:val="15"/>
              </w:rPr>
              <w:t>Corporate costs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235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300" w:type="dxa"/>
            <w:tcBorders/>
            <w:vAlign w:val="bottom"/>
          </w:tcPr>
          <w:p>
            <w:pPr>
              <w:pStyle w:val="TableContents"/>
              <w:bidi w:val="0"/>
              <w:spacing w:before="0" w:after="283"/>
              <w:jc w:val="right"/>
              <w:rPr/>
            </w:pPr>
            <w:r>
              <w:rPr/>
              <w:t>(66)</w:t>
            </w:r>
          </w:p>
        </w:tc>
        <w:tc>
          <w:tcPr>
            <w:tcW w:w="60" w:type="dxa"/>
            <w:tcBorders/>
            <w:vAlign w:val="bottom"/>
          </w:tcPr>
          <w:p>
            <w:pPr>
              <w:pStyle w:val="TableContents"/>
              <w:bidi w:val="0"/>
              <w:spacing w:before="0" w:after="283"/>
              <w:jc w:val="left"/>
              <w:rPr/>
            </w:pPr>
            <w:r>
              <w:rPr/>
              <w:t> </w:t>
            </w:r>
          </w:p>
        </w:tc>
        <w:tc>
          <w:tcPr>
            <w:tcW w:w="2420" w:type="dxa"/>
            <w:tcBorders/>
            <w:vAlign w:val="bottom"/>
          </w:tcPr>
          <w:p>
            <w:pPr>
              <w:pStyle w:val="TableContents"/>
              <w:bidi w:val="0"/>
              <w:spacing w:before="0" w:after="283"/>
              <w:jc w:val="right"/>
              <w:rPr/>
            </w:pPr>
            <w:r>
              <w:rPr/>
              <w:t>n/a</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275" w:type="dxa"/>
            <w:gridSpan w:val="8"/>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300"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420" w:type="dxa"/>
            <w:tcBorders/>
            <w:vAlign w:val="bottom"/>
          </w:tcPr>
          <w:p>
            <w:pPr>
              <w:pStyle w:val="TableContents"/>
              <w:bidi w:val="0"/>
              <w:spacing w:before="0" w:after="283"/>
              <w:jc w:val="left"/>
              <w:rPr>
                <w:sz w:val="4"/>
                <w:szCs w:val="4"/>
              </w:rPr>
            </w:pPr>
            <w:r>
              <w:rPr>
                <w:sz w:val="4"/>
                <w:szCs w:val="4"/>
              </w:rPr>
            </w:r>
          </w:p>
        </w:tc>
      </w:tr>
      <w:tr>
        <w:trPr/>
        <w:tc>
          <w:tcPr>
            <w:tcW w:w="1085" w:type="dxa"/>
            <w:tcBorders/>
          </w:tcPr>
          <w:p>
            <w:pPr>
              <w:pStyle w:val="TableContents"/>
              <w:bidi w:val="0"/>
              <w:spacing w:before="0" w:after="0"/>
              <w:jc w:val="left"/>
              <w:rPr>
                <w:rFonts w:ascii="Arial" w:hAnsi="Arial"/>
                <w:b/>
                <w:sz w:val="15"/>
              </w:rPr>
            </w:pPr>
            <w:r>
              <w:rPr>
                <w:rFonts w:ascii="Arial" w:hAnsi="Arial"/>
                <w:b/>
                <w:sz w:val="15"/>
              </w:rPr>
              <w:t>Consolidated totals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tcBorders/>
            <w:vAlign w:val="bottom"/>
          </w:tcPr>
          <w:p>
            <w:pPr>
              <w:pStyle w:val="TableContents"/>
              <w:bidi w:val="0"/>
              <w:spacing w:before="0" w:after="283"/>
              <w:jc w:val="right"/>
              <w:rPr/>
            </w:pPr>
            <w:r>
              <w:rPr/>
              <w:t>    </w:t>
            </w:r>
            <w:r>
              <w:rPr>
                <w:b/>
              </w:rPr>
              <w:t>$1,784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2350" w:type="dxa"/>
            <w:tcBorders/>
            <w:vAlign w:val="bottom"/>
          </w:tcPr>
          <w:p>
            <w:pPr>
              <w:pStyle w:val="TableContents"/>
              <w:bidi w:val="0"/>
              <w:spacing w:before="0" w:after="283"/>
              <w:jc w:val="right"/>
              <w:rPr>
                <w:b/>
              </w:rPr>
            </w:pPr>
            <w:r>
              <w:rPr>
                <w:b/>
              </w:rPr>
              <w:t>$10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5" w:type="dxa"/>
            <w:tcBorders/>
            <w:vAlign w:val="bottom"/>
          </w:tcPr>
          <w:p>
            <w:pPr>
              <w:pStyle w:val="TableContents"/>
              <w:bidi w:val="0"/>
              <w:spacing w:before="0" w:after="283"/>
              <w:jc w:val="right"/>
              <w:rPr>
                <w:b/>
              </w:rPr>
            </w:pPr>
            <w:r>
              <w:rPr>
                <w:b/>
              </w:rPr>
              <w:t>$1,794</w:t>
            </w:r>
          </w:p>
        </w:tc>
        <w:tc>
          <w:tcPr>
            <w:tcW w:w="60" w:type="dxa"/>
            <w:tcBorders/>
            <w:vAlign w:val="bottom"/>
          </w:tcPr>
          <w:p>
            <w:pPr>
              <w:pStyle w:val="TableContents"/>
              <w:bidi w:val="0"/>
              <w:spacing w:before="0" w:after="283"/>
              <w:jc w:val="left"/>
              <w:rPr/>
            </w:pPr>
            <w:r>
              <w:rPr/>
              <w:t> </w:t>
            </w:r>
          </w:p>
        </w:tc>
        <w:tc>
          <w:tcPr>
            <w:tcW w:w="2300" w:type="dxa"/>
            <w:tcBorders/>
            <w:vAlign w:val="bottom"/>
          </w:tcPr>
          <w:p>
            <w:pPr>
              <w:pStyle w:val="TableContents"/>
              <w:bidi w:val="0"/>
              <w:spacing w:before="0" w:after="283"/>
              <w:jc w:val="right"/>
              <w:rPr>
                <w:b/>
              </w:rPr>
            </w:pPr>
            <w:r>
              <w:rPr>
                <w:b/>
              </w:rPr>
              <w:t>$732</w:t>
            </w:r>
          </w:p>
        </w:tc>
        <w:tc>
          <w:tcPr>
            <w:tcW w:w="60" w:type="dxa"/>
            <w:tcBorders/>
            <w:vAlign w:val="bottom"/>
          </w:tcPr>
          <w:p>
            <w:pPr>
              <w:pStyle w:val="TableContents"/>
              <w:bidi w:val="0"/>
              <w:spacing w:before="0" w:after="283"/>
              <w:jc w:val="left"/>
              <w:rPr/>
            </w:pPr>
            <w:r>
              <w:rPr/>
              <w:t> </w:t>
            </w:r>
          </w:p>
        </w:tc>
        <w:tc>
          <w:tcPr>
            <w:tcW w:w="2420" w:type="dxa"/>
            <w:tcBorders/>
            <w:vAlign w:val="bottom"/>
          </w:tcPr>
          <w:p>
            <w:pPr>
              <w:pStyle w:val="TableContents"/>
              <w:bidi w:val="0"/>
              <w:spacing w:before="0" w:after="283"/>
              <w:jc w:val="right"/>
              <w:rPr/>
            </w:pPr>
            <w:r>
              <w:rPr/>
              <w:t>40.8%</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275" w:type="dxa"/>
            <w:gridSpan w:val="8"/>
            <w:tcBorders/>
            <w:vAlign w:val="bottom"/>
          </w:tcPr>
          <w:p>
            <w:pPr>
              <w:pStyle w:val="TableContents"/>
              <w:pBdr>
                <w:top w:val="double" w:sz="6"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300" w:type="dxa"/>
            <w:tcBorders/>
            <w:vAlign w:val="bottom"/>
          </w:tcPr>
          <w:p>
            <w:pPr>
              <w:pStyle w:val="TableContents"/>
              <w:pBdr>
                <w:top w:val="double" w:sz="6"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42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pBdr/>
        <w:bidi w:val="0"/>
        <w:spacing w:before="0" w:after="0"/>
        <w:jc w:val="left"/>
        <w:rPr>
          <w:rFonts w:ascii="Calibri" w:hAnsi="Calibri"/>
          <w:sz w:val="13"/>
          <w:bdr w:val="single" w:sz="2" w:space="2" w:color="000000"/>
        </w:rPr>
      </w:pPr>
      <w:r>
        <w:rPr>
          <w:rFonts w:ascii="Calibri" w:hAnsi="Calibri"/>
          <w:sz w:val="13"/>
          <w:bdr w:val="single" w:sz="2" w:space="2" w:color="000000"/>
        </w:rPr>
        <w:t xml:space="preserve">(1) To compute segment and consolidated adjusted EBITDA margin, we exclude fair value adjustments related to acquired deferred revenue from our IFRS revenues. The chart above reconciles IFRS revenues to revenues used in the calculation of adjusted EBITDA margin, which excludes fair value adjustments related to acquired deferred revenue. </w:t>
      </w:r>
    </w:p>
    <w:p>
      <w:pPr>
        <w:pStyle w:val="TextBody"/>
        <w:pBdr/>
        <w:bidi w:val="0"/>
        <w:spacing w:before="120" w:after="0"/>
        <w:jc w:val="left"/>
        <w:rPr>
          <w:rFonts w:ascii="Calibri" w:hAnsi="Calibri"/>
          <w:sz w:val="13"/>
          <w:bdr w:val="single" w:sz="2" w:space="2" w:color="000000"/>
        </w:rPr>
      </w:pPr>
      <w:r>
        <w:rPr>
          <w:rFonts w:ascii="Calibri" w:hAnsi="Calibri"/>
          <w:sz w:val="13"/>
          <w:bdr w:val="single" w:sz="2" w:space="2" w:color="000000"/>
        </w:rPr>
        <w:t xml:space="preserve">The Company reports its results in millions of U.S. dollars, but computes margins using whole-dollars to be more precise. As a result, adjusted EBITDA margins calculated from reported amounts may differ from those presented.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5582</Words>
  <Characters>28776</Characters>
  <CharactersWithSpaces>40417</CharactersWithSpaces>
  <Paragraphs>8187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Thomson Reuters-Supplemental Financial Information</dc:title>
</cp:coreProperties>
</file>