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28636d6k.htm"/>
      <w:bookmarkStart w:id="1" w:name="ksd528636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18"/>
        </w:rPr>
      </w:pPr>
      <w:r>
        <w:rPr>
          <w:rFonts w:ascii="Times New Roman" w:hAnsi="Times New Roman"/>
          <w:b/>
          <w:sz w:val="18"/>
        </w:rPr>
        <w:t xml:space="preserve">For the month of September 2026 </w:t>
      </w:r>
    </w:p>
    <w:p>
      <w:pPr>
        <w:pStyle w:val="TextBody"/>
        <w:bidi w:val="0"/>
        <w:spacing w:before="240" w:after="0"/>
        <w:jc w:val="center"/>
        <w:rPr>
          <w:rFonts w:ascii="Times New Roman" w:hAnsi="Times New Roman"/>
          <w:b/>
          <w:sz w:val="18"/>
        </w:rPr>
      </w:pPr>
      <w:r>
        <w:rPr>
          <w:rFonts w:ascii="Times New Roman" w:hAnsi="Times New Roman"/>
          <w:b/>
          <w:sz w:val="18"/>
        </w:rPr>
        <w:t xml:space="preserve">Commission File Number: 001-31349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40"/>
        </w:rPr>
      </w:pPr>
      <w:r>
        <w:rPr>
          <w:rFonts w:ascii="Times New Roman" w:hAnsi="Times New Roman"/>
          <w:b/>
          <w:sz w:val="40"/>
        </w:rPr>
        <w:t>THOMSON REUTERS CORPORATION</w:t>
      </w:r>
      <w:r>
        <w:rPr>
          <w:rFonts w:ascii="Times New Roman" w:hAnsi="Times New Roman"/>
          <w:sz w:val="40"/>
        </w:rPr>
        <w:t xml:space="preserve"> </w:t>
      </w:r>
    </w:p>
    <w:p>
      <w:pPr>
        <w:pStyle w:val="TextBody"/>
        <w:bidi w:val="0"/>
        <w:spacing w:before="0" w:after="0"/>
        <w:jc w:val="center"/>
        <w:rPr>
          <w:rFonts w:ascii="Times New Roman" w:hAnsi="Times New Roman"/>
          <w:b/>
          <w:sz w:val="18"/>
        </w:rPr>
      </w:pPr>
      <w:r>
        <w:rPr>
          <w:rFonts w:ascii="Times New Roman" w:hAnsi="Times New Roman"/>
          <w:b/>
          <w:sz w:val="18"/>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19 Duncan Street </w:t>
      </w:r>
    </w:p>
    <w:p>
      <w:pPr>
        <w:pStyle w:val="TextBody"/>
        <w:bidi w:val="0"/>
        <w:spacing w:before="0" w:after="0"/>
        <w:jc w:val="center"/>
        <w:rPr>
          <w:rFonts w:ascii="Times New Roman" w:hAnsi="Times New Roman"/>
          <w:b/>
          <w:sz w:val="18"/>
        </w:rPr>
      </w:pPr>
      <w:r>
        <w:rPr>
          <w:rFonts w:ascii="Times New Roman" w:hAnsi="Times New Roman"/>
          <w:b/>
          <w:sz w:val="18"/>
        </w:rPr>
        <w:t xml:space="preserve">Toronto, Ontario M5H 3H1, Canada </w:t>
      </w:r>
    </w:p>
    <w:p>
      <w:pPr>
        <w:pStyle w:val="TextBody"/>
        <w:bidi w:val="0"/>
        <w:spacing w:before="0" w:after="0"/>
        <w:jc w:val="center"/>
        <w:rPr>
          <w:rFonts w:ascii="Times New Roman" w:hAnsi="Times New Roman"/>
          <w:b/>
          <w:sz w:val="18"/>
        </w:rPr>
      </w:pPr>
      <w:r>
        <w:rPr>
          <w:rFonts w:ascii="Times New Roman" w:hAnsi="Times New Roman"/>
          <w:b/>
          <w:sz w:val="18"/>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both"/>
        <w:rPr>
          <w:rFonts w:ascii="Times New Roman" w:hAnsi="Times New Roman"/>
          <w:sz w:val="18"/>
        </w:rPr>
      </w:pPr>
      <w:r>
        <w:rPr>
          <w:rFonts w:ascii="Times New Roman" w:hAnsi="Times New Roman"/>
          <w:sz w:val="18"/>
        </w:rPr>
        <w:t xml:space="preserve">Indicate by check mark whether the registrant files or will file annual reports under cover of Form 20-F or Form 40-F. </w:t>
      </w:r>
    </w:p>
    <w:p>
      <w:pPr>
        <w:pStyle w:val="TextBody"/>
        <w:bidi w:val="0"/>
        <w:spacing w:before="120" w:after="0"/>
        <w:jc w:val="center"/>
        <w:rPr>
          <w:rFonts w:ascii="Times New Roman" w:hAnsi="Times New Roman"/>
          <w:sz w:val="18"/>
        </w:rPr>
      </w:pPr>
      <w:r>
        <w:rPr>
          <w:rFonts w:ascii="Times New Roman" w:hAnsi="Times New Roman"/>
          <w:sz w:val="18"/>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EXHIBIT INDEX</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2"/>
        <w:gridCol w:w="537"/>
        <w:gridCol w:w="8476"/>
      </w:tblGrid>
      <w:tr>
        <w:trPr/>
        <w:tc>
          <w:tcPr>
            <w:tcW w:w="1192" w:type="dxa"/>
            <w:tcBorders/>
            <w:vAlign w:val="center"/>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sz w:val="4"/>
                <w:szCs w:val="4"/>
              </w:rPr>
            </w:pPr>
            <w:r>
              <w:rPr>
                <w:sz w:val="4"/>
                <w:szCs w:val="4"/>
              </w:rPr>
            </w:r>
          </w:p>
        </w:tc>
        <w:tc>
          <w:tcPr>
            <w:tcW w:w="8476" w:type="dxa"/>
            <w:tcBorders/>
            <w:vAlign w:val="center"/>
          </w:tcPr>
          <w:p>
            <w:pPr>
              <w:pStyle w:val="TableContents"/>
              <w:bidi w:val="0"/>
              <w:spacing w:before="0" w:after="283"/>
              <w:jc w:val="left"/>
              <w:rPr>
                <w:sz w:val="4"/>
                <w:szCs w:val="4"/>
              </w:rPr>
            </w:pPr>
            <w:r>
              <w:rPr>
                <w:sz w:val="4"/>
                <w:szCs w:val="4"/>
              </w:rPr>
            </w:r>
          </w:p>
        </w:tc>
      </w:tr>
      <w:tr>
        <w:trPr/>
        <w:tc>
          <w:tcPr>
            <w:tcW w:w="119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Number</w:t>
            </w:r>
          </w:p>
        </w:tc>
        <w:tc>
          <w:tcPr>
            <w:tcW w:w="537" w:type="dxa"/>
            <w:tcBorders/>
            <w:vAlign w:val="bottom"/>
          </w:tcPr>
          <w:p>
            <w:pPr>
              <w:pStyle w:val="TableContents"/>
              <w:bidi w:val="0"/>
              <w:spacing w:before="0" w:after="283"/>
              <w:jc w:val="left"/>
              <w:rPr/>
            </w:pPr>
            <w:r>
              <w:rPr/>
              <w:t> </w:t>
            </w:r>
          </w:p>
        </w:tc>
        <w:tc>
          <w:tcPr>
            <w:tcW w:w="84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192" w:type="dxa"/>
            <w:tcBorders/>
            <w:vAlign w:val="center"/>
          </w:tcPr>
          <w:p>
            <w:pPr>
              <w:pStyle w:val="TableContents"/>
              <w:bidi w:val="0"/>
              <w:spacing w:before="0" w:after="283"/>
              <w:jc w:val="left"/>
              <w:rPr>
                <w:sz w:val="4"/>
                <w:szCs w:val="4"/>
              </w:rPr>
            </w:pPr>
            <w:r>
              <w:rPr>
                <w:sz w:val="4"/>
                <w:szCs w:val="4"/>
              </w:rPr>
            </w:r>
          </w:p>
        </w:tc>
        <w:tc>
          <w:tcPr>
            <w:tcW w:w="9013" w:type="dxa"/>
            <w:gridSpan w:val="2"/>
            <w:tcBorders/>
            <w:vAlign w:val="center"/>
          </w:tcPr>
          <w:p>
            <w:pPr>
              <w:pStyle w:val="TableContents"/>
              <w:bidi w:val="0"/>
              <w:spacing w:before="0" w:after="283"/>
              <w:jc w:val="left"/>
              <w:rPr>
                <w:sz w:val="4"/>
                <w:szCs w:val="4"/>
              </w:rPr>
            </w:pPr>
            <w:r>
              <w:rPr>
                <w:sz w:val="4"/>
                <w:szCs w:val="4"/>
              </w:rPr>
            </w:r>
          </w:p>
        </w:tc>
      </w:tr>
      <w:tr>
        <w:trPr/>
        <w:tc>
          <w:tcPr>
            <w:tcW w:w="1192" w:type="dxa"/>
            <w:tcBorders/>
          </w:tcPr>
          <w:p>
            <w:pPr>
              <w:pStyle w:val="TableContents"/>
              <w:bidi w:val="0"/>
              <w:spacing w:before="0" w:after="283"/>
              <w:jc w:val="left"/>
              <w:rPr/>
            </w:pPr>
            <w:r>
              <w:rPr/>
              <w:t>99.1</w:t>
            </w:r>
          </w:p>
        </w:tc>
        <w:tc>
          <w:tcPr>
            <w:tcW w:w="537" w:type="dxa"/>
            <w:tcBorders/>
            <w:vAlign w:val="bottom"/>
          </w:tcPr>
          <w:p>
            <w:pPr>
              <w:pStyle w:val="TableContents"/>
              <w:bidi w:val="0"/>
              <w:spacing w:before="0" w:after="283"/>
              <w:jc w:val="left"/>
              <w:rPr/>
            </w:pPr>
            <w:r>
              <w:rPr/>
              <w:t> </w:t>
            </w:r>
          </w:p>
        </w:tc>
        <w:tc>
          <w:tcPr>
            <w:tcW w:w="8476" w:type="dxa"/>
            <w:tcBorders/>
          </w:tcPr>
          <w:p>
            <w:pPr>
              <w:pStyle w:val="TableContents"/>
              <w:bidi w:val="0"/>
              <w:spacing w:before="0" w:after="283"/>
              <w:jc w:val="left"/>
              <w:rPr/>
            </w:pPr>
            <w:hyperlink w:anchor="d528636dex991.htm">
              <w:r>
                <w:rPr>
                  <w:rStyle w:val="InternetLink"/>
                </w:rPr>
                <w:t xml:space="preserve">Indenture, dated as of September  17, 2026, among Thomson Reuters Corporation, as issuer, the subsidiary guarantors party thereto, Computershare Trust Company of Canada, as Trustee, and Deutsche Bank Trust Company Americas, as Trustee. </w:t>
              </w:r>
            </w:hyperlink>
          </w:p>
        </w:tc>
      </w:tr>
      <w:tr>
        <w:trPr>
          <w:trHeight w:val="120" w:hRule="atLeast"/>
        </w:trPr>
        <w:tc>
          <w:tcPr>
            <w:tcW w:w="1192" w:type="dxa"/>
            <w:tcBorders/>
            <w:vAlign w:val="center"/>
          </w:tcPr>
          <w:p>
            <w:pPr>
              <w:pStyle w:val="TableContents"/>
              <w:bidi w:val="0"/>
              <w:spacing w:before="0" w:after="283"/>
              <w:jc w:val="left"/>
              <w:rPr>
                <w:sz w:val="4"/>
                <w:szCs w:val="4"/>
              </w:rPr>
            </w:pPr>
            <w:r>
              <w:rPr>
                <w:sz w:val="4"/>
                <w:szCs w:val="4"/>
              </w:rPr>
            </w:r>
          </w:p>
        </w:tc>
        <w:tc>
          <w:tcPr>
            <w:tcW w:w="9013" w:type="dxa"/>
            <w:gridSpan w:val="2"/>
            <w:tcBorders/>
            <w:vAlign w:val="center"/>
          </w:tcPr>
          <w:p>
            <w:pPr>
              <w:pStyle w:val="TableContents"/>
              <w:bidi w:val="0"/>
              <w:spacing w:before="0" w:after="283"/>
              <w:jc w:val="left"/>
              <w:rPr>
                <w:sz w:val="4"/>
                <w:szCs w:val="4"/>
              </w:rPr>
            </w:pPr>
            <w:r>
              <w:rPr>
                <w:sz w:val="4"/>
                <w:szCs w:val="4"/>
              </w:rPr>
            </w:r>
          </w:p>
        </w:tc>
      </w:tr>
      <w:tr>
        <w:trPr/>
        <w:tc>
          <w:tcPr>
            <w:tcW w:w="1192" w:type="dxa"/>
            <w:tcBorders/>
          </w:tcPr>
          <w:p>
            <w:pPr>
              <w:pStyle w:val="TableContents"/>
              <w:bidi w:val="0"/>
              <w:spacing w:before="0" w:after="283"/>
              <w:jc w:val="left"/>
              <w:rPr/>
            </w:pPr>
            <w:r>
              <w:rPr/>
              <w:t>99.2</w:t>
            </w:r>
          </w:p>
        </w:tc>
        <w:tc>
          <w:tcPr>
            <w:tcW w:w="537" w:type="dxa"/>
            <w:tcBorders/>
            <w:vAlign w:val="bottom"/>
          </w:tcPr>
          <w:p>
            <w:pPr>
              <w:pStyle w:val="TableContents"/>
              <w:bidi w:val="0"/>
              <w:spacing w:before="0" w:after="283"/>
              <w:jc w:val="left"/>
              <w:rPr/>
            </w:pPr>
            <w:r>
              <w:rPr/>
              <w:t> </w:t>
            </w:r>
          </w:p>
        </w:tc>
        <w:tc>
          <w:tcPr>
            <w:tcW w:w="8476" w:type="dxa"/>
            <w:tcBorders/>
          </w:tcPr>
          <w:p>
            <w:pPr>
              <w:pStyle w:val="TableContents"/>
              <w:bidi w:val="0"/>
              <w:spacing w:before="0" w:after="283"/>
              <w:jc w:val="left"/>
              <w:rPr/>
            </w:pPr>
            <w:hyperlink w:anchor="d528636dex992.htm">
              <w:r>
                <w:rPr>
                  <w:rStyle w:val="InternetLink"/>
                </w:rPr>
                <w:t xml:space="preserve">First Supplemental Indenture, dated as of September  17, 2026, among Thomson Reuters Corporation, as issuer, the subsidiary guarantors party thereto, Computershare Trust Company of Canada, as Trustee, and Deutsche Bank Trust Company Americas, as Trustee. </w:t>
              </w:r>
            </w:hyperlink>
          </w:p>
        </w:tc>
      </w:tr>
      <w:tr>
        <w:trPr>
          <w:trHeight w:val="120" w:hRule="atLeast"/>
        </w:trPr>
        <w:tc>
          <w:tcPr>
            <w:tcW w:w="1192" w:type="dxa"/>
            <w:tcBorders/>
            <w:vAlign w:val="center"/>
          </w:tcPr>
          <w:p>
            <w:pPr>
              <w:pStyle w:val="TableContents"/>
              <w:bidi w:val="0"/>
              <w:spacing w:before="0" w:after="283"/>
              <w:jc w:val="left"/>
              <w:rPr>
                <w:sz w:val="4"/>
                <w:szCs w:val="4"/>
              </w:rPr>
            </w:pPr>
            <w:r>
              <w:rPr>
                <w:sz w:val="4"/>
                <w:szCs w:val="4"/>
              </w:rPr>
            </w:r>
          </w:p>
        </w:tc>
        <w:tc>
          <w:tcPr>
            <w:tcW w:w="9013" w:type="dxa"/>
            <w:gridSpan w:val="2"/>
            <w:tcBorders/>
            <w:vAlign w:val="center"/>
          </w:tcPr>
          <w:p>
            <w:pPr>
              <w:pStyle w:val="TableContents"/>
              <w:bidi w:val="0"/>
              <w:spacing w:before="0" w:after="283"/>
              <w:jc w:val="left"/>
              <w:rPr>
                <w:sz w:val="4"/>
                <w:szCs w:val="4"/>
              </w:rPr>
            </w:pPr>
            <w:r>
              <w:rPr>
                <w:sz w:val="4"/>
                <w:szCs w:val="4"/>
              </w:rPr>
            </w:r>
          </w:p>
        </w:tc>
      </w:tr>
      <w:tr>
        <w:trPr/>
        <w:tc>
          <w:tcPr>
            <w:tcW w:w="1192" w:type="dxa"/>
            <w:tcBorders/>
          </w:tcPr>
          <w:p>
            <w:pPr>
              <w:pStyle w:val="TableContents"/>
              <w:bidi w:val="0"/>
              <w:spacing w:before="0" w:after="283"/>
              <w:jc w:val="left"/>
              <w:rPr/>
            </w:pPr>
            <w:r>
              <w:rPr/>
              <w:t>99.3</w:t>
            </w:r>
          </w:p>
        </w:tc>
        <w:tc>
          <w:tcPr>
            <w:tcW w:w="537" w:type="dxa"/>
            <w:tcBorders/>
            <w:vAlign w:val="bottom"/>
          </w:tcPr>
          <w:p>
            <w:pPr>
              <w:pStyle w:val="TableContents"/>
              <w:bidi w:val="0"/>
              <w:spacing w:before="0" w:after="283"/>
              <w:jc w:val="left"/>
              <w:rPr/>
            </w:pPr>
            <w:r>
              <w:rPr/>
              <w:t> </w:t>
            </w:r>
          </w:p>
        </w:tc>
        <w:tc>
          <w:tcPr>
            <w:tcW w:w="8476" w:type="dxa"/>
            <w:tcBorders/>
          </w:tcPr>
          <w:p>
            <w:pPr>
              <w:pStyle w:val="TableContents"/>
              <w:bidi w:val="0"/>
              <w:spacing w:before="0" w:after="283"/>
              <w:jc w:val="left"/>
              <w:rPr/>
            </w:pPr>
            <w:hyperlink w:anchor="d528636dex993.htm">
              <w:r>
                <w:rPr>
                  <w:rStyle w:val="InternetLink"/>
                </w:rPr>
                <w:t xml:space="preserve">Second Supplemental Indenture, dated as of September  17, 2026, among Thomson Reuters Corporation, as issuer, the subsidiary guarantors party thereto, Computershare Trust Company of Canada, as Trustee, and Deutsche Bank Trust Company Americas, as Trustee.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7"/>
        <w:gridCol w:w="60"/>
        <w:gridCol w:w="3405"/>
      </w:tblGrid>
      <w:tr>
        <w:trPr/>
        <w:tc>
          <w:tcPr>
            <w:tcW w:w="6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z w:val="20"/>
              </w:rPr>
            </w:pPr>
            <w:r>
              <w:rPr>
                <w:b/>
                <w:sz w:val="20"/>
              </w:rPr>
              <w:t>THOMSON REUTERS CORPORATION</w:t>
            </w:r>
          </w:p>
        </w:tc>
      </w:tr>
      <w:tr>
        <w:trPr/>
        <w:tc>
          <w:tcPr>
            <w:tcW w:w="4082" w:type="dxa"/>
            <w:gridSpan w:val="3"/>
            <w:tcBorders/>
            <w:vAlign w:val="bottom"/>
          </w:tcPr>
          <w:p>
            <w:pPr>
              <w:pStyle w:val="TableContents"/>
              <w:bidi w:val="0"/>
              <w:spacing w:before="0" w:after="283"/>
              <w:jc w:val="left"/>
              <w:rPr>
                <w:sz w:val="20"/>
              </w:rPr>
            </w:pPr>
            <w:r>
              <w:rPr>
                <w:sz w:val="20"/>
              </w:rPr>
              <w:t>(Registrant)</w:t>
            </w:r>
          </w:p>
        </w:tc>
      </w:tr>
      <w:tr>
        <w:trPr>
          <w:trHeight w:val="240" w:hRule="atLeast"/>
        </w:trPr>
        <w:tc>
          <w:tcPr>
            <w:tcW w:w="617"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sz w:val="24"/>
              </w:rPr>
            </w:pPr>
            <w:r>
              <w:rPr>
                <w:sz w:val="24"/>
              </w:rPr>
              <w:t>By: </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u w:val="single"/>
              </w:rPr>
            </w:pPr>
            <w:r>
              <w:rPr>
                <w:u w:val="single"/>
              </w:rPr>
              <w:t>/s/ Jennifer Ruddick      </w:t>
            </w:r>
          </w:p>
        </w:tc>
      </w:tr>
      <w:tr>
        <w:trPr/>
        <w:tc>
          <w:tcPr>
            <w:tcW w:w="6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Name:  Jennifer Ruddick</w:t>
            </w:r>
          </w:p>
        </w:tc>
      </w:tr>
      <w:tr>
        <w:trPr/>
        <w:tc>
          <w:tcPr>
            <w:tcW w:w="6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Title:   Deputy Company Secretary</w:t>
            </w:r>
          </w:p>
        </w:tc>
      </w:tr>
    </w:tbl>
    <w:p>
      <w:pPr>
        <w:pStyle w:val="TextBody"/>
        <w:bidi w:val="0"/>
        <w:spacing w:before="240" w:after="0"/>
        <w:jc w:val="both"/>
        <w:rPr>
          <w:rFonts w:ascii="Times New Roman" w:hAnsi="Times New Roman"/>
          <w:sz w:val="20"/>
        </w:rPr>
      </w:pPr>
      <w:r>
        <w:rPr>
          <w:rFonts w:ascii="Times New Roman" w:hAnsi="Times New Roman"/>
          <w:sz w:val="20"/>
        </w:rPr>
        <w:t xml:space="preserve">Date: September 17, 2026 </w:t>
      </w:r>
    </w:p>
    <w:p>
      <w:pPr>
        <w:pStyle w:val="TextBody"/>
        <w:bidi w:val="0"/>
        <w:spacing w:before="0" w:after="0"/>
        <w:jc w:val="right"/>
        <w:rPr>
          <w:rFonts w:ascii="Times New Roman" w:hAnsi="Times New Roman"/>
          <w:b/>
          <w:sz w:val="24"/>
        </w:rPr>
      </w:pPr>
      <w:bookmarkStart w:id="2" w:name="d528636dex991.htm"/>
      <w:bookmarkStart w:id="3" w:name="ksd528636dex991"/>
      <w:bookmarkEnd w:id="2"/>
      <w:bookmarkEnd w:id="3"/>
      <w:r>
        <w:rPr>
          <w:rFonts w:ascii="Times New Roman" w:hAnsi="Times New Roman"/>
          <w:b/>
          <w:sz w:val="24"/>
        </w:rPr>
        <w:t xml:space="preserve">Exhibit 99.1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4"/>
        </w:rPr>
      </w:pPr>
      <w:r>
        <w:rPr>
          <w:rFonts w:ascii="Times New Roman" w:hAnsi="Times New Roman"/>
          <w:b/>
          <w:sz w:val="24"/>
        </w:rPr>
        <w:t>THOMSON REUTERS CORPORATION</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4"/>
        </w:rPr>
        <w:t xml:space="preserve">as Issuer, </w:t>
      </w:r>
    </w:p>
    <w:p>
      <w:pPr>
        <w:pStyle w:val="TextBody"/>
        <w:bidi w:val="0"/>
        <w:spacing w:before="240" w:after="0"/>
        <w:jc w:val="center"/>
        <w:rPr>
          <w:rFonts w:ascii="Times New Roman" w:hAnsi="Times New Roman"/>
          <w:sz w:val="24"/>
        </w:rPr>
      </w:pPr>
      <w:r>
        <w:rPr>
          <w:rFonts w:ascii="Times New Roman" w:hAnsi="Times New Roman"/>
          <w:sz w:val="24"/>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THE SUBSIDIARY GUARANTORS PARTY HERETO </w:t>
      </w:r>
    </w:p>
    <w:p>
      <w:pPr>
        <w:pStyle w:val="TextBody"/>
        <w:bidi w:val="0"/>
        <w:spacing w:before="240" w:after="0"/>
        <w:jc w:val="center"/>
        <w:rPr>
          <w:rFonts w:ascii="Times New Roman" w:hAnsi="Times New Roman"/>
          <w:sz w:val="24"/>
        </w:rPr>
      </w:pPr>
      <w:r>
        <w:rPr>
          <w:rFonts w:ascii="Times New Roman" w:hAnsi="Times New Roman"/>
          <w:sz w:val="24"/>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COMPUTERSHARE TRUST COMPANY OF CANADA, </w:t>
      </w:r>
    </w:p>
    <w:p>
      <w:pPr>
        <w:pStyle w:val="TextBody"/>
        <w:bidi w:val="0"/>
        <w:spacing w:before="0" w:after="0"/>
        <w:jc w:val="center"/>
        <w:rPr>
          <w:rFonts w:ascii="Times New Roman" w:hAnsi="Times New Roman"/>
          <w:sz w:val="24"/>
        </w:rPr>
      </w:pPr>
      <w:r>
        <w:rPr>
          <w:rFonts w:ascii="Times New Roman" w:hAnsi="Times New Roman"/>
          <w:sz w:val="24"/>
        </w:rPr>
        <w:t xml:space="preserve">as Canadian Trustee, </w:t>
      </w:r>
    </w:p>
    <w:p>
      <w:pPr>
        <w:pStyle w:val="TextBody"/>
        <w:bidi w:val="0"/>
        <w:spacing w:before="240" w:after="0"/>
        <w:jc w:val="center"/>
        <w:rPr>
          <w:rFonts w:ascii="Times New Roman" w:hAnsi="Times New Roman"/>
          <w:sz w:val="24"/>
        </w:rPr>
      </w:pPr>
      <w:r>
        <w:rPr>
          <w:rFonts w:ascii="Times New Roman" w:hAnsi="Times New Roman"/>
          <w:sz w:val="24"/>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DEUTSCHE BANK TRUST COMPANY AMERICAS, </w:t>
      </w:r>
    </w:p>
    <w:p>
      <w:pPr>
        <w:pStyle w:val="TextBody"/>
        <w:bidi w:val="0"/>
        <w:spacing w:before="0" w:after="0"/>
        <w:jc w:val="center"/>
        <w:rPr>
          <w:rFonts w:ascii="Times New Roman" w:hAnsi="Times New Roman"/>
          <w:sz w:val="24"/>
        </w:rPr>
      </w:pPr>
      <w:r>
        <w:rPr>
          <w:rFonts w:ascii="Times New Roman" w:hAnsi="Times New Roman"/>
          <w:sz w:val="24"/>
        </w:rPr>
        <w:t xml:space="preserve">as U.S. 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sz w:val="24"/>
        </w:rPr>
      </w:pPr>
      <w:r>
        <w:rPr>
          <w:rFonts w:ascii="Times New Roman" w:hAnsi="Times New Roman"/>
          <w:sz w:val="24"/>
        </w:rPr>
        <w:t xml:space="preserve">Indenture </w:t>
      </w:r>
    </w:p>
    <w:p>
      <w:pPr>
        <w:pStyle w:val="TextBody"/>
        <w:bidi w:val="0"/>
        <w:spacing w:before="240" w:after="0"/>
        <w:jc w:val="center"/>
        <w:rPr>
          <w:rFonts w:ascii="Times New Roman" w:hAnsi="Times New Roman"/>
          <w:sz w:val="24"/>
        </w:rPr>
      </w:pPr>
      <w:r>
        <w:rPr>
          <w:rFonts w:ascii="Times New Roman" w:hAnsi="Times New Roman"/>
          <w:sz w:val="24"/>
        </w:rPr>
        <w:t xml:space="preserve">Dated as of September 17,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THOMSON REUTERS CORPORATION </w:t>
      </w:r>
    </w:p>
    <w:p>
      <w:pPr>
        <w:pStyle w:val="TextBody"/>
        <w:bidi w:val="0"/>
        <w:spacing w:before="240" w:after="0"/>
        <w:jc w:val="center"/>
        <w:rPr>
          <w:rFonts w:ascii="Times New Roman" w:hAnsi="Times New Roman"/>
          <w:b/>
          <w:sz w:val="24"/>
        </w:rPr>
      </w:pPr>
      <w:r>
        <w:rPr>
          <w:rFonts w:ascii="Times New Roman" w:hAnsi="Times New Roman"/>
          <w:b/>
          <w:sz w:val="24"/>
        </w:rPr>
        <w:t xml:space="preserve">Reconciliation and tie between Trust Indenture Act </w:t>
      </w:r>
    </w:p>
    <w:p>
      <w:pPr>
        <w:pStyle w:val="TextBody"/>
        <w:bidi w:val="0"/>
        <w:spacing w:before="0" w:after="0"/>
        <w:jc w:val="center"/>
        <w:rPr>
          <w:rFonts w:ascii="Times New Roman" w:hAnsi="Times New Roman"/>
          <w:b/>
          <w:sz w:val="24"/>
        </w:rPr>
      </w:pPr>
      <w:r>
        <w:rPr>
          <w:rFonts w:ascii="Times New Roman" w:hAnsi="Times New Roman"/>
          <w:b/>
          <w:sz w:val="24"/>
        </w:rPr>
        <w:t xml:space="preserve">of 1939 and Indenture, dated as of September 17,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5"/>
        <w:gridCol w:w="108"/>
        <w:gridCol w:w="3226"/>
        <w:gridCol w:w="123"/>
        <w:gridCol w:w="2854"/>
        <w:gridCol w:w="123"/>
        <w:gridCol w:w="3166"/>
      </w:tblGrid>
      <w:tr>
        <w:trPr/>
        <w:tc>
          <w:tcPr>
            <w:tcW w:w="60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bottom"/>
          </w:tcPr>
          <w:p>
            <w:pPr>
              <w:pStyle w:val="TableContents"/>
              <w:bidi w:val="0"/>
              <w:spacing w:before="0" w:after="0"/>
              <w:jc w:val="left"/>
              <w:rPr/>
            </w:pPr>
            <w:r>
              <w:rPr/>
              <w:t> </w:t>
            </w:r>
            <w:r>
              <w:rPr>
                <w:rFonts w:ascii="Times New Roman" w:hAnsi="Times New Roman"/>
                <w:b/>
                <w:sz w:val="24"/>
              </w:rPr>
              <w:t>Trust Indenture</w:t>
            </w:r>
          </w:p>
          <w:p>
            <w:pPr>
              <w:pStyle w:val="TableContents"/>
              <w:bidi w:val="0"/>
              <w:spacing w:before="0" w:after="20"/>
              <w:jc w:val="left"/>
              <w:rPr/>
            </w:pPr>
            <w:r>
              <w:rPr/>
              <w:t>  </w:t>
            </w:r>
            <w:r>
              <w:rPr>
                <w:rFonts w:ascii="Times New Roman" w:hAnsi="Times New Roman"/>
                <w:b/>
                <w:sz w:val="24"/>
              </w:rPr>
              <w:t>Act Section</w:t>
            </w:r>
          </w:p>
        </w:tc>
        <w:tc>
          <w:tcPr>
            <w:tcW w:w="123" w:type="dxa"/>
            <w:tcBorders/>
            <w:vAlign w:val="bottom"/>
          </w:tcPr>
          <w:p>
            <w:pPr>
              <w:pStyle w:val="TableContents"/>
              <w:bidi w:val="0"/>
              <w:spacing w:before="0" w:after="283"/>
              <w:jc w:val="left"/>
              <w:rPr/>
            </w:pPr>
            <w:r>
              <w:rPr/>
              <w:t>  </w:t>
            </w:r>
          </w:p>
        </w:tc>
        <w:tc>
          <w:tcPr>
            <w:tcW w:w="285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166" w:type="dxa"/>
            <w:tcBorders/>
            <w:vAlign w:val="bottom"/>
          </w:tcPr>
          <w:p>
            <w:pPr>
              <w:pStyle w:val="TableContents"/>
              <w:bidi w:val="0"/>
              <w:spacing w:before="0" w:after="283"/>
              <w:jc w:val="left"/>
              <w:rPr>
                <w:b/>
              </w:rPr>
            </w:pPr>
            <w:r>
              <w:rPr>
                <w:b/>
              </w:rPr>
              <w:t>Indenture Section</w:t>
            </w:r>
          </w:p>
        </w:tc>
      </w:tr>
      <w:tr>
        <w:trPr>
          <w:trHeight w:val="240" w:hRule="atLeast"/>
        </w:trPr>
        <w:tc>
          <w:tcPr>
            <w:tcW w:w="605" w:type="dxa"/>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c>
          <w:tcPr>
            <w:tcW w:w="2977" w:type="dxa"/>
            <w:gridSpan w:val="2"/>
            <w:tcBorders/>
            <w:vAlign w:val="center"/>
          </w:tcPr>
          <w:p>
            <w:pPr>
              <w:pStyle w:val="TableContents"/>
              <w:bidi w:val="0"/>
              <w:spacing w:before="0" w:after="283"/>
              <w:jc w:val="left"/>
              <w:rPr>
                <w:sz w:val="4"/>
                <w:szCs w:val="4"/>
              </w:rPr>
            </w:pPr>
            <w:r>
              <w:rPr>
                <w:sz w:val="4"/>
                <w:szCs w:val="4"/>
              </w:rPr>
            </w:r>
          </w:p>
        </w:tc>
        <w:tc>
          <w:tcPr>
            <w:tcW w:w="3289"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0"/>
              <w:jc w:val="both"/>
              <w:rPr>
                <w:rFonts w:ascii="Times New Roman" w:hAnsi="Times New Roman"/>
                <w:sz w:val="24"/>
              </w:rPr>
            </w:pPr>
            <w:r>
              <w:rPr>
                <w:rFonts w:ascii="Times New Roman" w:hAnsi="Times New Roman"/>
                <w:sz w:val="24"/>
              </w:rPr>
              <w:t>§ 310</w:t>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(a)(1)</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607</w:t>
            </w:r>
          </w:p>
        </w:tc>
      </w:tr>
      <w:tr>
        <w:trPr/>
        <w:tc>
          <w:tcPr>
            <w:tcW w:w="6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(a)(2)</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607</w:t>
            </w:r>
          </w:p>
        </w:tc>
      </w:tr>
      <w:tr>
        <w:trPr/>
        <w:tc>
          <w:tcPr>
            <w:tcW w:w="6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(b)</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606</w:t>
            </w:r>
          </w:p>
        </w:tc>
      </w:tr>
      <w:tr>
        <w:trPr/>
        <w:tc>
          <w:tcPr>
            <w:tcW w:w="605" w:type="dxa"/>
            <w:tcBorders/>
          </w:tcPr>
          <w:p>
            <w:pPr>
              <w:pStyle w:val="TableContents"/>
              <w:bidi w:val="0"/>
              <w:spacing w:before="0" w:after="0"/>
              <w:jc w:val="both"/>
              <w:rPr>
                <w:rFonts w:ascii="Times New Roman" w:hAnsi="Times New Roman"/>
                <w:sz w:val="24"/>
              </w:rPr>
            </w:pPr>
            <w:r>
              <w:rPr>
                <w:rFonts w:ascii="Times New Roman" w:hAnsi="Times New Roman"/>
                <w:sz w:val="24"/>
              </w:rPr>
              <w:t>§ 312</w:t>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(a)</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701</w:t>
            </w:r>
          </w:p>
        </w:tc>
      </w:tr>
      <w:tr>
        <w:trPr/>
        <w:tc>
          <w:tcPr>
            <w:tcW w:w="605" w:type="dxa"/>
            <w:tcBorders/>
          </w:tcPr>
          <w:p>
            <w:pPr>
              <w:pStyle w:val="TableContents"/>
              <w:bidi w:val="0"/>
              <w:spacing w:before="0" w:after="0"/>
              <w:jc w:val="both"/>
              <w:rPr>
                <w:rFonts w:ascii="Times New Roman" w:hAnsi="Times New Roman"/>
                <w:sz w:val="24"/>
              </w:rPr>
            </w:pPr>
            <w:r>
              <w:rPr>
                <w:rFonts w:ascii="Times New Roman" w:hAnsi="Times New Roman"/>
                <w:sz w:val="24"/>
              </w:rPr>
              <w:t>§ 314</w:t>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(a)(1)</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702</w:t>
            </w:r>
          </w:p>
        </w:tc>
      </w:tr>
      <w:tr>
        <w:trPr/>
        <w:tc>
          <w:tcPr>
            <w:tcW w:w="6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(a)(4)</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1004</w:t>
            </w:r>
          </w:p>
        </w:tc>
      </w:tr>
      <w:tr>
        <w:trPr/>
        <w:tc>
          <w:tcPr>
            <w:tcW w:w="6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(c)(1)</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102</w:t>
            </w:r>
          </w:p>
        </w:tc>
      </w:tr>
      <w:tr>
        <w:trPr/>
        <w:tc>
          <w:tcPr>
            <w:tcW w:w="6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(c)(2)</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102</w:t>
            </w:r>
          </w:p>
        </w:tc>
      </w:tr>
      <w:tr>
        <w:trPr/>
        <w:tc>
          <w:tcPr>
            <w:tcW w:w="6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(e)</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102</w:t>
            </w:r>
          </w:p>
        </w:tc>
      </w:tr>
      <w:tr>
        <w:trPr/>
        <w:tc>
          <w:tcPr>
            <w:tcW w:w="605" w:type="dxa"/>
            <w:tcBorders/>
          </w:tcPr>
          <w:p>
            <w:pPr>
              <w:pStyle w:val="TableContents"/>
              <w:bidi w:val="0"/>
              <w:spacing w:before="0" w:after="0"/>
              <w:jc w:val="both"/>
              <w:rPr>
                <w:rFonts w:ascii="Times New Roman" w:hAnsi="Times New Roman"/>
                <w:sz w:val="24"/>
              </w:rPr>
            </w:pPr>
            <w:r>
              <w:rPr>
                <w:rFonts w:ascii="Times New Roman" w:hAnsi="Times New Roman"/>
                <w:sz w:val="24"/>
              </w:rPr>
              <w:t>§ 315</w:t>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(b)</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502</w:t>
            </w:r>
          </w:p>
        </w:tc>
      </w:tr>
      <w:tr>
        <w:trPr/>
        <w:tc>
          <w:tcPr>
            <w:tcW w:w="605" w:type="dxa"/>
            <w:tcBorders/>
          </w:tcPr>
          <w:p>
            <w:pPr>
              <w:pStyle w:val="TableContents"/>
              <w:bidi w:val="0"/>
              <w:spacing w:before="0" w:after="0"/>
              <w:jc w:val="both"/>
              <w:rPr>
                <w:rFonts w:ascii="Times New Roman" w:hAnsi="Times New Roman"/>
                <w:sz w:val="24"/>
              </w:rPr>
            </w:pPr>
            <w:r>
              <w:rPr>
                <w:rFonts w:ascii="Times New Roman" w:hAnsi="Times New Roman"/>
                <w:sz w:val="24"/>
              </w:rPr>
              <w:t>§ 316</w:t>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(a)(last </w:t>
              <w:br/>
              <w:t>sentence)</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101 (“Outstanding”)</w:t>
            </w:r>
          </w:p>
        </w:tc>
      </w:tr>
      <w:tr>
        <w:trPr/>
        <w:tc>
          <w:tcPr>
            <w:tcW w:w="6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(a)(1)(A)</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503, 513</w:t>
            </w:r>
          </w:p>
        </w:tc>
      </w:tr>
      <w:tr>
        <w:trPr/>
        <w:tc>
          <w:tcPr>
            <w:tcW w:w="6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(a)(1)(B)</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514</w:t>
            </w:r>
          </w:p>
        </w:tc>
      </w:tr>
      <w:tr>
        <w:trPr/>
        <w:tc>
          <w:tcPr>
            <w:tcW w:w="6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(b)</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509</w:t>
            </w:r>
          </w:p>
        </w:tc>
      </w:tr>
      <w:tr>
        <w:trPr/>
        <w:tc>
          <w:tcPr>
            <w:tcW w:w="6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(c)</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104(d)</w:t>
            </w:r>
          </w:p>
        </w:tc>
      </w:tr>
      <w:tr>
        <w:trPr/>
        <w:tc>
          <w:tcPr>
            <w:tcW w:w="605" w:type="dxa"/>
            <w:tcBorders/>
          </w:tcPr>
          <w:p>
            <w:pPr>
              <w:pStyle w:val="TableContents"/>
              <w:bidi w:val="0"/>
              <w:spacing w:before="0" w:after="0"/>
              <w:jc w:val="both"/>
              <w:rPr>
                <w:rFonts w:ascii="Times New Roman" w:hAnsi="Times New Roman"/>
                <w:sz w:val="24"/>
              </w:rPr>
            </w:pPr>
            <w:r>
              <w:rPr>
                <w:rFonts w:ascii="Times New Roman" w:hAnsi="Times New Roman"/>
                <w:sz w:val="24"/>
              </w:rPr>
              <w:t>§ 317</w:t>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(a)(1)</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504</w:t>
            </w:r>
          </w:p>
        </w:tc>
      </w:tr>
      <w:tr>
        <w:trPr/>
        <w:tc>
          <w:tcPr>
            <w:tcW w:w="6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(a)(2)</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505</w:t>
            </w:r>
          </w:p>
        </w:tc>
      </w:tr>
      <w:tr>
        <w:trPr/>
        <w:tc>
          <w:tcPr>
            <w:tcW w:w="60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(b)</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1003</w:t>
            </w:r>
          </w:p>
        </w:tc>
      </w:tr>
      <w:tr>
        <w:trPr/>
        <w:tc>
          <w:tcPr>
            <w:tcW w:w="605" w:type="dxa"/>
            <w:tcBorders/>
          </w:tcPr>
          <w:p>
            <w:pPr>
              <w:pStyle w:val="TableContents"/>
              <w:bidi w:val="0"/>
              <w:spacing w:before="0" w:after="0"/>
              <w:jc w:val="both"/>
              <w:rPr>
                <w:rFonts w:ascii="Times New Roman" w:hAnsi="Times New Roman"/>
                <w:sz w:val="24"/>
              </w:rPr>
            </w:pPr>
            <w:r>
              <w:rPr>
                <w:rFonts w:ascii="Times New Roman" w:hAnsi="Times New Roman"/>
                <w:sz w:val="24"/>
              </w:rPr>
              <w:t>§ 318</w:t>
            </w:r>
          </w:p>
        </w:tc>
        <w:tc>
          <w:tcPr>
            <w:tcW w:w="108"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0"/>
              <w:jc w:val="both"/>
              <w:rPr>
                <w:rFonts w:ascii="Times New Roman" w:hAnsi="Times New Roman"/>
                <w:sz w:val="24"/>
              </w:rPr>
            </w:pPr>
            <w:r>
              <w:rPr>
                <w:rFonts w:ascii="Times New Roman" w:hAnsi="Times New Roman"/>
                <w:sz w:val="24"/>
              </w:rPr>
              <w:t>(a)</w:t>
            </w:r>
          </w:p>
        </w:tc>
        <w:tc>
          <w:tcPr>
            <w:tcW w:w="123" w:type="dxa"/>
            <w:tcBorders/>
            <w:vAlign w:val="bottom"/>
          </w:tcPr>
          <w:p>
            <w:pPr>
              <w:pStyle w:val="TableContents"/>
              <w:bidi w:val="0"/>
              <w:spacing w:before="0" w:after="283"/>
              <w:jc w:val="left"/>
              <w:rPr/>
            </w:pPr>
            <w:r>
              <w:rPr/>
              <w:t>  </w:t>
            </w:r>
          </w:p>
        </w:tc>
        <w:tc>
          <w:tcPr>
            <w:tcW w:w="285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both"/>
              <w:rPr>
                <w:rFonts w:ascii="Times New Roman" w:hAnsi="Times New Roman"/>
                <w:sz w:val="24"/>
              </w:rPr>
            </w:pPr>
            <w:r>
              <w:rPr>
                <w:rFonts w:ascii="Times New Roman" w:hAnsi="Times New Roman"/>
                <w:sz w:val="24"/>
              </w:rPr>
              <w:t>111</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both"/>
        <w:rPr>
          <w:rFonts w:ascii="Times New Roman" w:hAnsi="Times New Roman"/>
          <w:sz w:val="23"/>
        </w:rPr>
      </w:pPr>
      <w:r>
        <w:rPr>
          <w:rFonts w:ascii="Times New Roman" w:hAnsi="Times New Roman"/>
          <w:sz w:val="23"/>
        </w:rPr>
        <w:t xml:space="preserve">Note: This reconciliation and tie shall not, for any purpose, be deemed to be a part of this Indenture.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10"/>
        <w:gridCol w:w="96"/>
        <w:gridCol w:w="7471"/>
        <w:gridCol w:w="149"/>
        <w:gridCol w:w="154"/>
        <w:gridCol w:w="361"/>
        <w:gridCol w:w="64"/>
      </w:tblGrid>
      <w:tr>
        <w:trPr/>
        <w:tc>
          <w:tcPr>
            <w:tcW w:w="191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7471"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477" w:type="dxa"/>
            <w:gridSpan w:val="3"/>
            <w:tcBorders/>
          </w:tcPr>
          <w:p>
            <w:pPr>
              <w:pStyle w:val="TableContents"/>
              <w:bidi w:val="0"/>
              <w:spacing w:before="0" w:after="283"/>
              <w:jc w:val="center"/>
              <w:rPr>
                <w:sz w:val="24"/>
              </w:rPr>
            </w:pPr>
            <w:r>
              <w:rPr>
                <w:sz w:val="24"/>
              </w:rPr>
              <w:t>ARTICLE ONE</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9477" w:type="dxa"/>
            <w:gridSpan w:val="3"/>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9477" w:type="dxa"/>
            <w:gridSpan w:val="3"/>
            <w:tcBorders/>
          </w:tcPr>
          <w:p>
            <w:pPr>
              <w:pStyle w:val="TableContents"/>
              <w:bidi w:val="0"/>
              <w:spacing w:before="0" w:after="283"/>
              <w:jc w:val="center"/>
              <w:rPr/>
            </w:pPr>
            <w:r>
              <w:rPr/>
              <w:t>DEFINITIONS AND OTHER PROVISIONS OF GENERAL APPLICATION</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910" w:type="dxa"/>
            <w:tcBorders/>
            <w:vAlign w:val="center"/>
          </w:tcPr>
          <w:p>
            <w:pPr>
              <w:pStyle w:val="TableContents"/>
              <w:bidi w:val="0"/>
              <w:spacing w:before="0" w:after="283"/>
              <w:jc w:val="left"/>
              <w:rPr>
                <w:sz w:val="4"/>
                <w:szCs w:val="4"/>
              </w:rPr>
            </w:pPr>
            <w:r>
              <w:rPr>
                <w:sz w:val="4"/>
                <w:szCs w:val="4"/>
              </w:rPr>
            </w:r>
          </w:p>
        </w:tc>
        <w:tc>
          <w:tcPr>
            <w:tcW w:w="756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tcPr>
          <w:p>
            <w:pPr>
              <w:pStyle w:val="TableContents"/>
              <w:bidi w:val="0"/>
              <w:spacing w:before="0" w:after="0"/>
              <w:jc w:val="left"/>
              <w:rPr>
                <w:rFonts w:ascii="Times New Roman" w:hAnsi="Times New Roman"/>
                <w:sz w:val="24"/>
              </w:rPr>
            </w:pPr>
            <w:r>
              <w:rPr>
                <w:rFonts w:ascii="Times New Roman" w:hAnsi="Times New Roman"/>
                <w:sz w:val="24"/>
              </w:rPr>
              <w:t>SECTION 101.</w:t>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Definitions</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Act”</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2</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Additional Amounts”</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2</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Affiliate”</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2</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Authenticating Agent”</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3</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Authorized Newspaper”</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3</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Bankruptcy Law”</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3</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Benefited Party”</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3</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Board of Directors”</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3</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Board Resolution”</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3</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Business Day”</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3</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Canadian Trustee”</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3</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Capital Stock”</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3</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CDS”</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3</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Central Register”</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3</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Central Security Registrar”</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4</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Commission”</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4</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Company”</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4</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Company Request” or “Company Order”</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4</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Conversion Event”</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4</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Corporate Trust Office”</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4</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corporation”</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4</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covenant defeasance”</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4</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Currency”</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4</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Default”</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4</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Defaulted Interest”</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4</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defeasance”</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4</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Depositary”</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5</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Dollar” or “$”</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5</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DTC”</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5</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Euro”</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5</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Event of Default”</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5</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Exchange Act”</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5</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Exchange Rate Agent”</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5</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Exchange Rate Officer’s Certificate”</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5</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Executed Documentation”</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5</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First Currency”</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5</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Foreign Currency”</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5</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GAAP”</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5</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Government Obligations”</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5</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Guarantee”</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6</w:t>
            </w:r>
          </w:p>
        </w:tc>
        <w:tc>
          <w:tcPr>
            <w:tcW w:w="64" w:type="dxa"/>
            <w:tcBorders/>
            <w:vAlign w:val="bottom"/>
          </w:tcPr>
          <w:p>
            <w:pPr>
              <w:pStyle w:val="TableContents"/>
              <w:bidi w:val="0"/>
              <w:spacing w:before="0" w:after="283"/>
              <w:jc w:val="left"/>
              <w:rPr/>
            </w:pPr>
            <w:r>
              <w:rPr/>
              <w:t> </w:t>
            </w:r>
          </w:p>
        </w:tc>
      </w:tr>
      <w:tr>
        <w:trPr/>
        <w:tc>
          <w:tcPr>
            <w:tcW w:w="1910"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7471" w:type="dxa"/>
            <w:tcBorders/>
            <w:vAlign w:val="bottom"/>
          </w:tcPr>
          <w:p>
            <w:pPr>
              <w:pStyle w:val="TableContents"/>
              <w:bidi w:val="0"/>
              <w:spacing w:before="0" w:after="283"/>
              <w:jc w:val="left"/>
              <w:rPr/>
            </w:pPr>
            <w:r>
              <w:rPr/>
              <w:t>“</w:t>
            </w:r>
            <w:r>
              <w:rPr>
                <w:b/>
              </w:rPr>
              <w:t>Guaranteed Obligations”</w:t>
            </w:r>
          </w:p>
        </w:tc>
        <w:tc>
          <w:tcPr>
            <w:tcW w:w="1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6</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center"/>
        <w:rPr>
          <w:rFonts w:ascii="Times New Roman" w:hAnsi="Times New Roman"/>
          <w:sz w:val="24"/>
        </w:rPr>
      </w:pPr>
      <w:r>
        <w:rPr>
          <w:rFonts w:ascii="Times New Roman" w:hAnsi="Times New Roman"/>
          <w:sz w:val="24"/>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4"/>
        <w:gridCol w:w="82"/>
        <w:gridCol w:w="7663"/>
        <w:gridCol w:w="138"/>
        <w:gridCol w:w="96"/>
        <w:gridCol w:w="419"/>
        <w:gridCol w:w="63"/>
      </w:tblGrid>
      <w:tr>
        <w:trPr/>
        <w:tc>
          <w:tcPr>
            <w:tcW w:w="1744"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7663"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74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744"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Holder”</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6</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Indenture”</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6</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Indexed Security”</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6</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interest”</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6</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Interest Payment Date”</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6</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Judgment Currency”</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7</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Market Exchange Rate”</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7</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Maturity”</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7</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Notice of Default”</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7</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Officer’s Certificate”</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7</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Opinion of Counsel”</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7</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Original Issue Discount Security”</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7</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Other Currency”</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8</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Outstanding”</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8</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Paying Agent”</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9</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Person”</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9</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Place of Payment”</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9</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Predecessor Security”</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9</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Privacy Laws”</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9</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Redemption Date”</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9</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Redemption Price”</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9</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Regular Record Date”</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9</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Required Currency”</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9</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Responsible Officer”</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9</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Secretary”</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10</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Securities”</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10</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Security Interest”</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10</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Security Register” and “Security Registrar”</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10</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series”</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10</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Special Record Date”</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10</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Stated Maturity”</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10</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Subsidiary”</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10</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Trust Indenture Act” or “TIA”</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10</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Trust Indenture Legislation”</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11</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Trustee” and “Trustees”</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11</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U.S. person”</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11</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United States”</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11</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Voting Stock/Interests”</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11</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w:t>
            </w:r>
            <w:r>
              <w:rPr>
                <w:b/>
              </w:rPr>
              <w:t>Yield to Maturity”</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12</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0"/>
              <w:jc w:val="left"/>
              <w:rPr>
                <w:rFonts w:ascii="Times New Roman" w:hAnsi="Times New Roman"/>
                <w:sz w:val="24"/>
              </w:rPr>
            </w:pPr>
            <w:r>
              <w:rPr>
                <w:rFonts w:ascii="Times New Roman" w:hAnsi="Times New Roman"/>
                <w:sz w:val="24"/>
              </w:rPr>
              <w:t>SECTION 102.</w:t>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Compliance Certificates and Opinions</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0"/>
              <w:jc w:val="left"/>
              <w:rPr>
                <w:rFonts w:ascii="Times New Roman" w:hAnsi="Times New Roman"/>
                <w:sz w:val="24"/>
              </w:rPr>
            </w:pPr>
            <w:r>
              <w:rPr>
                <w:rFonts w:ascii="Times New Roman" w:hAnsi="Times New Roman"/>
                <w:sz w:val="24"/>
              </w:rPr>
              <w:t>SECTION 103.</w:t>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Form of Documents Delivered to Trustee</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0"/>
              <w:jc w:val="left"/>
              <w:rPr>
                <w:rFonts w:ascii="Times New Roman" w:hAnsi="Times New Roman"/>
                <w:sz w:val="24"/>
              </w:rPr>
            </w:pPr>
            <w:r>
              <w:rPr>
                <w:rFonts w:ascii="Times New Roman" w:hAnsi="Times New Roman"/>
                <w:sz w:val="24"/>
              </w:rPr>
              <w:t>SECTION 104.</w:t>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Acts of Holders</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0"/>
              <w:jc w:val="left"/>
              <w:rPr>
                <w:rFonts w:ascii="Times New Roman" w:hAnsi="Times New Roman"/>
                <w:sz w:val="24"/>
              </w:rPr>
            </w:pPr>
            <w:r>
              <w:rPr>
                <w:rFonts w:ascii="Times New Roman" w:hAnsi="Times New Roman"/>
                <w:sz w:val="24"/>
              </w:rPr>
              <w:t>SECTION 105.</w:t>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Notices, etc. to Trustees, Company and Subsidiary Guarantors</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744" w:type="dxa"/>
            <w:tcBorders/>
          </w:tcPr>
          <w:p>
            <w:pPr>
              <w:pStyle w:val="TableContents"/>
              <w:bidi w:val="0"/>
              <w:spacing w:before="0" w:after="0"/>
              <w:jc w:val="left"/>
              <w:rPr>
                <w:rFonts w:ascii="Times New Roman" w:hAnsi="Times New Roman"/>
                <w:sz w:val="24"/>
              </w:rPr>
            </w:pPr>
            <w:r>
              <w:rPr>
                <w:rFonts w:ascii="Times New Roman" w:hAnsi="Times New Roman"/>
                <w:sz w:val="24"/>
              </w:rPr>
              <w:t>SECTION 106.</w:t>
            </w:r>
          </w:p>
        </w:tc>
        <w:tc>
          <w:tcPr>
            <w:tcW w:w="82" w:type="dxa"/>
            <w:tcBorders/>
            <w:vAlign w:val="bottom"/>
          </w:tcPr>
          <w:p>
            <w:pPr>
              <w:pStyle w:val="TableContents"/>
              <w:bidi w:val="0"/>
              <w:spacing w:before="0" w:after="283"/>
              <w:jc w:val="left"/>
              <w:rPr/>
            </w:pPr>
            <w:r>
              <w:rPr/>
              <w:t> </w:t>
            </w:r>
          </w:p>
        </w:tc>
        <w:tc>
          <w:tcPr>
            <w:tcW w:w="7663" w:type="dxa"/>
            <w:tcBorders/>
            <w:vAlign w:val="bottom"/>
          </w:tcPr>
          <w:p>
            <w:pPr>
              <w:pStyle w:val="TableContents"/>
              <w:bidi w:val="0"/>
              <w:spacing w:before="0" w:after="283"/>
              <w:jc w:val="left"/>
              <w:rPr/>
            </w:pPr>
            <w:r>
              <w:rPr/>
              <w:t>Notice to Holders; Waiver</w:t>
            </w:r>
          </w:p>
        </w:tc>
        <w:tc>
          <w:tcPr>
            <w:tcW w:w="13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ii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center"/>
        <w:rPr>
          <w:rFonts w:ascii="Times New Roman" w:hAnsi="Times New Roman"/>
          <w:sz w:val="24"/>
        </w:rPr>
      </w:pPr>
      <w:r>
        <w:rPr>
          <w:rFonts w:ascii="Times New Roman" w:hAnsi="Times New Roman"/>
          <w:sz w:val="24"/>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51"/>
        <w:gridCol w:w="74"/>
        <w:gridCol w:w="7770"/>
        <w:gridCol w:w="132"/>
        <w:gridCol w:w="96"/>
        <w:gridCol w:w="419"/>
        <w:gridCol w:w="63"/>
      </w:tblGrid>
      <w:tr>
        <w:trPr/>
        <w:tc>
          <w:tcPr>
            <w:tcW w:w="1651"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777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651" w:type="dxa"/>
            <w:tcBorders/>
            <w:vAlign w:val="center"/>
          </w:tcPr>
          <w:p>
            <w:pPr>
              <w:pStyle w:val="TableContents"/>
              <w:bidi w:val="0"/>
              <w:spacing w:before="0" w:after="283"/>
              <w:jc w:val="left"/>
              <w:rPr>
                <w:sz w:val="4"/>
                <w:szCs w:val="4"/>
              </w:rPr>
            </w:pPr>
            <w:r>
              <w:rPr>
                <w:sz w:val="4"/>
                <w:szCs w:val="4"/>
              </w:rPr>
            </w:r>
          </w:p>
        </w:tc>
        <w:tc>
          <w:tcPr>
            <w:tcW w:w="7844"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107.</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Effect of Headings and Table of Contents</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108.</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Successors and Assigns</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109.</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Separability Clause</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110.</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Benefits of Indenture</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111.</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Governing Law and Waiver of Jury Trial</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112.</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Legal Holidays</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113.</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Agent for Service; Submission to Jurisdiction; Waiver of Immunities</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114.</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Conversion of Currency</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115.</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Currency Equivalent</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116.</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Securities in a Foreign Currency or in Euros</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117.</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Conflict with Trust Indenture Legislation</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118.</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Language Clause</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119.</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Shareholders, Officers and Directors Exempt from Individual Liability</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120.</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Counterparts</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TWO</w:t>
            </w:r>
          </w:p>
        </w:tc>
        <w:tc>
          <w:tcPr>
            <w:tcW w:w="63"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SECURITIES FORMS</w:t>
            </w:r>
          </w:p>
        </w:tc>
        <w:tc>
          <w:tcPr>
            <w:tcW w:w="63" w:type="dxa"/>
            <w:tcBorders/>
          </w:tcPr>
          <w:p>
            <w:pPr>
              <w:pStyle w:val="TableContents"/>
              <w:bidi w:val="0"/>
              <w:spacing w:before="0" w:after="0"/>
              <w:jc w:val="left"/>
              <w:rPr/>
            </w:pPr>
            <w:r>
              <w:rPr/>
              <w:t> </w:t>
            </w:r>
          </w:p>
        </w:tc>
      </w:tr>
      <w:tr>
        <w:trPr>
          <w:trHeight w:val="240" w:hRule="atLeast"/>
        </w:trPr>
        <w:tc>
          <w:tcPr>
            <w:tcW w:w="1651" w:type="dxa"/>
            <w:tcBorders/>
            <w:vAlign w:val="center"/>
          </w:tcPr>
          <w:p>
            <w:pPr>
              <w:pStyle w:val="TableContents"/>
              <w:bidi w:val="0"/>
              <w:spacing w:before="0" w:after="283"/>
              <w:jc w:val="left"/>
              <w:rPr>
                <w:sz w:val="4"/>
                <w:szCs w:val="4"/>
              </w:rPr>
            </w:pPr>
            <w:r>
              <w:rPr>
                <w:sz w:val="4"/>
                <w:szCs w:val="4"/>
              </w:rPr>
            </w:r>
          </w:p>
        </w:tc>
        <w:tc>
          <w:tcPr>
            <w:tcW w:w="7844"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201.</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Forms Generally</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202.</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Form of Trustee’s Certificate of Authentication</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203.</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Securities Issuable in Global Form</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THREE</w:t>
            </w:r>
          </w:p>
        </w:tc>
        <w:tc>
          <w:tcPr>
            <w:tcW w:w="63"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THE SECURITIES</w:t>
            </w:r>
          </w:p>
        </w:tc>
        <w:tc>
          <w:tcPr>
            <w:tcW w:w="63" w:type="dxa"/>
            <w:tcBorders/>
          </w:tcPr>
          <w:p>
            <w:pPr>
              <w:pStyle w:val="TableContents"/>
              <w:bidi w:val="0"/>
              <w:spacing w:before="0" w:after="0"/>
              <w:jc w:val="left"/>
              <w:rPr/>
            </w:pPr>
            <w:r>
              <w:rPr/>
              <w:t> </w:t>
            </w:r>
          </w:p>
        </w:tc>
      </w:tr>
      <w:tr>
        <w:trPr>
          <w:trHeight w:val="240" w:hRule="atLeast"/>
        </w:trPr>
        <w:tc>
          <w:tcPr>
            <w:tcW w:w="1651" w:type="dxa"/>
            <w:tcBorders/>
            <w:vAlign w:val="center"/>
          </w:tcPr>
          <w:p>
            <w:pPr>
              <w:pStyle w:val="TableContents"/>
              <w:bidi w:val="0"/>
              <w:spacing w:before="0" w:after="283"/>
              <w:jc w:val="left"/>
              <w:rPr>
                <w:sz w:val="4"/>
                <w:szCs w:val="4"/>
              </w:rPr>
            </w:pPr>
            <w:r>
              <w:rPr>
                <w:sz w:val="4"/>
                <w:szCs w:val="4"/>
              </w:rPr>
            </w:r>
          </w:p>
        </w:tc>
        <w:tc>
          <w:tcPr>
            <w:tcW w:w="7844"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301.</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Amount Unlimited; Issuable in Series</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302.</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Denominations</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303.</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Execution, Authentication, Delivery and Dating</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304.</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Temporary Securities</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305.</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Registration, Registration of Transfer and Exchange</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306.</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Mutilated, Destroyed, Lost and Stolen Securities</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307.</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Payment of Interest; Interest Rights Preserved</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308.</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Persons Deemed Owners</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309.</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Cancellation</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310.</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Computation of Interest</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311.</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Appointment and Resignation of Successor Exchange Rate Agent</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240" w:hRule="atLeast"/>
        </w:trPr>
        <w:tc>
          <w:tcPr>
            <w:tcW w:w="9495"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gridSpan w:val="3"/>
            <w:tcBorders/>
          </w:tcPr>
          <w:p>
            <w:pPr>
              <w:pStyle w:val="TableContents"/>
              <w:bidi w:val="0"/>
              <w:spacing w:before="0" w:after="283"/>
              <w:jc w:val="center"/>
              <w:rPr/>
            </w:pPr>
            <w:r>
              <w:rPr/>
              <w:t>ARTICLE FOUR</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9495"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gridSpan w:val="3"/>
            <w:tcBorders/>
          </w:tcPr>
          <w:p>
            <w:pPr>
              <w:pStyle w:val="TableContents"/>
              <w:bidi w:val="0"/>
              <w:spacing w:before="0" w:after="283"/>
              <w:jc w:val="center"/>
              <w:rPr/>
            </w:pPr>
            <w:r>
              <w:rPr/>
              <w:t>SATISFACTION AND DISCHARGE</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651" w:type="dxa"/>
            <w:tcBorders/>
            <w:vAlign w:val="center"/>
          </w:tcPr>
          <w:p>
            <w:pPr>
              <w:pStyle w:val="TableContents"/>
              <w:bidi w:val="0"/>
              <w:spacing w:before="0" w:after="283"/>
              <w:jc w:val="left"/>
              <w:rPr>
                <w:sz w:val="4"/>
                <w:szCs w:val="4"/>
              </w:rPr>
            </w:pPr>
            <w:r>
              <w:rPr>
                <w:sz w:val="4"/>
                <w:szCs w:val="4"/>
              </w:rPr>
            </w:r>
          </w:p>
        </w:tc>
        <w:tc>
          <w:tcPr>
            <w:tcW w:w="7844"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401.</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Satisfaction and Discharge of Indenture</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651" w:type="dxa"/>
            <w:tcBorders/>
          </w:tcPr>
          <w:p>
            <w:pPr>
              <w:pStyle w:val="TableContents"/>
              <w:bidi w:val="0"/>
              <w:spacing w:before="0" w:after="0"/>
              <w:jc w:val="left"/>
              <w:rPr>
                <w:rFonts w:ascii="Times New Roman" w:hAnsi="Times New Roman"/>
                <w:sz w:val="24"/>
              </w:rPr>
            </w:pPr>
            <w:r>
              <w:rPr>
                <w:rFonts w:ascii="Times New Roman" w:hAnsi="Times New Roman"/>
                <w:sz w:val="24"/>
              </w:rPr>
              <w:t>SECTION 402.</w:t>
            </w:r>
          </w:p>
        </w:tc>
        <w:tc>
          <w:tcPr>
            <w:tcW w:w="74" w:type="dxa"/>
            <w:tcBorders/>
            <w:vAlign w:val="bottom"/>
          </w:tcPr>
          <w:p>
            <w:pPr>
              <w:pStyle w:val="TableContents"/>
              <w:bidi w:val="0"/>
              <w:spacing w:before="0" w:after="283"/>
              <w:jc w:val="left"/>
              <w:rPr/>
            </w:pPr>
            <w:r>
              <w:rPr/>
              <w:t> </w:t>
            </w:r>
          </w:p>
        </w:tc>
        <w:tc>
          <w:tcPr>
            <w:tcW w:w="7770" w:type="dxa"/>
            <w:tcBorders/>
            <w:vAlign w:val="bottom"/>
          </w:tcPr>
          <w:p>
            <w:pPr>
              <w:pStyle w:val="TableContents"/>
              <w:bidi w:val="0"/>
              <w:spacing w:before="0" w:after="283"/>
              <w:jc w:val="left"/>
              <w:rPr/>
            </w:pPr>
            <w:r>
              <w:rPr/>
              <w:t>Application of Trust Money</w:t>
            </w:r>
          </w:p>
        </w:tc>
        <w:tc>
          <w:tcPr>
            <w:tcW w:w="13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iii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center"/>
        <w:rPr>
          <w:rFonts w:ascii="Times New Roman" w:hAnsi="Times New Roman"/>
          <w:sz w:val="24"/>
        </w:rPr>
      </w:pPr>
      <w:r>
        <w:rPr>
          <w:rFonts w:ascii="Times New Roman" w:hAnsi="Times New Roman"/>
          <w:sz w:val="24"/>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91"/>
        <w:gridCol w:w="69"/>
        <w:gridCol w:w="7840"/>
        <w:gridCol w:w="127"/>
        <w:gridCol w:w="96"/>
        <w:gridCol w:w="419"/>
        <w:gridCol w:w="63"/>
      </w:tblGrid>
      <w:tr>
        <w:trPr/>
        <w:tc>
          <w:tcPr>
            <w:tcW w:w="1591"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784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9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FIVE</w:t>
            </w:r>
          </w:p>
        </w:tc>
        <w:tc>
          <w:tcPr>
            <w:tcW w:w="63"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REMEDIES</w:t>
            </w:r>
          </w:p>
        </w:tc>
        <w:tc>
          <w:tcPr>
            <w:tcW w:w="63" w:type="dxa"/>
            <w:tcBorders/>
          </w:tcPr>
          <w:p>
            <w:pPr>
              <w:pStyle w:val="TableContents"/>
              <w:bidi w:val="0"/>
              <w:spacing w:before="0" w:after="0"/>
              <w:jc w:val="left"/>
              <w:rPr/>
            </w:pPr>
            <w:r>
              <w:rPr/>
              <w:t> </w:t>
            </w:r>
          </w:p>
        </w:tc>
      </w:tr>
      <w:tr>
        <w:trPr>
          <w:trHeight w:val="240" w:hRule="atLeast"/>
        </w:trPr>
        <w:tc>
          <w:tcPr>
            <w:tcW w:w="1591" w:type="dxa"/>
            <w:tcBorders/>
            <w:vAlign w:val="center"/>
          </w:tcPr>
          <w:p>
            <w:pPr>
              <w:pStyle w:val="TableContents"/>
              <w:bidi w:val="0"/>
              <w:spacing w:before="0" w:after="283"/>
              <w:jc w:val="left"/>
              <w:rPr>
                <w:sz w:val="4"/>
                <w:szCs w:val="4"/>
              </w:rPr>
            </w:pPr>
            <w:r>
              <w:rPr>
                <w:sz w:val="4"/>
                <w:szCs w:val="4"/>
              </w:rPr>
            </w:r>
          </w:p>
        </w:tc>
        <w:tc>
          <w:tcPr>
            <w:tcW w:w="7909" w:type="dxa"/>
            <w:gridSpan w:val="2"/>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501.</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Events of Default</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502.</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Notice of Defaults</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503.</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Acceleration of Maturity; Rescission and Annulment</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504.</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Collection of Debt and Suits for Enforcement by Trustee</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505.</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Trustee May File Proofs of Claim</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506.</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Trustee May Enforce Claims Without Possession of Securities</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507.</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Application of Money Collected</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508.</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Limitation on Suits</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509.</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Unconditional Right of Holders to Receive Principal, Premium and Interest</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510.</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Restoration of Rights and Remedies</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511.</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Rights and Remedies Cumulative</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512.</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Delay or Omission Not Waiver</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513.</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Control by Holders</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514.</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Waiver of Past Defaults</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515.</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Waiver of Stay or Extension Laws</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SIX</w:t>
            </w:r>
          </w:p>
        </w:tc>
        <w:tc>
          <w:tcPr>
            <w:tcW w:w="63"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THE TRUSTEE</w:t>
            </w:r>
          </w:p>
        </w:tc>
        <w:tc>
          <w:tcPr>
            <w:tcW w:w="63" w:type="dxa"/>
            <w:tcBorders/>
          </w:tcPr>
          <w:p>
            <w:pPr>
              <w:pStyle w:val="TableContents"/>
              <w:bidi w:val="0"/>
              <w:spacing w:before="0" w:after="0"/>
              <w:jc w:val="left"/>
              <w:rPr/>
            </w:pPr>
            <w:r>
              <w:rPr/>
              <w:t> </w:t>
            </w:r>
          </w:p>
        </w:tc>
      </w:tr>
      <w:tr>
        <w:trPr>
          <w:trHeight w:val="240" w:hRule="atLeast"/>
        </w:trPr>
        <w:tc>
          <w:tcPr>
            <w:tcW w:w="1591" w:type="dxa"/>
            <w:tcBorders/>
            <w:vAlign w:val="center"/>
          </w:tcPr>
          <w:p>
            <w:pPr>
              <w:pStyle w:val="TableContents"/>
              <w:bidi w:val="0"/>
              <w:spacing w:before="0" w:after="283"/>
              <w:jc w:val="left"/>
              <w:rPr>
                <w:sz w:val="4"/>
                <w:szCs w:val="4"/>
              </w:rPr>
            </w:pPr>
            <w:r>
              <w:rPr>
                <w:sz w:val="4"/>
                <w:szCs w:val="4"/>
              </w:rPr>
            </w:r>
          </w:p>
        </w:tc>
        <w:tc>
          <w:tcPr>
            <w:tcW w:w="7909" w:type="dxa"/>
            <w:gridSpan w:val="2"/>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601.</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Certain Duties, Rights and Responsibilities of Trustee</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602.</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Trustee Not Responsible for Recitals or Issuance of Securities</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603.</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May Hold Securities</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604.</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Money Held in Trust</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605.</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Compensation and Reimbursement</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606.</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Conflict of Interest</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607.</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Corporate Trustee Required; Eligibility</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608.</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Resignation and Removal; Appointment of Successor</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609.</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Acceptance of Appointment by Successor</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610.</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Merger, Conversion, Consolidation or Succession to Business</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611.</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Appointment of Authenticating Agent</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612.</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Acceptance of Trust</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613.</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Trustee Not Required to Give Security</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614.</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Trustee Not Required to Possess Securities</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615.</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Protection of Trustee</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616.</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Anti-Money Laundering and Anti-Terrorism Legislation Compliance</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617.</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Third Party Interests</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618.</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Privacy Laws</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591" w:type="dxa"/>
            <w:tcBorders/>
          </w:tcPr>
          <w:p>
            <w:pPr>
              <w:pStyle w:val="TableContents"/>
              <w:bidi w:val="0"/>
              <w:spacing w:before="0" w:after="0"/>
              <w:jc w:val="left"/>
              <w:rPr>
                <w:rFonts w:ascii="Times New Roman" w:hAnsi="Times New Roman"/>
                <w:sz w:val="24"/>
              </w:rPr>
            </w:pPr>
            <w:r>
              <w:rPr>
                <w:rFonts w:ascii="Times New Roman" w:hAnsi="Times New Roman"/>
                <w:sz w:val="24"/>
              </w:rPr>
              <w:t>SECTION 619.</w:t>
            </w:r>
          </w:p>
        </w:tc>
        <w:tc>
          <w:tcPr>
            <w:tcW w:w="69" w:type="dxa"/>
            <w:tcBorders/>
            <w:vAlign w:val="bottom"/>
          </w:tcPr>
          <w:p>
            <w:pPr>
              <w:pStyle w:val="TableContents"/>
              <w:bidi w:val="0"/>
              <w:spacing w:before="0" w:after="283"/>
              <w:jc w:val="left"/>
              <w:rPr/>
            </w:pPr>
            <w:r>
              <w:rPr/>
              <w:t> </w:t>
            </w:r>
          </w:p>
        </w:tc>
        <w:tc>
          <w:tcPr>
            <w:tcW w:w="7840" w:type="dxa"/>
            <w:tcBorders/>
            <w:vAlign w:val="bottom"/>
          </w:tcPr>
          <w:p>
            <w:pPr>
              <w:pStyle w:val="TableContents"/>
              <w:bidi w:val="0"/>
              <w:spacing w:before="0" w:after="283"/>
              <w:jc w:val="left"/>
              <w:rPr/>
            </w:pPr>
            <w:r>
              <w:rPr/>
              <w:t>Force Majeure</w:t>
            </w:r>
          </w:p>
        </w:tc>
        <w:tc>
          <w:tcPr>
            <w:tcW w:w="12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iv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center"/>
        <w:rPr>
          <w:rFonts w:ascii="Times New Roman" w:hAnsi="Times New Roman"/>
          <w:sz w:val="24"/>
        </w:rPr>
      </w:pPr>
      <w:r>
        <w:rPr>
          <w:rFonts w:ascii="Times New Roman" w:hAnsi="Times New Roman"/>
          <w:sz w:val="24"/>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05"/>
        <w:gridCol w:w="86"/>
        <w:gridCol w:w="7494"/>
        <w:gridCol w:w="141"/>
        <w:gridCol w:w="96"/>
        <w:gridCol w:w="419"/>
        <w:gridCol w:w="64"/>
      </w:tblGrid>
      <w:tr>
        <w:trPr/>
        <w:tc>
          <w:tcPr>
            <w:tcW w:w="190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7494"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90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SEVEN</w:t>
            </w:r>
          </w:p>
        </w:tc>
        <w:tc>
          <w:tcPr>
            <w:tcW w:w="64"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HOLDERS’ LISTS AND REPORTS BY TRUSTEES AND COMPANY</w:t>
            </w:r>
          </w:p>
        </w:tc>
        <w:tc>
          <w:tcPr>
            <w:tcW w:w="64" w:type="dxa"/>
            <w:tcBorders/>
          </w:tcPr>
          <w:p>
            <w:pPr>
              <w:pStyle w:val="TableContents"/>
              <w:bidi w:val="0"/>
              <w:spacing w:before="0" w:after="0"/>
              <w:jc w:val="left"/>
              <w:rPr/>
            </w:pPr>
            <w:r>
              <w:rPr/>
              <w:t> </w:t>
            </w:r>
          </w:p>
        </w:tc>
      </w:tr>
      <w:tr>
        <w:trPr>
          <w:trHeight w:val="240" w:hRule="atLeast"/>
        </w:trPr>
        <w:tc>
          <w:tcPr>
            <w:tcW w:w="1905" w:type="dxa"/>
            <w:tcBorders/>
            <w:vAlign w:val="center"/>
          </w:tcPr>
          <w:p>
            <w:pPr>
              <w:pStyle w:val="TableContents"/>
              <w:bidi w:val="0"/>
              <w:spacing w:before="0" w:after="283"/>
              <w:jc w:val="left"/>
              <w:rPr>
                <w:sz w:val="4"/>
                <w:szCs w:val="4"/>
              </w:rPr>
            </w:pPr>
            <w:r>
              <w:rPr>
                <w:sz w:val="4"/>
                <w:szCs w:val="4"/>
              </w:rPr>
            </w:r>
          </w:p>
        </w:tc>
        <w:tc>
          <w:tcPr>
            <w:tcW w:w="7580" w:type="dxa"/>
            <w:gridSpan w:val="2"/>
            <w:tcBorders/>
            <w:vAlign w:val="center"/>
          </w:tcPr>
          <w:p>
            <w:pPr>
              <w:pStyle w:val="TableContents"/>
              <w:bidi w:val="0"/>
              <w:spacing w:before="0" w:after="283"/>
              <w:jc w:val="left"/>
              <w:rPr>
                <w:sz w:val="4"/>
                <w:szCs w:val="4"/>
              </w:rPr>
            </w:pPr>
            <w:r>
              <w:rPr>
                <w:sz w:val="4"/>
                <w:szCs w:val="4"/>
              </w:rPr>
            </w:r>
          </w:p>
        </w:tc>
        <w:tc>
          <w:tcPr>
            <w:tcW w:w="720" w:type="dxa"/>
            <w:gridSpan w:val="4"/>
            <w:tcBorders/>
            <w:vAlign w:val="center"/>
          </w:tcPr>
          <w:p>
            <w:pPr>
              <w:pStyle w:val="TableContents"/>
              <w:bidi w:val="0"/>
              <w:spacing w:before="0" w:after="283"/>
              <w:jc w:val="left"/>
              <w:rPr>
                <w:sz w:val="4"/>
                <w:szCs w:val="4"/>
              </w:rPr>
            </w:pPr>
            <w:r>
              <w:rPr>
                <w:sz w:val="4"/>
                <w:szCs w:val="4"/>
              </w:rPr>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701.</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Disclosure of Names and Addresses of Holders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702.</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Reports by the Company</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EIGHT</w:t>
            </w:r>
          </w:p>
        </w:tc>
        <w:tc>
          <w:tcPr>
            <w:tcW w:w="64" w:type="dxa"/>
            <w:tcBorders/>
          </w:tcPr>
          <w:p>
            <w:pPr>
              <w:pStyle w:val="TableContents"/>
              <w:bidi w:val="0"/>
              <w:spacing w:before="0" w:after="0"/>
              <w:jc w:val="left"/>
              <w:rPr/>
            </w:pPr>
            <w:r>
              <w:rPr/>
              <w:t> </w:t>
            </w:r>
          </w:p>
        </w:tc>
      </w:tr>
      <w:tr>
        <w:trPr>
          <w:trHeight w:val="240" w:hRule="atLeast"/>
        </w:trPr>
        <w:tc>
          <w:tcPr>
            <w:tcW w:w="9485" w:type="dxa"/>
            <w:gridSpan w:val="3"/>
            <w:tcBorders/>
            <w:vAlign w:val="center"/>
          </w:tcPr>
          <w:p>
            <w:pPr>
              <w:pStyle w:val="TableContents"/>
              <w:bidi w:val="0"/>
              <w:spacing w:before="0" w:after="283"/>
              <w:jc w:val="left"/>
              <w:rPr>
                <w:sz w:val="4"/>
                <w:szCs w:val="4"/>
              </w:rPr>
            </w:pPr>
            <w:r>
              <w:rPr>
                <w:sz w:val="4"/>
                <w:szCs w:val="4"/>
              </w:rPr>
            </w:r>
          </w:p>
        </w:tc>
        <w:tc>
          <w:tcPr>
            <w:tcW w:w="720" w:type="dxa"/>
            <w:gridSpan w:val="4"/>
            <w:tcBorders/>
            <w:vAlign w:val="center"/>
          </w:tcPr>
          <w:p>
            <w:pPr>
              <w:pStyle w:val="TableContents"/>
              <w:bidi w:val="0"/>
              <w:spacing w:before="0" w:after="283"/>
              <w:jc w:val="left"/>
              <w:rPr>
                <w:sz w:val="4"/>
                <w:szCs w:val="4"/>
              </w:rPr>
            </w:pPr>
            <w:r>
              <w:rPr>
                <w:sz w:val="4"/>
                <w:szCs w:val="4"/>
              </w:rPr>
            </w:r>
          </w:p>
        </w:tc>
      </w:tr>
      <w:tr>
        <w:trPr/>
        <w:tc>
          <w:tcPr>
            <w:tcW w:w="9485" w:type="dxa"/>
            <w:gridSpan w:val="3"/>
            <w:tcBorders/>
          </w:tcPr>
          <w:p>
            <w:pPr>
              <w:pStyle w:val="TableContents"/>
              <w:bidi w:val="0"/>
              <w:spacing w:before="0" w:after="283"/>
              <w:jc w:val="center"/>
              <w:rPr/>
            </w:pPr>
            <w:r>
              <w:rPr/>
              <w:t>CONSOLIDATION, MERGER, CONVEYANCE, TRANSFER OR LEASE</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905" w:type="dxa"/>
            <w:tcBorders/>
            <w:vAlign w:val="center"/>
          </w:tcPr>
          <w:p>
            <w:pPr>
              <w:pStyle w:val="TableContents"/>
              <w:bidi w:val="0"/>
              <w:spacing w:before="0" w:after="283"/>
              <w:jc w:val="left"/>
              <w:rPr>
                <w:sz w:val="4"/>
                <w:szCs w:val="4"/>
              </w:rPr>
            </w:pPr>
            <w:r>
              <w:rPr>
                <w:sz w:val="4"/>
                <w:szCs w:val="4"/>
              </w:rPr>
            </w:r>
          </w:p>
        </w:tc>
        <w:tc>
          <w:tcPr>
            <w:tcW w:w="7580" w:type="dxa"/>
            <w:gridSpan w:val="2"/>
            <w:tcBorders/>
            <w:vAlign w:val="center"/>
          </w:tcPr>
          <w:p>
            <w:pPr>
              <w:pStyle w:val="TableContents"/>
              <w:bidi w:val="0"/>
              <w:spacing w:before="0" w:after="283"/>
              <w:jc w:val="left"/>
              <w:rPr>
                <w:sz w:val="4"/>
                <w:szCs w:val="4"/>
              </w:rPr>
            </w:pPr>
            <w:r>
              <w:rPr>
                <w:sz w:val="4"/>
                <w:szCs w:val="4"/>
              </w:rPr>
            </w:r>
          </w:p>
        </w:tc>
        <w:tc>
          <w:tcPr>
            <w:tcW w:w="720" w:type="dxa"/>
            <w:gridSpan w:val="4"/>
            <w:tcBorders/>
            <w:vAlign w:val="center"/>
          </w:tcPr>
          <w:p>
            <w:pPr>
              <w:pStyle w:val="TableContents"/>
              <w:bidi w:val="0"/>
              <w:spacing w:before="0" w:after="283"/>
              <w:jc w:val="left"/>
              <w:rPr>
                <w:sz w:val="4"/>
                <w:szCs w:val="4"/>
              </w:rPr>
            </w:pPr>
            <w:r>
              <w:rPr>
                <w:sz w:val="4"/>
                <w:szCs w:val="4"/>
              </w:rPr>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801.</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Company May Consolidate, etc., Only on Certain Terms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802.</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Successor Person Substituted</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803.</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Securities to Be Secured in Certain Events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NINE</w:t>
            </w:r>
          </w:p>
        </w:tc>
        <w:tc>
          <w:tcPr>
            <w:tcW w:w="64"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SUPPLEMENTAL INDENTURES</w:t>
            </w:r>
          </w:p>
        </w:tc>
        <w:tc>
          <w:tcPr>
            <w:tcW w:w="64" w:type="dxa"/>
            <w:tcBorders/>
          </w:tcPr>
          <w:p>
            <w:pPr>
              <w:pStyle w:val="TableContents"/>
              <w:bidi w:val="0"/>
              <w:spacing w:before="0" w:after="0"/>
              <w:jc w:val="left"/>
              <w:rPr/>
            </w:pPr>
            <w:r>
              <w:rPr/>
              <w:t> </w:t>
            </w:r>
          </w:p>
        </w:tc>
      </w:tr>
      <w:tr>
        <w:trPr>
          <w:trHeight w:val="240" w:hRule="atLeast"/>
        </w:trPr>
        <w:tc>
          <w:tcPr>
            <w:tcW w:w="1905" w:type="dxa"/>
            <w:tcBorders/>
            <w:vAlign w:val="center"/>
          </w:tcPr>
          <w:p>
            <w:pPr>
              <w:pStyle w:val="TableContents"/>
              <w:bidi w:val="0"/>
              <w:spacing w:before="0" w:after="283"/>
              <w:jc w:val="left"/>
              <w:rPr>
                <w:sz w:val="4"/>
                <w:szCs w:val="4"/>
              </w:rPr>
            </w:pPr>
            <w:r>
              <w:rPr>
                <w:sz w:val="4"/>
                <w:szCs w:val="4"/>
              </w:rPr>
            </w:r>
          </w:p>
        </w:tc>
        <w:tc>
          <w:tcPr>
            <w:tcW w:w="7580" w:type="dxa"/>
            <w:gridSpan w:val="2"/>
            <w:tcBorders/>
            <w:vAlign w:val="center"/>
          </w:tcPr>
          <w:p>
            <w:pPr>
              <w:pStyle w:val="TableContents"/>
              <w:bidi w:val="0"/>
              <w:spacing w:before="0" w:after="283"/>
              <w:jc w:val="left"/>
              <w:rPr>
                <w:sz w:val="4"/>
                <w:szCs w:val="4"/>
              </w:rPr>
            </w:pPr>
            <w:r>
              <w:rPr>
                <w:sz w:val="4"/>
                <w:szCs w:val="4"/>
              </w:rPr>
            </w:r>
          </w:p>
        </w:tc>
        <w:tc>
          <w:tcPr>
            <w:tcW w:w="720" w:type="dxa"/>
            <w:gridSpan w:val="4"/>
            <w:tcBorders/>
            <w:vAlign w:val="center"/>
          </w:tcPr>
          <w:p>
            <w:pPr>
              <w:pStyle w:val="TableContents"/>
              <w:bidi w:val="0"/>
              <w:spacing w:before="0" w:after="283"/>
              <w:jc w:val="left"/>
              <w:rPr>
                <w:sz w:val="4"/>
                <w:szCs w:val="4"/>
              </w:rPr>
            </w:pPr>
            <w:r>
              <w:rPr>
                <w:sz w:val="4"/>
                <w:szCs w:val="4"/>
              </w:rPr>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901.</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Supplemental Indentures Without Consent of Holders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902.</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Supplemental Indentures with Consent of Holders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903.</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Execution of Supplemental Indentures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904.</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Effect of Supplemental Indentures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905.</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Conformity with Trust Indenture Legislation</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906.</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Reference in Securities to Supplemental Indentures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907.</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Notice of Supplemental Indentures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TEN</w:t>
            </w:r>
          </w:p>
        </w:tc>
        <w:tc>
          <w:tcPr>
            <w:tcW w:w="64"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COVENANTS</w:t>
            </w:r>
          </w:p>
        </w:tc>
        <w:tc>
          <w:tcPr>
            <w:tcW w:w="64" w:type="dxa"/>
            <w:tcBorders/>
          </w:tcPr>
          <w:p>
            <w:pPr>
              <w:pStyle w:val="TableContents"/>
              <w:bidi w:val="0"/>
              <w:spacing w:before="0" w:after="0"/>
              <w:jc w:val="left"/>
              <w:rPr/>
            </w:pPr>
            <w:r>
              <w:rPr/>
              <w:t> </w:t>
            </w:r>
          </w:p>
        </w:tc>
      </w:tr>
      <w:tr>
        <w:trPr>
          <w:trHeight w:val="240" w:hRule="atLeast"/>
        </w:trPr>
        <w:tc>
          <w:tcPr>
            <w:tcW w:w="1905" w:type="dxa"/>
            <w:tcBorders/>
            <w:vAlign w:val="center"/>
          </w:tcPr>
          <w:p>
            <w:pPr>
              <w:pStyle w:val="TableContents"/>
              <w:bidi w:val="0"/>
              <w:spacing w:before="0" w:after="283"/>
              <w:jc w:val="left"/>
              <w:rPr>
                <w:sz w:val="4"/>
                <w:szCs w:val="4"/>
              </w:rPr>
            </w:pPr>
            <w:r>
              <w:rPr>
                <w:sz w:val="4"/>
                <w:szCs w:val="4"/>
              </w:rPr>
            </w:r>
          </w:p>
        </w:tc>
        <w:tc>
          <w:tcPr>
            <w:tcW w:w="7580" w:type="dxa"/>
            <w:gridSpan w:val="2"/>
            <w:tcBorders/>
            <w:vAlign w:val="center"/>
          </w:tcPr>
          <w:p>
            <w:pPr>
              <w:pStyle w:val="TableContents"/>
              <w:bidi w:val="0"/>
              <w:spacing w:before="0" w:after="283"/>
              <w:jc w:val="left"/>
              <w:rPr>
                <w:sz w:val="4"/>
                <w:szCs w:val="4"/>
              </w:rPr>
            </w:pPr>
            <w:r>
              <w:rPr>
                <w:sz w:val="4"/>
                <w:szCs w:val="4"/>
              </w:rPr>
            </w:r>
          </w:p>
        </w:tc>
        <w:tc>
          <w:tcPr>
            <w:tcW w:w="720" w:type="dxa"/>
            <w:gridSpan w:val="4"/>
            <w:tcBorders/>
            <w:vAlign w:val="center"/>
          </w:tcPr>
          <w:p>
            <w:pPr>
              <w:pStyle w:val="TableContents"/>
              <w:bidi w:val="0"/>
              <w:spacing w:before="0" w:after="283"/>
              <w:jc w:val="left"/>
              <w:rPr>
                <w:sz w:val="4"/>
                <w:szCs w:val="4"/>
              </w:rPr>
            </w:pPr>
            <w:r>
              <w:rPr>
                <w:sz w:val="4"/>
                <w:szCs w:val="4"/>
              </w:rPr>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1001.</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Payment of Principal, Premium, if any, and Interest</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1002.</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Maintenance of Office or Agency</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1003.</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Money for Securities Payments to Be Held in Trust</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1004.</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Statement as to Compliance</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1005.</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Additional Amounts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1006.</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Corporate Existence; To Carry on Business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1007.</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Waiver of Certain Covenants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ELEVEN</w:t>
            </w:r>
          </w:p>
        </w:tc>
        <w:tc>
          <w:tcPr>
            <w:tcW w:w="64" w:type="dxa"/>
            <w:tcBorders/>
          </w:tcPr>
          <w:p>
            <w:pPr>
              <w:pStyle w:val="TableContents"/>
              <w:bidi w:val="0"/>
              <w:spacing w:before="0" w:after="0"/>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REDEMPTION OF SECURITIES</w:t>
            </w:r>
          </w:p>
        </w:tc>
        <w:tc>
          <w:tcPr>
            <w:tcW w:w="64" w:type="dxa"/>
            <w:tcBorders/>
          </w:tcPr>
          <w:p>
            <w:pPr>
              <w:pStyle w:val="TableContents"/>
              <w:bidi w:val="0"/>
              <w:spacing w:before="0" w:after="0"/>
              <w:jc w:val="left"/>
              <w:rPr/>
            </w:pPr>
            <w:r>
              <w:rPr/>
              <w:t> </w:t>
            </w:r>
          </w:p>
        </w:tc>
      </w:tr>
      <w:tr>
        <w:trPr>
          <w:trHeight w:val="240" w:hRule="atLeast"/>
        </w:trPr>
        <w:tc>
          <w:tcPr>
            <w:tcW w:w="1905" w:type="dxa"/>
            <w:tcBorders/>
            <w:vAlign w:val="center"/>
          </w:tcPr>
          <w:p>
            <w:pPr>
              <w:pStyle w:val="TableContents"/>
              <w:bidi w:val="0"/>
              <w:spacing w:before="0" w:after="283"/>
              <w:jc w:val="left"/>
              <w:rPr>
                <w:sz w:val="4"/>
                <w:szCs w:val="4"/>
              </w:rPr>
            </w:pPr>
            <w:r>
              <w:rPr>
                <w:sz w:val="4"/>
                <w:szCs w:val="4"/>
              </w:rPr>
            </w:r>
          </w:p>
        </w:tc>
        <w:tc>
          <w:tcPr>
            <w:tcW w:w="7580" w:type="dxa"/>
            <w:gridSpan w:val="2"/>
            <w:tcBorders/>
            <w:vAlign w:val="center"/>
          </w:tcPr>
          <w:p>
            <w:pPr>
              <w:pStyle w:val="TableContents"/>
              <w:bidi w:val="0"/>
              <w:spacing w:before="0" w:after="283"/>
              <w:jc w:val="left"/>
              <w:rPr>
                <w:sz w:val="4"/>
                <w:szCs w:val="4"/>
              </w:rPr>
            </w:pPr>
            <w:r>
              <w:rPr>
                <w:sz w:val="4"/>
                <w:szCs w:val="4"/>
              </w:rPr>
            </w:r>
          </w:p>
        </w:tc>
        <w:tc>
          <w:tcPr>
            <w:tcW w:w="720" w:type="dxa"/>
            <w:gridSpan w:val="4"/>
            <w:tcBorders/>
            <w:vAlign w:val="center"/>
          </w:tcPr>
          <w:p>
            <w:pPr>
              <w:pStyle w:val="TableContents"/>
              <w:bidi w:val="0"/>
              <w:spacing w:before="0" w:after="283"/>
              <w:jc w:val="left"/>
              <w:rPr>
                <w:sz w:val="4"/>
                <w:szCs w:val="4"/>
              </w:rPr>
            </w:pPr>
            <w:r>
              <w:rPr>
                <w:sz w:val="4"/>
                <w:szCs w:val="4"/>
              </w:rPr>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1101.</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Applicability of Article</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1102.</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Election to Redeem; Notice to Trustee</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905" w:type="dxa"/>
            <w:tcBorders/>
          </w:tcPr>
          <w:p>
            <w:pPr>
              <w:pStyle w:val="TableContents"/>
              <w:bidi w:val="0"/>
              <w:spacing w:before="0" w:after="0"/>
              <w:jc w:val="left"/>
              <w:rPr>
                <w:rFonts w:ascii="Times New Roman" w:hAnsi="Times New Roman"/>
                <w:sz w:val="24"/>
              </w:rPr>
            </w:pPr>
            <w:r>
              <w:rPr>
                <w:rFonts w:ascii="Times New Roman" w:hAnsi="Times New Roman"/>
                <w:sz w:val="24"/>
              </w:rPr>
              <w:t>SECTION 1103.</w:t>
            </w:r>
          </w:p>
        </w:tc>
        <w:tc>
          <w:tcPr>
            <w:tcW w:w="86" w:type="dxa"/>
            <w:tcBorders/>
            <w:vAlign w:val="bottom"/>
          </w:tcPr>
          <w:p>
            <w:pPr>
              <w:pStyle w:val="TableContents"/>
              <w:bidi w:val="0"/>
              <w:spacing w:before="0" w:after="283"/>
              <w:jc w:val="left"/>
              <w:rPr/>
            </w:pPr>
            <w:r>
              <w:rPr/>
              <w:t> </w:t>
            </w:r>
          </w:p>
        </w:tc>
        <w:tc>
          <w:tcPr>
            <w:tcW w:w="7494" w:type="dxa"/>
            <w:tcBorders/>
            <w:vAlign w:val="bottom"/>
          </w:tcPr>
          <w:p>
            <w:pPr>
              <w:pStyle w:val="TableContents"/>
              <w:bidi w:val="0"/>
              <w:spacing w:before="0" w:after="283"/>
              <w:jc w:val="left"/>
              <w:rPr/>
            </w:pPr>
            <w:r>
              <w:rPr/>
              <w:t>Selection by Trustee of Securities to Be Redeemed</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v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TABLE OF CONTENTS </w:t>
      </w:r>
    </w:p>
    <w:p>
      <w:pPr>
        <w:pStyle w:val="TextBody"/>
        <w:bidi w:val="0"/>
        <w:spacing w:before="0" w:after="0"/>
        <w:jc w:val="center"/>
        <w:rPr>
          <w:rFonts w:ascii="Times New Roman" w:hAnsi="Times New Roman"/>
          <w:sz w:val="24"/>
        </w:rPr>
      </w:pPr>
      <w:r>
        <w:rPr>
          <w:rFonts w:ascii="Times New Roman" w:hAnsi="Times New Roman"/>
          <w:sz w:val="24"/>
        </w:rPr>
        <w:t xml:space="preserve">(continued) </w:t>
      </w:r>
    </w:p>
    <w:p>
      <w:pPr>
        <w:pStyle w:val="TextBody"/>
        <w:bidi w:val="0"/>
        <w:spacing w:before="0" w:after="0"/>
        <w:jc w:val="left"/>
        <w:rPr/>
      </w:pPr>
      <w:r>
        <w:rPr/>
        <w:t> </w:t>
      </w:r>
    </w:p>
    <w:tbl>
      <w:tblPr>
        <w:tblW w:w="11880" w:type="dxa"/>
        <w:jc w:val="center"/>
        <w:tblInd w:w="0" w:type="dxa"/>
        <w:tblLayout w:type="fixed"/>
        <w:tblCellMar>
          <w:top w:w="0" w:type="dxa"/>
          <w:left w:w="0" w:type="dxa"/>
          <w:bottom w:w="0" w:type="dxa"/>
          <w:right w:w="0" w:type="dxa"/>
        </w:tblCellMar>
      </w:tblPr>
      <w:tblGrid>
        <w:gridCol w:w="1595"/>
        <w:gridCol w:w="60"/>
        <w:gridCol w:w="9530"/>
        <w:gridCol w:w="120"/>
        <w:gridCol w:w="96"/>
        <w:gridCol w:w="419"/>
        <w:gridCol w:w="60"/>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240" w:hRule="atLeast"/>
        </w:trPr>
        <w:tc>
          <w:tcPr>
            <w:tcW w:w="15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0"/>
              <w:jc w:val="left"/>
              <w:rPr>
                <w:rFonts w:ascii="Times New Roman" w:hAnsi="Times New Roman"/>
                <w:sz w:val="24"/>
              </w:rPr>
            </w:pPr>
            <w:r>
              <w:rPr>
                <w:rFonts w:ascii="Times New Roman" w:hAnsi="Times New Roman"/>
                <w:sz w:val="24"/>
              </w:rPr>
              <w:t>SECTION 1104.</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Notice of Redemption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4"/>
              </w:rPr>
            </w:pPr>
            <w:r>
              <w:rPr>
                <w:rFonts w:ascii="Times New Roman" w:hAnsi="Times New Roman"/>
                <w:sz w:val="24"/>
              </w:rPr>
              <w:t>SECTION 1105.</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Deposit of Redemption Price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4"/>
              </w:rPr>
            </w:pPr>
            <w:r>
              <w:rPr>
                <w:rFonts w:ascii="Times New Roman" w:hAnsi="Times New Roman"/>
                <w:sz w:val="24"/>
              </w:rPr>
              <w:t>SECTION 1106.</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Securities Payable on Redemption Date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4"/>
              </w:rPr>
            </w:pPr>
            <w:r>
              <w:rPr>
                <w:rFonts w:ascii="Times New Roman" w:hAnsi="Times New Roman"/>
                <w:sz w:val="24"/>
              </w:rPr>
              <w:t>SECTION 1107.</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Securities Redeemed in Part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rHeight w:val="240" w:hRule="atLeast"/>
        </w:trPr>
        <w:tc>
          <w:tcPr>
            <w:tcW w:w="11880" w:type="dxa"/>
            <w:gridSpan w:val="7"/>
            <w:tcBorders/>
            <w:vAlign w:val="center"/>
          </w:tcPr>
          <w:p>
            <w:pPr>
              <w:pStyle w:val="TableContents"/>
              <w:bidi w:val="0"/>
              <w:spacing w:before="0" w:after="283"/>
              <w:jc w:val="left"/>
              <w:rPr>
                <w:sz w:val="4"/>
                <w:szCs w:val="4"/>
              </w:rPr>
            </w:pPr>
            <w:r>
              <w:rPr>
                <w:sz w:val="4"/>
                <w:szCs w:val="4"/>
              </w:rPr>
            </w:r>
          </w:p>
        </w:tc>
      </w:tr>
      <w:tr>
        <w:trPr/>
        <w:tc>
          <w:tcPr>
            <w:tcW w:w="11820" w:type="dxa"/>
            <w:gridSpan w:val="6"/>
            <w:tcBorders/>
          </w:tcPr>
          <w:p>
            <w:pPr>
              <w:pStyle w:val="TableContents"/>
              <w:bidi w:val="0"/>
              <w:spacing w:before="0" w:after="283"/>
              <w:jc w:val="center"/>
              <w:rPr/>
            </w:pPr>
            <w:r>
              <w:rPr/>
              <w:t>ARTICLE TWELVE</w:t>
            </w:r>
          </w:p>
        </w:tc>
        <w:tc>
          <w:tcPr>
            <w:tcW w:w="60" w:type="dxa"/>
            <w:tcBorders/>
          </w:tcPr>
          <w:p>
            <w:pPr>
              <w:pStyle w:val="TableContents"/>
              <w:bidi w:val="0"/>
              <w:spacing w:before="0" w:after="0"/>
              <w:jc w:val="left"/>
              <w:rPr/>
            </w:pPr>
            <w:r>
              <w:rPr/>
              <w:t> </w:t>
            </w:r>
          </w:p>
        </w:tc>
      </w:tr>
      <w:tr>
        <w:trPr>
          <w:trHeight w:val="240" w:hRule="atLeast"/>
        </w:trPr>
        <w:tc>
          <w:tcPr>
            <w:tcW w:w="11880" w:type="dxa"/>
            <w:gridSpan w:val="7"/>
            <w:tcBorders/>
            <w:vAlign w:val="center"/>
          </w:tcPr>
          <w:p>
            <w:pPr>
              <w:pStyle w:val="TableContents"/>
              <w:bidi w:val="0"/>
              <w:spacing w:before="0" w:after="283"/>
              <w:jc w:val="left"/>
              <w:rPr>
                <w:sz w:val="4"/>
                <w:szCs w:val="4"/>
              </w:rPr>
            </w:pPr>
            <w:r>
              <w:rPr>
                <w:sz w:val="4"/>
                <w:szCs w:val="4"/>
              </w:rPr>
            </w:r>
          </w:p>
        </w:tc>
      </w:tr>
      <w:tr>
        <w:trPr/>
        <w:tc>
          <w:tcPr>
            <w:tcW w:w="11820" w:type="dxa"/>
            <w:gridSpan w:val="6"/>
            <w:tcBorders/>
          </w:tcPr>
          <w:p>
            <w:pPr>
              <w:pStyle w:val="TableContents"/>
              <w:bidi w:val="0"/>
              <w:spacing w:before="0" w:after="283"/>
              <w:jc w:val="center"/>
              <w:rPr/>
            </w:pPr>
            <w:r>
              <w:rPr/>
              <w:t>DEFEASANCE AND COVENANT DEFEASANCE</w:t>
            </w:r>
          </w:p>
        </w:tc>
        <w:tc>
          <w:tcPr>
            <w:tcW w:w="60" w:type="dxa"/>
            <w:tcBorders/>
          </w:tcPr>
          <w:p>
            <w:pPr>
              <w:pStyle w:val="TableContents"/>
              <w:bidi w:val="0"/>
              <w:spacing w:before="0" w:after="0"/>
              <w:jc w:val="left"/>
              <w:rPr/>
            </w:pPr>
            <w:r>
              <w:rPr/>
              <w:t> </w:t>
            </w:r>
          </w:p>
        </w:tc>
      </w:tr>
      <w:tr>
        <w:trPr>
          <w:trHeight w:val="240" w:hRule="atLeast"/>
        </w:trPr>
        <w:tc>
          <w:tcPr>
            <w:tcW w:w="15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0"/>
              <w:jc w:val="left"/>
              <w:rPr>
                <w:rFonts w:ascii="Times New Roman" w:hAnsi="Times New Roman"/>
                <w:sz w:val="24"/>
              </w:rPr>
            </w:pPr>
            <w:r>
              <w:rPr>
                <w:rFonts w:ascii="Times New Roman" w:hAnsi="Times New Roman"/>
                <w:sz w:val="24"/>
              </w:rPr>
              <w:t>SECTION 1201.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Company’s Option to Effect Defeasance or Covenant Defeasance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4"/>
              </w:rPr>
            </w:pPr>
            <w:r>
              <w:rPr>
                <w:rFonts w:ascii="Times New Roman" w:hAnsi="Times New Roman"/>
                <w:sz w:val="24"/>
              </w:rPr>
              <w:t>SECTION 1202.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Defeasance and Discharge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4"/>
              </w:rPr>
            </w:pPr>
            <w:r>
              <w:rPr>
                <w:rFonts w:ascii="Times New Roman" w:hAnsi="Times New Roman"/>
                <w:sz w:val="24"/>
              </w:rPr>
              <w:t>SECTION 1203.</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Covenant Defeasance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4"/>
              </w:rPr>
            </w:pPr>
            <w:r>
              <w:rPr>
                <w:rFonts w:ascii="Times New Roman" w:hAnsi="Times New Roman"/>
                <w:sz w:val="24"/>
              </w:rPr>
              <w:t>SECTION 1204.</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Conditions to Defeasance or Covenant Defeasance.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4"/>
              </w:rPr>
            </w:pPr>
            <w:r>
              <w:rPr>
                <w:rFonts w:ascii="Times New Roman" w:hAnsi="Times New Roman"/>
                <w:sz w:val="24"/>
              </w:rPr>
              <w:t>SECTION 1205.</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Deposited Money and Government Obligations to Be Held in Trust; Other Miscellaneous Provisions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4"/>
              </w:rPr>
            </w:pPr>
            <w:r>
              <w:rPr>
                <w:rFonts w:ascii="Times New Roman" w:hAnsi="Times New Roman"/>
                <w:sz w:val="24"/>
              </w:rPr>
              <w:t>SECTION 1206.</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Reinstatement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r>
      <w:tr>
        <w:trPr>
          <w:trHeight w:val="240" w:hRule="atLeast"/>
        </w:trPr>
        <w:tc>
          <w:tcPr>
            <w:tcW w:w="11880" w:type="dxa"/>
            <w:gridSpan w:val="7"/>
            <w:tcBorders/>
            <w:vAlign w:val="center"/>
          </w:tcPr>
          <w:p>
            <w:pPr>
              <w:pStyle w:val="TableContents"/>
              <w:bidi w:val="0"/>
              <w:spacing w:before="0" w:after="283"/>
              <w:jc w:val="left"/>
              <w:rPr>
                <w:sz w:val="4"/>
                <w:szCs w:val="4"/>
              </w:rPr>
            </w:pPr>
            <w:r>
              <w:rPr>
                <w:sz w:val="4"/>
                <w:szCs w:val="4"/>
              </w:rPr>
            </w:r>
          </w:p>
        </w:tc>
      </w:tr>
      <w:tr>
        <w:trPr/>
        <w:tc>
          <w:tcPr>
            <w:tcW w:w="11820" w:type="dxa"/>
            <w:gridSpan w:val="6"/>
            <w:tcBorders/>
          </w:tcPr>
          <w:p>
            <w:pPr>
              <w:pStyle w:val="TableContents"/>
              <w:bidi w:val="0"/>
              <w:spacing w:before="0" w:after="283"/>
              <w:jc w:val="center"/>
              <w:rPr/>
            </w:pPr>
            <w:r>
              <w:rPr/>
              <w:t>ARTICLE THIRTEEN</w:t>
            </w:r>
          </w:p>
        </w:tc>
        <w:tc>
          <w:tcPr>
            <w:tcW w:w="60" w:type="dxa"/>
            <w:tcBorders/>
          </w:tcPr>
          <w:p>
            <w:pPr>
              <w:pStyle w:val="TableContents"/>
              <w:bidi w:val="0"/>
              <w:spacing w:before="0" w:after="0"/>
              <w:jc w:val="left"/>
              <w:rPr/>
            </w:pPr>
            <w:r>
              <w:rPr/>
              <w:t> </w:t>
            </w:r>
          </w:p>
        </w:tc>
      </w:tr>
      <w:tr>
        <w:trPr>
          <w:trHeight w:val="240" w:hRule="atLeast"/>
        </w:trPr>
        <w:tc>
          <w:tcPr>
            <w:tcW w:w="11880" w:type="dxa"/>
            <w:gridSpan w:val="7"/>
            <w:tcBorders/>
            <w:vAlign w:val="center"/>
          </w:tcPr>
          <w:p>
            <w:pPr>
              <w:pStyle w:val="TableContents"/>
              <w:bidi w:val="0"/>
              <w:spacing w:before="0" w:after="283"/>
              <w:jc w:val="left"/>
              <w:rPr>
                <w:sz w:val="4"/>
                <w:szCs w:val="4"/>
              </w:rPr>
            </w:pPr>
            <w:r>
              <w:rPr>
                <w:sz w:val="4"/>
                <w:szCs w:val="4"/>
              </w:rPr>
            </w:r>
          </w:p>
        </w:tc>
      </w:tr>
      <w:tr>
        <w:trPr/>
        <w:tc>
          <w:tcPr>
            <w:tcW w:w="11820" w:type="dxa"/>
            <w:gridSpan w:val="6"/>
            <w:tcBorders/>
          </w:tcPr>
          <w:p>
            <w:pPr>
              <w:pStyle w:val="TableContents"/>
              <w:bidi w:val="0"/>
              <w:spacing w:before="0" w:after="283"/>
              <w:jc w:val="center"/>
              <w:rPr/>
            </w:pPr>
            <w:r>
              <w:rPr/>
              <w:t>GUARANTEES</w:t>
            </w:r>
          </w:p>
        </w:tc>
        <w:tc>
          <w:tcPr>
            <w:tcW w:w="60" w:type="dxa"/>
            <w:tcBorders/>
          </w:tcPr>
          <w:p>
            <w:pPr>
              <w:pStyle w:val="TableContents"/>
              <w:bidi w:val="0"/>
              <w:spacing w:before="0" w:after="0"/>
              <w:jc w:val="left"/>
              <w:rPr/>
            </w:pPr>
            <w:r>
              <w:rPr/>
              <w:t> </w:t>
            </w:r>
          </w:p>
        </w:tc>
      </w:tr>
      <w:tr>
        <w:trPr>
          <w:trHeight w:val="240" w:hRule="atLeast"/>
        </w:trPr>
        <w:tc>
          <w:tcPr>
            <w:tcW w:w="15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0"/>
              <w:jc w:val="left"/>
              <w:rPr>
                <w:rFonts w:ascii="Times New Roman" w:hAnsi="Times New Roman"/>
                <w:sz w:val="24"/>
              </w:rPr>
            </w:pPr>
            <w:r>
              <w:rPr>
                <w:rFonts w:ascii="Times New Roman" w:hAnsi="Times New Roman"/>
                <w:sz w:val="24"/>
              </w:rPr>
              <w:t>SECTION 1301.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Guarantees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4"/>
              </w:rPr>
            </w:pPr>
            <w:r>
              <w:rPr>
                <w:rFonts w:ascii="Times New Roman" w:hAnsi="Times New Roman"/>
                <w:sz w:val="24"/>
              </w:rPr>
              <w:t>SECTION 1302.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Limitation on Subsidiary Guarantor Liability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4"/>
              </w:rPr>
            </w:pPr>
            <w:r>
              <w:rPr>
                <w:rFonts w:ascii="Times New Roman" w:hAnsi="Times New Roman"/>
                <w:sz w:val="24"/>
              </w:rPr>
              <w:t>SECTION 1303.</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Evidence of Guarantee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4"/>
              </w:rPr>
            </w:pPr>
            <w:r>
              <w:rPr>
                <w:rFonts w:ascii="Times New Roman" w:hAnsi="Times New Roman"/>
                <w:sz w:val="24"/>
              </w:rPr>
              <w:t>SECTION 1304.</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Releases Following Merger, Consolidation or Sale of Assets, Etc.</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both"/>
        <w:rPr>
          <w:rFonts w:ascii="Times New Roman" w:hAnsi="Times New Roman"/>
          <w:sz w:val="24"/>
        </w:rPr>
      </w:pPr>
      <w:r>
        <w:rPr>
          <w:rFonts w:ascii="Times New Roman" w:hAnsi="Times New Roman"/>
          <w:sz w:val="24"/>
        </w:rPr>
        <w:t xml:space="preserve">Note: This table of contents shall not, for any purpose, be deemed to be a part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vi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This INDENTURE is dated as of September 17, 2026 and is entered into among Thomson Reuters Corporation, a corporation duly organized and existing under the laws of the Province of Ontario, Canada (herein called the “</w:t>
      </w:r>
      <w:r>
        <w:rPr>
          <w:rFonts w:ascii="Times New Roman" w:hAnsi="Times New Roman"/>
          <w:b/>
          <w:sz w:val="24"/>
        </w:rPr>
        <w:t>Company</w:t>
      </w:r>
      <w:r>
        <w:rPr>
          <w:rFonts w:ascii="Times New Roman" w:hAnsi="Times New Roman"/>
          <w:sz w:val="24"/>
        </w:rPr>
        <w:t>”), having its principal office at 19 Duncan Street, Toronto, Ontario M5H 3H1, Canada, West Publishing Corporation, a corporation formed under the laws of the State of Minnesota (herein called “</w:t>
      </w:r>
      <w:r>
        <w:rPr>
          <w:rFonts w:ascii="Times New Roman" w:hAnsi="Times New Roman"/>
          <w:b/>
          <w:sz w:val="24"/>
        </w:rPr>
        <w:t>West Publishing</w:t>
      </w:r>
      <w:r>
        <w:rPr>
          <w:rFonts w:ascii="Times New Roman" w:hAnsi="Times New Roman"/>
          <w:sz w:val="24"/>
        </w:rPr>
        <w:t>”), having its principal office at 2900 Ames Crossing Road, Suite 100, Eagan, Minnesota 55121, United States, Thomson Reuters Applications Inc., a corporation formed under the laws of the State of Delaware (herein called “</w:t>
      </w:r>
      <w:r>
        <w:rPr>
          <w:rFonts w:ascii="Times New Roman" w:hAnsi="Times New Roman"/>
          <w:b/>
          <w:sz w:val="24"/>
        </w:rPr>
        <w:t>Thomson Reuters Applications</w:t>
      </w:r>
      <w:r>
        <w:rPr>
          <w:rFonts w:ascii="Times New Roman" w:hAnsi="Times New Roman"/>
          <w:sz w:val="24"/>
        </w:rPr>
        <w:t>”), having its principal office at 2900 Ames Crossing Road, Suite 100, Eagan, Minnesota 55121, United States, Thomson Reuters (Tax &amp; Accounting) Inc., a corporation formed under the laws of the State of Texas (herein called “</w:t>
      </w:r>
      <w:r>
        <w:rPr>
          <w:rFonts w:ascii="Times New Roman" w:hAnsi="Times New Roman"/>
          <w:b/>
          <w:sz w:val="24"/>
        </w:rPr>
        <w:t>Thomson Reuters (Tax</w:t>
      </w:r>
      <w:r>
        <w:rPr>
          <w:rFonts w:ascii="Times New Roman" w:hAnsi="Times New Roman"/>
          <w:sz w:val="24"/>
        </w:rPr>
        <w:t> </w:t>
      </w:r>
      <w:r>
        <w:rPr>
          <w:rFonts w:ascii="Times New Roman" w:hAnsi="Times New Roman"/>
          <w:b/>
          <w:sz w:val="24"/>
        </w:rPr>
        <w:t>&amp; Accounting)</w:t>
      </w:r>
      <w:r>
        <w:rPr>
          <w:rFonts w:ascii="Times New Roman" w:hAnsi="Times New Roman"/>
          <w:sz w:val="24"/>
        </w:rPr>
        <w:t>” and together, with West Publishing and Thomson Reuters Applications, the “</w:t>
      </w:r>
      <w:r>
        <w:rPr>
          <w:rFonts w:ascii="Times New Roman" w:hAnsi="Times New Roman"/>
          <w:b/>
          <w:sz w:val="24"/>
        </w:rPr>
        <w:t>Subsidiary Guarantors</w:t>
      </w:r>
      <w:r>
        <w:rPr>
          <w:rFonts w:ascii="Times New Roman" w:hAnsi="Times New Roman"/>
          <w:sz w:val="24"/>
        </w:rPr>
        <w:t>”), having its principal office at 6160 Warren Parkway, Suite 700, Frisco, Texas 75034, United States, Computershare Trust Company of Canada, a trust company incorporated under the laws of Canada, as trustee (herein called the “</w:t>
      </w:r>
      <w:r>
        <w:rPr>
          <w:rFonts w:ascii="Times New Roman" w:hAnsi="Times New Roman"/>
          <w:b/>
          <w:sz w:val="24"/>
        </w:rPr>
        <w:t>Canadian Trustee</w:t>
      </w:r>
      <w:r>
        <w:rPr>
          <w:rFonts w:ascii="Times New Roman" w:hAnsi="Times New Roman"/>
          <w:sz w:val="24"/>
        </w:rPr>
        <w:t>”), having its principal office at 100 University Avenue, 8th Floor, North Tower, Toronto, Ontario M5J 2Y1, Canada, and Deutsche Bank Trust Company Americas, a New York banking corporation, as trustee (herein called the “</w:t>
      </w:r>
      <w:r>
        <w:rPr>
          <w:rFonts w:ascii="Times New Roman" w:hAnsi="Times New Roman"/>
          <w:b/>
          <w:sz w:val="24"/>
        </w:rPr>
        <w:t>U.S. Trustee</w:t>
      </w:r>
      <w:r>
        <w:rPr>
          <w:rFonts w:ascii="Times New Roman" w:hAnsi="Times New Roman"/>
          <w:sz w:val="24"/>
        </w:rPr>
        <w:t>”), having its principal office at Trust &amp; Agency Services, 1 Columbus Circle, Mail Stop NYC01-0417, 10019-8735 New York, NY 10019, United States. The Canadian Trustee and the U.S. Trustee are also individually referred to in this Indenture as a “</w:t>
      </w:r>
      <w:r>
        <w:rPr>
          <w:rFonts w:ascii="Times New Roman" w:hAnsi="Times New Roman"/>
          <w:b/>
          <w:sz w:val="24"/>
        </w:rPr>
        <w:t>Trustee</w:t>
      </w:r>
      <w:r>
        <w:rPr>
          <w:rFonts w:ascii="Times New Roman" w:hAnsi="Times New Roman"/>
          <w:sz w:val="24"/>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RECITALS OF THE COMPANY AND THE SUBSIDIARY GUARANTORS </w:t>
      </w:r>
    </w:p>
    <w:p>
      <w:pPr>
        <w:pStyle w:val="TextBody"/>
        <w:bidi w:val="0"/>
        <w:spacing w:before="240" w:after="0"/>
        <w:jc w:val="both"/>
        <w:rPr>
          <w:rFonts w:ascii="Times New Roman" w:hAnsi="Times New Roman"/>
          <w:sz w:val="24"/>
        </w:rPr>
      </w:pPr>
      <w:r>
        <w:rPr>
          <w:rFonts w:ascii="Times New Roman" w:hAnsi="Times New Roman"/>
          <w:sz w:val="24"/>
        </w:rPr>
        <w:t>The Company, the Subsidiary Guarantors, the Canadian Trustee and the U.S. Trustee wish to enter into a trust indenture providing for the creation and issuance from time to time of one or more series of the Company’s unsecured debentures, notes or other evidences of indebtedness (herein called the “</w:t>
      </w:r>
      <w:r>
        <w:rPr>
          <w:rFonts w:ascii="Times New Roman" w:hAnsi="Times New Roman"/>
          <w:b/>
          <w:sz w:val="24"/>
        </w:rPr>
        <w:t>Securities</w:t>
      </w:r>
      <w:r>
        <w:rPr>
          <w:rFonts w:ascii="Times New Roman" w:hAnsi="Times New Roman"/>
          <w:sz w:val="24"/>
        </w:rPr>
        <w:t xml:space="preserve">”), which may be convertible into or exchangeable for any securities of any person (including the Company), to be issued in one or more series as provided therein. </w:t>
      </w:r>
    </w:p>
    <w:p>
      <w:pPr>
        <w:pStyle w:val="TextBody"/>
        <w:bidi w:val="0"/>
        <w:spacing w:before="240" w:after="0"/>
        <w:jc w:val="both"/>
        <w:rPr>
          <w:rFonts w:ascii="Times New Roman" w:hAnsi="Times New Roman"/>
          <w:sz w:val="24"/>
        </w:rPr>
      </w:pPr>
      <w:r>
        <w:rPr>
          <w:rFonts w:ascii="Times New Roman" w:hAnsi="Times New Roman"/>
          <w:sz w:val="24"/>
        </w:rPr>
        <w:t xml:space="preserve">This Indenture is subject to and shall be governed by the applicable provisions of the Trust Indenture Legislation. </w:t>
      </w:r>
    </w:p>
    <w:p>
      <w:pPr>
        <w:pStyle w:val="TextBody"/>
        <w:bidi w:val="0"/>
        <w:spacing w:before="240" w:after="0"/>
        <w:jc w:val="both"/>
        <w:rPr>
          <w:rFonts w:ascii="Times New Roman" w:hAnsi="Times New Roman"/>
          <w:sz w:val="24"/>
        </w:rPr>
      </w:pPr>
      <w:r>
        <w:rPr>
          <w:rFonts w:ascii="Times New Roman" w:hAnsi="Times New Roman"/>
          <w:sz w:val="24"/>
        </w:rPr>
        <w:t xml:space="preserve">All things necessary to make this Indenture a valid agreement of the Company and the Subsidiary Guarantors in accordance with its terms, have been done. </w:t>
      </w:r>
    </w:p>
    <w:p>
      <w:pPr>
        <w:pStyle w:val="TextBody"/>
        <w:bidi w:val="0"/>
        <w:spacing w:before="240" w:after="0"/>
        <w:jc w:val="both"/>
        <w:rPr>
          <w:rFonts w:ascii="Times New Roman" w:hAnsi="Times New Roman"/>
          <w:sz w:val="24"/>
        </w:rPr>
      </w:pPr>
      <w:r>
        <w:rPr>
          <w:rFonts w:ascii="Times New Roman" w:hAnsi="Times New Roman"/>
          <w:sz w:val="24"/>
        </w:rPr>
        <w:t xml:space="preserve">The foregoing recitals are made as representations and statements of fact by the Company and the Subsidiary Guarantors and not by the Canadian Trustee or the U.S. Trustee. </w:t>
      </w:r>
    </w:p>
    <w:p>
      <w:pPr>
        <w:pStyle w:val="TextBody"/>
        <w:bidi w:val="0"/>
        <w:spacing w:before="240" w:after="0"/>
        <w:jc w:val="left"/>
        <w:rPr>
          <w:rFonts w:ascii="Times New Roman" w:hAnsi="Times New Roman"/>
          <w:b/>
          <w:sz w:val="24"/>
        </w:rPr>
      </w:pPr>
      <w:r>
        <w:rPr>
          <w:rFonts w:ascii="Times New Roman" w:hAnsi="Times New Roman"/>
          <w:b/>
          <w:sz w:val="24"/>
        </w:rPr>
        <w:t xml:space="preserve">NOW, THEREFORE, THIS INDENTURE WITNESSETH: </w:t>
      </w:r>
    </w:p>
    <w:p>
      <w:pPr>
        <w:pStyle w:val="TextBody"/>
        <w:bidi w:val="0"/>
        <w:spacing w:before="240" w:after="0"/>
        <w:jc w:val="both"/>
        <w:rPr>
          <w:rFonts w:ascii="Times New Roman" w:hAnsi="Times New Roman"/>
          <w:sz w:val="24"/>
        </w:rPr>
      </w:pPr>
      <w:r>
        <w:rPr>
          <w:rFonts w:ascii="Times New Roman" w:hAnsi="Times New Roman"/>
          <w:sz w:val="24"/>
        </w:rPr>
        <w:t xml:space="preserve">For and in consideration of the premises and the purchase of the Securities by the Holders thereof, it is mutually covenanted and agreed, for the equal and proportionate benefit of all Holders of the Securities or of series thereof, as follows: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- 2 - </w:t>
      </w:r>
    </w:p>
    <w:p>
      <w:pPr>
        <w:pStyle w:val="TextBody"/>
        <w:bidi w:val="0"/>
        <w:spacing w:before="0" w:after="0"/>
        <w:jc w:val="left"/>
        <w:rPr/>
      </w:pPr>
      <w:r>
        <w:rPr/>
        <w:t> </w:t>
      </w:r>
    </w:p>
    <w:p>
      <w:pPr>
        <w:pStyle w:val="TextBody"/>
        <w:bidi w:val="0"/>
        <w:spacing w:before="0" w:after="0"/>
        <w:jc w:val="center"/>
        <w:rPr>
          <w:rFonts w:ascii="Times New Roman" w:hAnsi="Times New Roman"/>
          <w:b/>
          <w:sz w:val="24"/>
        </w:rPr>
      </w:pPr>
      <w:r>
        <w:rPr>
          <w:rFonts w:ascii="Times New Roman" w:hAnsi="Times New Roman"/>
          <w:b/>
          <w:sz w:val="24"/>
        </w:rPr>
        <w:t xml:space="preserve">ARTICLE ONE </w:t>
      </w:r>
    </w:p>
    <w:p>
      <w:pPr>
        <w:pStyle w:val="TextBody"/>
        <w:bidi w:val="0"/>
        <w:spacing w:before="240" w:after="0"/>
        <w:jc w:val="center"/>
        <w:rPr>
          <w:rFonts w:ascii="Times New Roman" w:hAnsi="Times New Roman"/>
          <w:b/>
          <w:sz w:val="24"/>
        </w:rPr>
      </w:pPr>
      <w:r>
        <w:rPr>
          <w:rFonts w:ascii="Times New Roman" w:hAnsi="Times New Roman"/>
          <w:b/>
          <w:sz w:val="24"/>
        </w:rPr>
        <w:t xml:space="preserve">DEFINITIONS AND OTHER PROVISIONS OF GENERAL APPLICATION </w:t>
      </w:r>
    </w:p>
    <w:p>
      <w:pPr>
        <w:pStyle w:val="TextBody"/>
        <w:bidi w:val="0"/>
        <w:spacing w:before="240" w:after="0"/>
        <w:jc w:val="both"/>
        <w:rPr>
          <w:rFonts w:ascii="Times New Roman" w:hAnsi="Times New Roman"/>
          <w:sz w:val="24"/>
        </w:rPr>
      </w:pPr>
      <w:r>
        <w:rPr>
          <w:rFonts w:ascii="Times New Roman" w:hAnsi="Times New Roman"/>
          <w:b/>
          <w:sz w:val="24"/>
        </w:rPr>
        <w:t>SECTION 101. Definitions.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For all purposes of this Indenture, except as otherwise expressly provided or unless the context otherwise requires: </w:t>
      </w:r>
    </w:p>
    <w:p>
      <w:pPr>
        <w:pStyle w:val="TextBody"/>
        <w:bidi w:val="0"/>
        <w:spacing w:before="240" w:after="0"/>
        <w:jc w:val="both"/>
        <w:rPr>
          <w:rFonts w:ascii="Times New Roman" w:hAnsi="Times New Roman"/>
          <w:sz w:val="24"/>
        </w:rPr>
      </w:pPr>
      <w:r>
        <w:rPr>
          <w:rFonts w:ascii="Times New Roman" w:hAnsi="Times New Roman"/>
          <w:sz w:val="24"/>
        </w:rPr>
        <w:t xml:space="preserve">(1) the terms defined in this Article have the meanings assigned to them in this Article and include the plural as well as the singular; </w:t>
      </w:r>
    </w:p>
    <w:p>
      <w:pPr>
        <w:pStyle w:val="TextBody"/>
        <w:bidi w:val="0"/>
        <w:spacing w:before="240" w:after="0"/>
        <w:jc w:val="both"/>
        <w:rPr>
          <w:rFonts w:ascii="Times New Roman" w:hAnsi="Times New Roman"/>
          <w:sz w:val="24"/>
        </w:rPr>
      </w:pPr>
      <w:r>
        <w:rPr>
          <w:rFonts w:ascii="Times New Roman" w:hAnsi="Times New Roman"/>
          <w:sz w:val="24"/>
        </w:rPr>
        <w:t xml:space="preserve">(2) all other terms used herein which are defined in the Trust Indenture Act, either directly or by reference therein, have the meanings assigned to them therein, and the terms “cash transaction” and “self-liquidating paper”, as used in TIA Section 311, shall have the meanings assigned to them in the rules of the Commission adopted under the Trust Indenture Act; </w:t>
      </w:r>
    </w:p>
    <w:p>
      <w:pPr>
        <w:pStyle w:val="TextBody"/>
        <w:bidi w:val="0"/>
        <w:spacing w:before="240" w:after="0"/>
        <w:jc w:val="both"/>
        <w:rPr>
          <w:rFonts w:ascii="Times New Roman" w:hAnsi="Times New Roman"/>
          <w:sz w:val="24"/>
        </w:rPr>
      </w:pPr>
      <w:r>
        <w:rPr>
          <w:rFonts w:ascii="Times New Roman" w:hAnsi="Times New Roman"/>
          <w:sz w:val="24"/>
        </w:rPr>
        <w:t xml:space="preserve">(3) all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 and </w:t>
      </w:r>
    </w:p>
    <w:p>
      <w:pPr>
        <w:pStyle w:val="TextBody"/>
        <w:bidi w:val="0"/>
        <w:spacing w:before="240" w:after="0"/>
        <w:jc w:val="both"/>
        <w:rPr>
          <w:rFonts w:ascii="Times New Roman" w:hAnsi="Times New Roman"/>
          <w:sz w:val="24"/>
        </w:rPr>
      </w:pPr>
      <w:r>
        <w:rPr>
          <w:rFonts w:ascii="Times New Roman" w:hAnsi="Times New Roman"/>
          <w:sz w:val="24"/>
        </w:rPr>
        <w:t xml:space="preserve">(4) the words “herein”, “hereof” and “hereunder” and other words of similar import refer to this Indenture as a whole and not to any particular Article, Section or other subdivision. </w:t>
      </w:r>
    </w:p>
    <w:p>
      <w:pPr>
        <w:pStyle w:val="TextBody"/>
        <w:bidi w:val="0"/>
        <w:spacing w:before="240" w:after="0"/>
        <w:jc w:val="both"/>
        <w:rPr>
          <w:rFonts w:ascii="Times New Roman" w:hAnsi="Times New Roman"/>
          <w:sz w:val="24"/>
        </w:rPr>
      </w:pPr>
      <w:r>
        <w:rPr>
          <w:rFonts w:ascii="Times New Roman" w:hAnsi="Times New Roman"/>
          <w:sz w:val="24"/>
        </w:rPr>
        <w:t xml:space="preserve">Certain terms used principally in Article Three, are defined in that Article. </w:t>
      </w:r>
    </w:p>
    <w:p>
      <w:pPr>
        <w:pStyle w:val="TextBody"/>
        <w:bidi w:val="0"/>
        <w:spacing w:before="240" w:after="0"/>
        <w:jc w:val="both"/>
        <w:rPr/>
      </w:pPr>
      <w:r>
        <w:rPr/>
        <w:t>“</w:t>
      </w:r>
      <w:r>
        <w:rPr>
          <w:rFonts w:ascii="Times New Roman" w:hAnsi="Times New Roman"/>
          <w:b/>
          <w:sz w:val="24"/>
        </w:rPr>
        <w:t>Act</w:t>
      </w:r>
      <w:r>
        <w:rPr>
          <w:rFonts w:ascii="Times New Roman" w:hAnsi="Times New Roman"/>
          <w:sz w:val="24"/>
        </w:rPr>
        <w:t xml:space="preserve">”, when used with respect to any Holder, has the meaning specified in Section 104. </w:t>
      </w:r>
    </w:p>
    <w:p>
      <w:pPr>
        <w:pStyle w:val="TextBody"/>
        <w:bidi w:val="0"/>
        <w:spacing w:before="240" w:after="0"/>
        <w:jc w:val="both"/>
        <w:rPr/>
      </w:pPr>
      <w:r>
        <w:rPr/>
        <w:t>“</w:t>
      </w:r>
      <w:r>
        <w:rPr>
          <w:rFonts w:ascii="Times New Roman" w:hAnsi="Times New Roman"/>
          <w:b/>
          <w:sz w:val="24"/>
        </w:rPr>
        <w:t>Additional Amounts</w:t>
      </w:r>
      <w:r>
        <w:rPr>
          <w:rFonts w:ascii="Times New Roman" w:hAnsi="Times New Roman"/>
          <w:sz w:val="24"/>
        </w:rPr>
        <w:t xml:space="preserve">” means any additional amounts which are required by this Indenture or by the terms of any Security established pursuant to Section 301, under circumstances specified herein or therein, to be paid by the Company and/or any Subsidiary Guarantors in respect of withholding or deduction for or on account of certain taxes, duties, levies, imposts, assessments or other governmental charges imposed on payments made under or with respect to such Security specified herein or therein. </w:t>
      </w:r>
    </w:p>
    <w:p>
      <w:pPr>
        <w:pStyle w:val="TextBody"/>
        <w:bidi w:val="0"/>
        <w:spacing w:before="240" w:after="0"/>
        <w:jc w:val="both"/>
        <w:rPr/>
      </w:pPr>
      <w:r>
        <w:rPr/>
        <w:t>“</w:t>
      </w:r>
      <w:r>
        <w:rPr>
          <w:rFonts w:ascii="Times New Roman" w:hAnsi="Times New Roman"/>
          <w:b/>
          <w:sz w:val="24"/>
        </w:rPr>
        <w:t>Affiliate</w:t>
      </w:r>
      <w:r>
        <w:rPr>
          <w:rFonts w:ascii="Times New Roman" w:hAnsi="Times New Roman"/>
          <w:sz w:val="24"/>
        </w:rPr>
        <w:t xml:space="preserv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- 3 -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sz w:val="24"/>
        </w:rPr>
        <w:t>Authenticating Agent</w:t>
      </w:r>
      <w:r>
        <w:rPr>
          <w:rFonts w:ascii="Times New Roman" w:hAnsi="Times New Roman"/>
          <w:sz w:val="24"/>
        </w:rPr>
        <w:t xml:space="preserve">” means any Person appointed by the Trustee to act on behalf of the Trustee pursuant to Section 611 to authenticate Securities. </w:t>
      </w:r>
    </w:p>
    <w:p>
      <w:pPr>
        <w:pStyle w:val="TextBody"/>
        <w:bidi w:val="0"/>
        <w:spacing w:before="240" w:after="0"/>
        <w:jc w:val="both"/>
        <w:rPr/>
      </w:pPr>
      <w:r>
        <w:rPr/>
        <w:t>“</w:t>
      </w:r>
      <w:r>
        <w:rPr>
          <w:rFonts w:ascii="Times New Roman" w:hAnsi="Times New Roman"/>
          <w:b/>
          <w:sz w:val="24"/>
        </w:rPr>
        <w:t>Authorized Newspaper</w:t>
      </w:r>
      <w:r>
        <w:rPr>
          <w:rFonts w:ascii="Times New Roman" w:hAnsi="Times New Roman"/>
          <w:sz w:val="24"/>
        </w:rPr>
        <w:t xml:space="preserve">”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 </w:t>
      </w:r>
    </w:p>
    <w:p>
      <w:pPr>
        <w:pStyle w:val="TextBody"/>
        <w:bidi w:val="0"/>
        <w:spacing w:before="240" w:after="0"/>
        <w:jc w:val="both"/>
        <w:rPr/>
      </w:pPr>
      <w:r>
        <w:rPr/>
        <w:t>“</w:t>
      </w:r>
      <w:r>
        <w:rPr>
          <w:rFonts w:ascii="Times New Roman" w:hAnsi="Times New Roman"/>
          <w:b/>
          <w:sz w:val="24"/>
        </w:rPr>
        <w:t>Bankruptcy Law</w:t>
      </w:r>
      <w:r>
        <w:rPr>
          <w:rFonts w:ascii="Times New Roman" w:hAnsi="Times New Roman"/>
          <w:sz w:val="24"/>
        </w:rPr>
        <w:t xml:space="preserve">” means Title 11, U.S. Code or any other U.S. federal or state law relating to bankruptcy, arrangement, insolvency, winding up, liquidation, receivership, reorganization or relief of debtors, or the Bankruptcy and Insolvency Act (Canada), the Companies’ Creditors Arrangement Act (Canada) or any other Canadian federal or provincial law relating to, or the law of any other jurisdiction relating to, bankruptcy, arrangement, insolvency, winding up, liquidation, receivership, reorganization or relief of debtors. </w:t>
      </w:r>
    </w:p>
    <w:p>
      <w:pPr>
        <w:pStyle w:val="TextBody"/>
        <w:bidi w:val="0"/>
        <w:spacing w:before="240" w:after="0"/>
        <w:jc w:val="both"/>
        <w:rPr/>
      </w:pPr>
      <w:r>
        <w:rPr/>
        <w:t>“</w:t>
      </w:r>
      <w:r>
        <w:rPr>
          <w:rFonts w:ascii="Times New Roman" w:hAnsi="Times New Roman"/>
          <w:b/>
          <w:sz w:val="24"/>
        </w:rPr>
        <w:t>Benefited Party</w:t>
      </w:r>
      <w:r>
        <w:rPr>
          <w:rFonts w:ascii="Times New Roman" w:hAnsi="Times New Roman"/>
          <w:sz w:val="24"/>
        </w:rPr>
        <w:t xml:space="preserve">” has the meaning specified in Section 1301. </w:t>
      </w:r>
    </w:p>
    <w:p>
      <w:pPr>
        <w:pStyle w:val="TextBody"/>
        <w:bidi w:val="0"/>
        <w:spacing w:before="240" w:after="0"/>
        <w:jc w:val="both"/>
        <w:rPr/>
      </w:pPr>
      <w:r>
        <w:rPr/>
        <w:t>“</w:t>
      </w:r>
      <w:r>
        <w:rPr>
          <w:rFonts w:ascii="Times New Roman" w:hAnsi="Times New Roman"/>
          <w:b/>
          <w:sz w:val="24"/>
        </w:rPr>
        <w:t>Board of Directors</w:t>
      </w:r>
      <w:r>
        <w:rPr>
          <w:rFonts w:ascii="Times New Roman" w:hAnsi="Times New Roman"/>
          <w:sz w:val="24"/>
        </w:rPr>
        <w:t xml:space="preserve">” means either the board of directors of the Company or any duly authorized committee of that board. </w:t>
      </w:r>
    </w:p>
    <w:p>
      <w:pPr>
        <w:pStyle w:val="TextBody"/>
        <w:bidi w:val="0"/>
        <w:spacing w:before="240" w:after="0"/>
        <w:jc w:val="both"/>
        <w:rPr/>
      </w:pPr>
      <w:r>
        <w:rPr/>
        <w:t>“</w:t>
      </w:r>
      <w:r>
        <w:rPr>
          <w:rFonts w:ascii="Times New Roman" w:hAnsi="Times New Roman"/>
          <w:b/>
          <w:sz w:val="24"/>
        </w:rPr>
        <w:t>Board Resolution</w:t>
      </w:r>
      <w:r>
        <w:rPr>
          <w:rFonts w:ascii="Times New Roman" w:hAnsi="Times New Roman"/>
          <w:sz w:val="24"/>
        </w:rPr>
        <w:t xml:space="preserve">” means a copy of a resolution certified by an officer of the Company to have been duly adopted by the Board of Directors and to be in full force and effect on the date of such certification and delivered to the Trustee. </w:t>
      </w:r>
    </w:p>
    <w:p>
      <w:pPr>
        <w:pStyle w:val="TextBody"/>
        <w:bidi w:val="0"/>
        <w:spacing w:before="240" w:after="0"/>
        <w:jc w:val="both"/>
        <w:rPr/>
      </w:pPr>
      <w:r>
        <w:rPr/>
        <w:t>“</w:t>
      </w:r>
      <w:r>
        <w:rPr>
          <w:rFonts w:ascii="Times New Roman" w:hAnsi="Times New Roman"/>
          <w:b/>
          <w:sz w:val="24"/>
        </w:rPr>
        <w:t>Business Day</w:t>
      </w:r>
      <w:r>
        <w:rPr>
          <w:rFonts w:ascii="Times New Roman" w:hAnsi="Times New Roman"/>
          <w:sz w:val="24"/>
        </w:rPr>
        <w:t xml:space="preserve">”, when used with respect to any Place of Payment or any other location referred to in this Indenture, expressly or impliedly, which shall include Toronto, Ontario and New York, New York, hereunder, or in the Securities, means, unless otherwise specified with respect to any Securities pursuant to Section 301, each Monday, Tuesday, Wednesday, Thursday and Friday which is not a day on which banking institutions in that Place of Payment or other such location are authorized or obligated by law or executive order to close. </w:t>
      </w:r>
    </w:p>
    <w:p>
      <w:pPr>
        <w:pStyle w:val="TextBody"/>
        <w:bidi w:val="0"/>
        <w:spacing w:before="240" w:after="0"/>
        <w:jc w:val="both"/>
        <w:rPr/>
      </w:pPr>
      <w:r>
        <w:rPr/>
        <w:t>“</w:t>
      </w:r>
      <w:r>
        <w:rPr>
          <w:rFonts w:ascii="Times New Roman" w:hAnsi="Times New Roman"/>
          <w:b/>
          <w:sz w:val="24"/>
        </w:rPr>
        <w:t>Canadian Trustee</w:t>
      </w:r>
      <w:r>
        <w:rPr>
          <w:rFonts w:ascii="Times New Roman" w:hAnsi="Times New Roman"/>
          <w:sz w:val="24"/>
        </w:rPr>
        <w:t xml:space="preserve">” means the Person named as the “Canadian Trustee” in the first paragraph of this Indenture until a successor Canadian Trustee shall have become such pursuant to the applicable provisions of this Indenture, and thereafter “Canadian Trustee” shall mean or include each Person who is then a Trustee hereunder. </w:t>
      </w:r>
    </w:p>
    <w:p>
      <w:pPr>
        <w:pStyle w:val="TextBody"/>
        <w:bidi w:val="0"/>
        <w:spacing w:before="240" w:after="0"/>
        <w:jc w:val="both"/>
        <w:rPr/>
      </w:pPr>
      <w:r>
        <w:rPr/>
        <w:t>“</w:t>
      </w:r>
      <w:r>
        <w:rPr>
          <w:rFonts w:ascii="Times New Roman" w:hAnsi="Times New Roman"/>
          <w:b/>
          <w:sz w:val="24"/>
        </w:rPr>
        <w:t>Capital Stock</w:t>
      </w:r>
      <w:r>
        <w:rPr>
          <w:rFonts w:ascii="Times New Roman" w:hAnsi="Times New Roman"/>
          <w:sz w:val="24"/>
        </w:rPr>
        <w:t xml:space="preserve">” of any Person means any and all shares, units, interests, participations or other equivalents (however designated) of corporate stock or other equity participations, including partnership interests, whether general or limited, of such Person. </w:t>
      </w:r>
    </w:p>
    <w:p>
      <w:pPr>
        <w:pStyle w:val="TextBody"/>
        <w:bidi w:val="0"/>
        <w:spacing w:before="240" w:after="0"/>
        <w:jc w:val="both"/>
        <w:rPr/>
      </w:pPr>
      <w:r>
        <w:rPr/>
        <w:t>“</w:t>
      </w:r>
      <w:r>
        <w:rPr>
          <w:rFonts w:ascii="Times New Roman" w:hAnsi="Times New Roman"/>
          <w:b/>
          <w:sz w:val="24"/>
        </w:rPr>
        <w:t>CDS</w:t>
      </w:r>
      <w:r>
        <w:rPr>
          <w:rFonts w:ascii="Times New Roman" w:hAnsi="Times New Roman"/>
          <w:sz w:val="24"/>
        </w:rPr>
        <w:t xml:space="preserve">” means CDS Clearing and Depository Services Inc., or its successor. </w:t>
      </w:r>
    </w:p>
    <w:p>
      <w:pPr>
        <w:pStyle w:val="TextBody"/>
        <w:bidi w:val="0"/>
        <w:spacing w:before="240" w:after="0"/>
        <w:jc w:val="both"/>
        <w:rPr/>
      </w:pPr>
      <w:r>
        <w:rPr/>
        <w:t>“</w:t>
      </w:r>
      <w:r>
        <w:rPr>
          <w:rFonts w:ascii="Times New Roman" w:hAnsi="Times New Roman"/>
          <w:b/>
          <w:sz w:val="24"/>
        </w:rPr>
        <w:t>Central Register</w:t>
      </w:r>
      <w:r>
        <w:rPr>
          <w:rFonts w:ascii="Times New Roman" w:hAnsi="Times New Roman"/>
          <w:sz w:val="24"/>
        </w:rPr>
        <w:t xml:space="preserve">” has the meaning specified in Section 305.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- 4 -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sz w:val="24"/>
        </w:rPr>
        <w:t>Central Security Registrar</w:t>
      </w:r>
      <w:r>
        <w:rPr>
          <w:rFonts w:ascii="Times New Roman" w:hAnsi="Times New Roman"/>
          <w:sz w:val="24"/>
        </w:rPr>
        <w:t>” has the meaning specified in Section 305. “</w:t>
      </w:r>
      <w:r>
        <w:rPr>
          <w:rFonts w:ascii="Times New Roman" w:hAnsi="Times New Roman"/>
          <w:b/>
          <w:sz w:val="24"/>
        </w:rPr>
        <w:t>Commission</w:t>
      </w:r>
      <w:r>
        <w:rPr>
          <w:rFonts w:ascii="Times New Roman" w:hAnsi="Times New Roman"/>
          <w:sz w:val="24"/>
        </w:rPr>
        <w:t xml:space="preserve">” means the U.S.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 </w:t>
      </w:r>
    </w:p>
    <w:p>
      <w:pPr>
        <w:pStyle w:val="TextBody"/>
        <w:bidi w:val="0"/>
        <w:spacing w:before="240" w:after="0"/>
        <w:jc w:val="both"/>
        <w:rPr/>
      </w:pPr>
      <w:r>
        <w:rPr/>
        <w:t>“</w:t>
      </w:r>
      <w:r>
        <w:rPr>
          <w:rFonts w:ascii="Times New Roman" w:hAnsi="Times New Roman"/>
          <w:b/>
          <w:sz w:val="24"/>
        </w:rPr>
        <w:t>Company</w:t>
      </w:r>
      <w:r>
        <w:rPr>
          <w:rFonts w:ascii="Times New Roman" w:hAnsi="Times New Roman"/>
          <w:sz w:val="24"/>
        </w:rPr>
        <w:t xml:space="preserve">” means the Person named as the “Company” in the first paragraph of this Indenture and any Co-Obligor, until a successor Person to either of them shall have become such pursuant to the applicable provisions of this Indenture, and thereafter “Company” shall include such successor Person and not the predecessor to such Person. </w:t>
      </w:r>
    </w:p>
    <w:p>
      <w:pPr>
        <w:pStyle w:val="TextBody"/>
        <w:bidi w:val="0"/>
        <w:spacing w:before="240" w:after="0"/>
        <w:jc w:val="both"/>
        <w:rPr/>
      </w:pPr>
      <w:r>
        <w:rPr/>
        <w:t>“</w:t>
      </w:r>
      <w:r>
        <w:rPr>
          <w:rFonts w:ascii="Times New Roman" w:hAnsi="Times New Roman"/>
          <w:b/>
          <w:sz w:val="24"/>
        </w:rPr>
        <w:t>Company Request</w:t>
      </w:r>
      <w:r>
        <w:rPr>
          <w:rFonts w:ascii="Times New Roman" w:hAnsi="Times New Roman"/>
          <w:sz w:val="24"/>
        </w:rPr>
        <w:t>” or “</w:t>
      </w:r>
      <w:r>
        <w:rPr>
          <w:rFonts w:ascii="Times New Roman" w:hAnsi="Times New Roman"/>
          <w:b/>
          <w:sz w:val="24"/>
        </w:rPr>
        <w:t>Company Order</w:t>
      </w:r>
      <w:r>
        <w:rPr>
          <w:rFonts w:ascii="Times New Roman" w:hAnsi="Times New Roman"/>
          <w:sz w:val="24"/>
        </w:rPr>
        <w:t xml:space="preserve">” means a written request or order signed in the name of the Company by an officer of the Company and delivered to the Trustee. </w:t>
      </w:r>
    </w:p>
    <w:p>
      <w:pPr>
        <w:pStyle w:val="TextBody"/>
        <w:bidi w:val="0"/>
        <w:spacing w:before="240" w:after="0"/>
        <w:jc w:val="both"/>
        <w:rPr/>
      </w:pPr>
      <w:r>
        <w:rPr/>
        <w:t>“</w:t>
      </w:r>
      <w:r>
        <w:rPr>
          <w:rFonts w:ascii="Times New Roman" w:hAnsi="Times New Roman"/>
          <w:b/>
          <w:sz w:val="24"/>
        </w:rPr>
        <w:t>Conversion Event</w:t>
      </w:r>
      <w:r>
        <w:rPr>
          <w:rFonts w:ascii="Times New Roman" w:hAnsi="Times New Roman"/>
          <w:sz w:val="24"/>
        </w:rPr>
        <w:t xml:space="preserve">” means the cessation of use of (i) a Foreign Currency (other than the Euro or other Currency unit) both by the government of the country which issued such Currency and by a central bank or other public institution of or within the international banking community for the settlement of transactions, (ii) the Euro or (iii) any Currency unit (or composite Currency) other than the Euro for the purposes for which it was established. </w:t>
      </w:r>
    </w:p>
    <w:p>
      <w:pPr>
        <w:pStyle w:val="TextBody"/>
        <w:bidi w:val="0"/>
        <w:spacing w:before="240" w:after="0"/>
        <w:jc w:val="both"/>
        <w:rPr/>
      </w:pPr>
      <w:r>
        <w:rPr/>
        <w:t>“</w:t>
      </w:r>
      <w:r>
        <w:rPr>
          <w:rFonts w:ascii="Times New Roman" w:hAnsi="Times New Roman"/>
          <w:b/>
          <w:sz w:val="24"/>
        </w:rPr>
        <w:t>Co-Obligor</w:t>
      </w:r>
      <w:r>
        <w:rPr>
          <w:rFonts w:ascii="Times New Roman" w:hAnsi="Times New Roman"/>
          <w:sz w:val="24"/>
        </w:rPr>
        <w:t xml:space="preserve">” has the meaning specified in Section 901(a)(2). </w:t>
      </w:r>
    </w:p>
    <w:p>
      <w:pPr>
        <w:pStyle w:val="TextBody"/>
        <w:bidi w:val="0"/>
        <w:spacing w:before="240" w:after="0"/>
        <w:jc w:val="both"/>
        <w:rPr/>
      </w:pPr>
      <w:r>
        <w:rPr/>
        <w:t>“</w:t>
      </w:r>
      <w:r>
        <w:rPr>
          <w:rFonts w:ascii="Times New Roman" w:hAnsi="Times New Roman"/>
          <w:b/>
          <w:sz w:val="24"/>
        </w:rPr>
        <w:t>Corporate Trust Office</w:t>
      </w:r>
      <w:r>
        <w:rPr>
          <w:rFonts w:ascii="Times New Roman" w:hAnsi="Times New Roman"/>
          <w:sz w:val="24"/>
        </w:rPr>
        <w:t xml:space="preserve">” means the principal corporate trust office of a Trustee, at which at any particular time its corporate trust business shall be administered, which office on the date of execution of this Indenture is the applicable address specified in the first paragraph of this Indenture, except that with respect to presentation of Securities for payment or for registration of transfer or exchange, such term shall mean the office or agency of such Trustee at which, at any particular time, its corporate agency business shall be conducted. </w:t>
      </w:r>
    </w:p>
    <w:p>
      <w:pPr>
        <w:pStyle w:val="TextBody"/>
        <w:bidi w:val="0"/>
        <w:spacing w:before="240" w:after="0"/>
        <w:jc w:val="both"/>
        <w:rPr/>
      </w:pPr>
      <w:r>
        <w:rPr/>
        <w:t>“</w:t>
      </w:r>
      <w:r>
        <w:rPr>
          <w:rFonts w:ascii="Times New Roman" w:hAnsi="Times New Roman"/>
          <w:b/>
          <w:sz w:val="24"/>
        </w:rPr>
        <w:t>corporation</w:t>
      </w:r>
      <w:r>
        <w:rPr>
          <w:rFonts w:ascii="Times New Roman" w:hAnsi="Times New Roman"/>
          <w:sz w:val="24"/>
        </w:rPr>
        <w:t xml:space="preserve">” includes corporations, associations, companies and business trusts. </w:t>
      </w:r>
    </w:p>
    <w:p>
      <w:pPr>
        <w:pStyle w:val="TextBody"/>
        <w:bidi w:val="0"/>
        <w:spacing w:before="240" w:after="0"/>
        <w:jc w:val="both"/>
        <w:rPr/>
      </w:pPr>
      <w:r>
        <w:rPr/>
        <w:t>“</w:t>
      </w:r>
      <w:r>
        <w:rPr>
          <w:rFonts w:ascii="Times New Roman" w:hAnsi="Times New Roman"/>
          <w:b/>
          <w:sz w:val="24"/>
        </w:rPr>
        <w:t>covenant defeasance</w:t>
      </w:r>
      <w:r>
        <w:rPr>
          <w:rFonts w:ascii="Times New Roman" w:hAnsi="Times New Roman"/>
          <w:sz w:val="24"/>
        </w:rPr>
        <w:t xml:space="preserve">” has the meaning specified in Section 1203. </w:t>
      </w:r>
    </w:p>
    <w:p>
      <w:pPr>
        <w:pStyle w:val="TextBody"/>
        <w:bidi w:val="0"/>
        <w:spacing w:before="240" w:after="0"/>
        <w:jc w:val="both"/>
        <w:rPr/>
      </w:pPr>
      <w:r>
        <w:rPr/>
        <w:t>“</w:t>
      </w:r>
      <w:r>
        <w:rPr>
          <w:rFonts w:ascii="Times New Roman" w:hAnsi="Times New Roman"/>
          <w:b/>
          <w:sz w:val="24"/>
        </w:rPr>
        <w:t>Currency</w:t>
      </w:r>
      <w:r>
        <w:rPr>
          <w:rFonts w:ascii="Times New Roman" w:hAnsi="Times New Roman"/>
          <w:sz w:val="24"/>
        </w:rPr>
        <w:t xml:space="preserve">” means any currency or currencies, composite currency or currency unit or currency units, including, without limitation, the Euro, issued by the government of one or more countries or by any recognized confederation or association of such governments. </w:t>
      </w:r>
    </w:p>
    <w:p>
      <w:pPr>
        <w:pStyle w:val="TextBody"/>
        <w:bidi w:val="0"/>
        <w:spacing w:before="240" w:after="0"/>
        <w:jc w:val="both"/>
        <w:rPr/>
      </w:pPr>
      <w:r>
        <w:rPr/>
        <w:t>“</w:t>
      </w:r>
      <w:r>
        <w:rPr>
          <w:rFonts w:ascii="Times New Roman" w:hAnsi="Times New Roman"/>
          <w:b/>
          <w:sz w:val="24"/>
        </w:rPr>
        <w:t>Debt</w:t>
      </w:r>
      <w:r>
        <w:rPr>
          <w:rFonts w:ascii="Times New Roman" w:hAnsi="Times New Roman"/>
          <w:sz w:val="24"/>
        </w:rPr>
        <w:t xml:space="preserve">” means notes, bonds, debentures or other similar evidences of indebtedness for money borrowed. </w:t>
      </w:r>
    </w:p>
    <w:p>
      <w:pPr>
        <w:pStyle w:val="TextBody"/>
        <w:bidi w:val="0"/>
        <w:spacing w:before="240" w:after="0"/>
        <w:jc w:val="both"/>
        <w:rPr/>
      </w:pPr>
      <w:r>
        <w:rPr/>
        <w:t>“</w:t>
      </w:r>
      <w:r>
        <w:rPr>
          <w:rFonts w:ascii="Times New Roman" w:hAnsi="Times New Roman"/>
          <w:b/>
          <w:sz w:val="24"/>
        </w:rPr>
        <w:t>Default</w:t>
      </w:r>
      <w:r>
        <w:rPr>
          <w:rFonts w:ascii="Times New Roman" w:hAnsi="Times New Roman"/>
          <w:sz w:val="24"/>
        </w:rPr>
        <w:t xml:space="preserve">” means any event which is, or after notice or passage of time or both would be, an Event of Default with respect to Securities of a certain series. </w:t>
      </w:r>
    </w:p>
    <w:p>
      <w:pPr>
        <w:pStyle w:val="TextBody"/>
        <w:bidi w:val="0"/>
        <w:spacing w:before="240" w:after="0"/>
        <w:jc w:val="both"/>
        <w:rPr/>
      </w:pPr>
      <w:r>
        <w:rPr/>
        <w:t>“</w:t>
      </w:r>
      <w:r>
        <w:rPr>
          <w:rFonts w:ascii="Times New Roman" w:hAnsi="Times New Roman"/>
          <w:b/>
          <w:sz w:val="24"/>
        </w:rPr>
        <w:t>Defaulted Interest</w:t>
      </w:r>
      <w:r>
        <w:rPr>
          <w:rFonts w:ascii="Times New Roman" w:hAnsi="Times New Roman"/>
          <w:sz w:val="24"/>
        </w:rPr>
        <w:t xml:space="preserve">” has the meaning specified in Section 307. </w:t>
      </w:r>
    </w:p>
    <w:p>
      <w:pPr>
        <w:pStyle w:val="TextBody"/>
        <w:bidi w:val="0"/>
        <w:spacing w:before="240" w:after="0"/>
        <w:jc w:val="both"/>
        <w:rPr/>
      </w:pPr>
      <w:r>
        <w:rPr/>
        <w:t>“</w:t>
      </w:r>
      <w:r>
        <w:rPr>
          <w:rFonts w:ascii="Times New Roman" w:hAnsi="Times New Roman"/>
          <w:b/>
          <w:sz w:val="24"/>
        </w:rPr>
        <w:t>defeasance</w:t>
      </w:r>
      <w:r>
        <w:rPr>
          <w:rFonts w:ascii="Times New Roman" w:hAnsi="Times New Roman"/>
          <w:sz w:val="24"/>
        </w:rPr>
        <w:t xml:space="preserve">” has the meaning specified in Section 1202.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- 5 -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sz w:val="24"/>
        </w:rPr>
        <w:t>Depositary</w:t>
      </w:r>
      <w:r>
        <w:rPr>
          <w:rFonts w:ascii="Times New Roman" w:hAnsi="Times New Roman"/>
          <w:sz w:val="24"/>
        </w:rPr>
        <w:t xml:space="preserve">” means with respect to the Securities of any series issuable or issued in the form of one or more Securities, the Person designated as Depositary by the Company pursuant to Section 305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 </w:t>
      </w:r>
    </w:p>
    <w:p>
      <w:pPr>
        <w:pStyle w:val="TextBody"/>
        <w:bidi w:val="0"/>
        <w:spacing w:before="240" w:after="0"/>
        <w:jc w:val="both"/>
        <w:rPr/>
      </w:pPr>
      <w:r>
        <w:rPr/>
        <w:t>“</w:t>
      </w:r>
      <w:r>
        <w:rPr>
          <w:rFonts w:ascii="Times New Roman" w:hAnsi="Times New Roman"/>
          <w:b/>
          <w:sz w:val="24"/>
        </w:rPr>
        <w:t>Dollar</w:t>
      </w:r>
      <w:r>
        <w:rPr>
          <w:rFonts w:ascii="Times New Roman" w:hAnsi="Times New Roman"/>
          <w:sz w:val="24"/>
        </w:rPr>
        <w:t>” or “</w:t>
      </w:r>
      <w:r>
        <w:rPr>
          <w:rFonts w:ascii="Times New Roman" w:hAnsi="Times New Roman"/>
          <w:b/>
          <w:sz w:val="24"/>
        </w:rPr>
        <w:t>$</w:t>
      </w:r>
      <w:r>
        <w:rPr>
          <w:rFonts w:ascii="Times New Roman" w:hAnsi="Times New Roman"/>
          <w:sz w:val="24"/>
        </w:rPr>
        <w:t xml:space="preserve">” means a dollar or other equivalent unit in such coin or Currency of the United States of America as at the time shall be legal tender for the payment of public and private debts. </w:t>
      </w:r>
    </w:p>
    <w:p>
      <w:pPr>
        <w:pStyle w:val="TextBody"/>
        <w:bidi w:val="0"/>
        <w:spacing w:before="240" w:after="0"/>
        <w:jc w:val="both"/>
        <w:rPr/>
      </w:pPr>
      <w:r>
        <w:rPr/>
        <w:t>“</w:t>
      </w:r>
      <w:r>
        <w:rPr>
          <w:rFonts w:ascii="Times New Roman" w:hAnsi="Times New Roman"/>
          <w:b/>
          <w:sz w:val="24"/>
        </w:rPr>
        <w:t>DTC</w:t>
      </w:r>
      <w:r>
        <w:rPr>
          <w:rFonts w:ascii="Times New Roman" w:hAnsi="Times New Roman"/>
          <w:sz w:val="24"/>
        </w:rPr>
        <w:t xml:space="preserve">” means The Depository Trust Company, or its successor. </w:t>
      </w:r>
    </w:p>
    <w:p>
      <w:pPr>
        <w:pStyle w:val="TextBody"/>
        <w:bidi w:val="0"/>
        <w:spacing w:before="240" w:after="0"/>
        <w:jc w:val="both"/>
        <w:rPr/>
      </w:pPr>
      <w:r>
        <w:rPr/>
        <w:t>“</w:t>
      </w:r>
      <w:r>
        <w:rPr>
          <w:rFonts w:ascii="Times New Roman" w:hAnsi="Times New Roman"/>
          <w:b/>
          <w:sz w:val="24"/>
        </w:rPr>
        <w:t>Euro</w:t>
      </w:r>
      <w:r>
        <w:rPr>
          <w:rFonts w:ascii="Times New Roman" w:hAnsi="Times New Roman"/>
          <w:sz w:val="24"/>
        </w:rPr>
        <w:t xml:space="preserve">” means the single Currency of the participating member states from time to time of the European Union described in legislation of the European Counsel for the Operation of a single unified European Currency (whether known as the Euro or otherwise). </w:t>
      </w:r>
    </w:p>
    <w:p>
      <w:pPr>
        <w:pStyle w:val="TextBody"/>
        <w:bidi w:val="0"/>
        <w:spacing w:before="240" w:after="0"/>
        <w:jc w:val="both"/>
        <w:rPr/>
      </w:pPr>
      <w:r>
        <w:rPr/>
        <w:t>“</w:t>
      </w:r>
      <w:r>
        <w:rPr>
          <w:rFonts w:ascii="Times New Roman" w:hAnsi="Times New Roman"/>
          <w:b/>
          <w:sz w:val="24"/>
        </w:rPr>
        <w:t>Event of Default</w:t>
      </w:r>
      <w:r>
        <w:rPr>
          <w:rFonts w:ascii="Times New Roman" w:hAnsi="Times New Roman"/>
          <w:sz w:val="24"/>
        </w:rPr>
        <w:t xml:space="preserve">” has the meaning specified in Section 501. </w:t>
      </w:r>
    </w:p>
    <w:p>
      <w:pPr>
        <w:pStyle w:val="TextBody"/>
        <w:bidi w:val="0"/>
        <w:spacing w:before="240" w:after="0"/>
        <w:jc w:val="both"/>
        <w:rPr/>
      </w:pPr>
      <w:r>
        <w:rPr/>
        <w:t>“</w:t>
      </w:r>
      <w:r>
        <w:rPr>
          <w:rFonts w:ascii="Times New Roman" w:hAnsi="Times New Roman"/>
          <w:b/>
          <w:sz w:val="24"/>
        </w:rPr>
        <w:t>Exchange Act</w:t>
      </w:r>
      <w:r>
        <w:rPr>
          <w:rFonts w:ascii="Times New Roman" w:hAnsi="Times New Roman"/>
          <w:sz w:val="24"/>
        </w:rPr>
        <w:t xml:space="preserve">” means the Securities Exchange Act of 1934, as amended. </w:t>
      </w:r>
    </w:p>
    <w:p>
      <w:pPr>
        <w:pStyle w:val="TextBody"/>
        <w:bidi w:val="0"/>
        <w:spacing w:before="240" w:after="0"/>
        <w:jc w:val="both"/>
        <w:rPr/>
      </w:pPr>
      <w:r>
        <w:rPr/>
        <w:t>“</w:t>
      </w:r>
      <w:r>
        <w:rPr>
          <w:rFonts w:ascii="Times New Roman" w:hAnsi="Times New Roman"/>
          <w:b/>
          <w:sz w:val="24"/>
        </w:rPr>
        <w:t>Exchange Rate Agent</w:t>
      </w:r>
      <w:r>
        <w:rPr>
          <w:rFonts w:ascii="Times New Roman" w:hAnsi="Times New Roman"/>
          <w:sz w:val="24"/>
        </w:rPr>
        <w:t xml:space="preserve">” means, with respect to Securities of or within any series, unless otherwise specified with respect to any Securities pursuant to Section 301, a New York Clearing House bank, designated pursuant to Section 301 or Section 311. </w:t>
      </w:r>
    </w:p>
    <w:p>
      <w:pPr>
        <w:pStyle w:val="TextBody"/>
        <w:bidi w:val="0"/>
        <w:spacing w:before="240" w:after="0"/>
        <w:jc w:val="both"/>
        <w:rPr/>
      </w:pPr>
      <w:r>
        <w:rPr/>
        <w:t>“</w:t>
      </w:r>
      <w:r>
        <w:rPr>
          <w:rFonts w:ascii="Times New Roman" w:hAnsi="Times New Roman"/>
          <w:b/>
          <w:sz w:val="24"/>
        </w:rPr>
        <w:t>Exchange Rate Officer</w:t>
      </w:r>
      <w:r>
        <w:rPr>
          <w:rFonts w:ascii="Times New Roman" w:hAnsi="Times New Roman"/>
          <w:sz w:val="24"/>
        </w:rPr>
        <w:t>’</w:t>
      </w:r>
      <w:r>
        <w:rPr>
          <w:rFonts w:ascii="Times New Roman" w:hAnsi="Times New Roman"/>
          <w:b/>
          <w:sz w:val="24"/>
        </w:rPr>
        <w:t>s Certificate</w:t>
      </w:r>
      <w:r>
        <w:rPr>
          <w:rFonts w:ascii="Times New Roman" w:hAnsi="Times New Roman"/>
          <w:sz w:val="24"/>
        </w:rPr>
        <w:t xml:space="preserve">” means a tested telex or a certificate setting forth (i) the applicable Market Exchange Rate and (ii) 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sent (in the case of a telex) or signed (in the case of a certificate) by an officer of the Company. </w:t>
      </w:r>
    </w:p>
    <w:p>
      <w:pPr>
        <w:pStyle w:val="TextBody"/>
        <w:bidi w:val="0"/>
        <w:spacing w:before="240" w:after="0"/>
        <w:jc w:val="both"/>
        <w:rPr/>
      </w:pPr>
      <w:r>
        <w:rPr/>
        <w:t>“</w:t>
      </w:r>
      <w:r>
        <w:rPr>
          <w:rFonts w:ascii="Times New Roman" w:hAnsi="Times New Roman"/>
          <w:b/>
          <w:sz w:val="24"/>
        </w:rPr>
        <w:t>Executed Documentation</w:t>
      </w:r>
      <w:r>
        <w:rPr>
          <w:rFonts w:ascii="Times New Roman" w:hAnsi="Times New Roman"/>
          <w:sz w:val="24"/>
        </w:rPr>
        <w:t xml:space="preserve">” has the meaning specified in Section 120. </w:t>
      </w:r>
    </w:p>
    <w:p>
      <w:pPr>
        <w:pStyle w:val="TextBody"/>
        <w:bidi w:val="0"/>
        <w:spacing w:before="120" w:after="0"/>
        <w:jc w:val="both"/>
        <w:rPr/>
      </w:pPr>
      <w:r>
        <w:rPr/>
        <w:t>“</w:t>
      </w:r>
      <w:r>
        <w:rPr>
          <w:rFonts w:ascii="Times New Roman" w:hAnsi="Times New Roman"/>
          <w:b/>
          <w:sz w:val="24"/>
        </w:rPr>
        <w:t>First Currency</w:t>
      </w:r>
      <w:r>
        <w:rPr>
          <w:rFonts w:ascii="Times New Roman" w:hAnsi="Times New Roman"/>
          <w:sz w:val="24"/>
        </w:rPr>
        <w:t xml:space="preserve">” has the meaning specified in Section 115. </w:t>
      </w:r>
    </w:p>
    <w:p>
      <w:pPr>
        <w:pStyle w:val="TextBody"/>
        <w:bidi w:val="0"/>
        <w:spacing w:before="240" w:after="0"/>
        <w:jc w:val="both"/>
        <w:rPr/>
      </w:pPr>
      <w:r>
        <w:rPr/>
        <w:t>“</w:t>
      </w:r>
      <w:r>
        <w:rPr>
          <w:rFonts w:ascii="Times New Roman" w:hAnsi="Times New Roman"/>
          <w:b/>
          <w:sz w:val="24"/>
        </w:rPr>
        <w:t>Foreign Currency</w:t>
      </w:r>
      <w:r>
        <w:rPr>
          <w:rFonts w:ascii="Times New Roman" w:hAnsi="Times New Roman"/>
          <w:sz w:val="24"/>
        </w:rPr>
        <w:t xml:space="preserve">” means any Currency other than Currency of the United States. </w:t>
      </w:r>
    </w:p>
    <w:p>
      <w:pPr>
        <w:pStyle w:val="TextBody"/>
        <w:bidi w:val="0"/>
        <w:spacing w:before="240" w:after="0"/>
        <w:jc w:val="both"/>
        <w:rPr/>
      </w:pPr>
      <w:bookmarkStart w:id="4" w:name="ex99_1toc528636_4"/>
      <w:bookmarkEnd w:id="4"/>
      <w:r>
        <w:rPr/>
        <w:t>“</w:t>
      </w:r>
      <w:r>
        <w:rPr>
          <w:rFonts w:ascii="Times New Roman" w:hAnsi="Times New Roman"/>
          <w:b/>
          <w:sz w:val="24"/>
        </w:rPr>
        <w:t>GAAP</w:t>
      </w:r>
      <w:r>
        <w:rPr>
          <w:rFonts w:ascii="Times New Roman" w:hAnsi="Times New Roman"/>
          <w:sz w:val="24"/>
        </w:rPr>
        <w:t xml:space="preserve">” means generally accepted accounting principles which are in effect from time to time in Canada (or, if the Company hereafter determines to prepare its principal consolidated financial statements in accordance with generally accepted accounting principles which are in effect from time to time in the United States, such principles). </w:t>
      </w:r>
    </w:p>
    <w:p>
      <w:pPr>
        <w:pStyle w:val="TextBody"/>
        <w:bidi w:val="0"/>
        <w:spacing w:before="240" w:after="0"/>
        <w:jc w:val="both"/>
        <w:rPr/>
      </w:pPr>
      <w:bookmarkStart w:id="5" w:name="ex99_1toc528636_5"/>
      <w:bookmarkEnd w:id="5"/>
      <w:r>
        <w:rPr/>
        <w:t>“</w:t>
      </w:r>
      <w:r>
        <w:rPr>
          <w:rFonts w:ascii="Times New Roman" w:hAnsi="Times New Roman"/>
          <w:b/>
          <w:sz w:val="24"/>
        </w:rPr>
        <w:t>Government Obligations</w:t>
      </w:r>
      <w:r>
        <w:rPr>
          <w:rFonts w:ascii="Times New Roman" w:hAnsi="Times New Roman"/>
          <w:sz w:val="24"/>
        </w:rPr>
        <w:t xml:space="preserve">” means, unless otherwise specified with respect to any series of Securities pursuant to Section 301, securities which are (i) direct obligations of the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government which issued the Currency in which the Securities of a particular series are payable or (ii) obligations of a Person controlled or supervised by and acting as an agency or instrumentality of the government which issued the Currency in which the Securities of such series are payable, the payment of which is unconditionally guaranteed by such government, which, in either case, are full faith and credit obligations of such government payable in such Currency and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Times New Roman" w:hAnsi="Times New Roman"/>
          <w:sz w:val="24"/>
          <w:u w:val="single"/>
        </w:rPr>
        <w:t>provided</w:t>
      </w:r>
      <w:r>
        <w:rPr>
          <w:rFonts w:ascii="Times New Roman" w:hAnsi="Times New Roman"/>
          <w:sz w:val="24"/>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or principal of the Government Obligation evidenced by such depository receipt. </w:t>
      </w:r>
    </w:p>
    <w:p>
      <w:pPr>
        <w:pStyle w:val="TextBody"/>
        <w:bidi w:val="0"/>
        <w:spacing w:before="240" w:after="0"/>
        <w:jc w:val="both"/>
        <w:rPr/>
      </w:pPr>
      <w:bookmarkStart w:id="6" w:name="ex99_1toc528636_6"/>
      <w:bookmarkEnd w:id="6"/>
      <w:r>
        <w:rPr/>
        <w:t>“</w:t>
      </w:r>
      <w:r>
        <w:rPr>
          <w:rFonts w:ascii="Times New Roman" w:hAnsi="Times New Roman"/>
          <w:b/>
          <w:sz w:val="24"/>
        </w:rPr>
        <w:t>Guarantee</w:t>
      </w:r>
      <w:r>
        <w:rPr>
          <w:rFonts w:ascii="Times New Roman" w:hAnsi="Times New Roman"/>
          <w:sz w:val="24"/>
        </w:rPr>
        <w:t xml:space="preserve">” means the guaranty of the Guaranteed Obligations by each of the Subsidiary Guarantors pursuant to Article Thirteen. </w:t>
      </w:r>
    </w:p>
    <w:p>
      <w:pPr>
        <w:pStyle w:val="TextBody"/>
        <w:bidi w:val="0"/>
        <w:spacing w:before="240" w:after="0"/>
        <w:jc w:val="both"/>
        <w:rPr/>
      </w:pPr>
      <w:bookmarkStart w:id="7" w:name="ex99_1toc528636_7"/>
      <w:bookmarkEnd w:id="7"/>
      <w:r>
        <w:rPr/>
        <w:t>“</w:t>
      </w:r>
      <w:r>
        <w:rPr>
          <w:rFonts w:ascii="Times New Roman" w:hAnsi="Times New Roman"/>
          <w:b/>
          <w:sz w:val="24"/>
        </w:rPr>
        <w:t>Guaranteed Obligations</w:t>
      </w:r>
      <w:r>
        <w:rPr>
          <w:rFonts w:ascii="Times New Roman" w:hAnsi="Times New Roman"/>
          <w:sz w:val="24"/>
        </w:rPr>
        <w:t xml:space="preserve">” has the meaning specified in Section 1301. </w:t>
      </w:r>
    </w:p>
    <w:p>
      <w:pPr>
        <w:pStyle w:val="TextBody"/>
        <w:bidi w:val="0"/>
        <w:spacing w:before="240" w:after="0"/>
        <w:jc w:val="both"/>
        <w:rPr/>
      </w:pPr>
      <w:bookmarkStart w:id="8" w:name="ex99_1toc528636_8"/>
      <w:bookmarkEnd w:id="8"/>
      <w:r>
        <w:rPr/>
        <w:t>“</w:t>
      </w:r>
      <w:r>
        <w:rPr>
          <w:rFonts w:ascii="Times New Roman" w:hAnsi="Times New Roman"/>
          <w:b/>
          <w:sz w:val="24"/>
        </w:rPr>
        <w:t>Holder</w:t>
      </w:r>
      <w:r>
        <w:rPr>
          <w:rFonts w:ascii="Times New Roman" w:hAnsi="Times New Roman"/>
          <w:sz w:val="24"/>
        </w:rPr>
        <w:t xml:space="preserve">” means the Person in whose name a Security is registered in the Security Register. </w:t>
      </w:r>
    </w:p>
    <w:p>
      <w:pPr>
        <w:pStyle w:val="TextBody"/>
        <w:bidi w:val="0"/>
        <w:spacing w:before="240" w:after="0"/>
        <w:jc w:val="both"/>
        <w:rPr/>
      </w:pPr>
      <w:bookmarkStart w:id="9" w:name="ex99_1toc528636_9"/>
      <w:bookmarkEnd w:id="9"/>
      <w:r>
        <w:rPr/>
        <w:t>“</w:t>
      </w:r>
      <w:r>
        <w:rPr>
          <w:rFonts w:ascii="Times New Roman" w:hAnsi="Times New Roman"/>
          <w:b/>
          <w:sz w:val="24"/>
        </w:rPr>
        <w:t>Indenture</w:t>
      </w:r>
      <w:r>
        <w:rPr>
          <w:rFonts w:ascii="Times New Roman" w:hAnsi="Times New Roman"/>
          <w:sz w:val="24"/>
        </w:rPr>
        <w:t xml:space="preserve">” means this instrument as originally executed and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p>
    <w:p>
      <w:pPr>
        <w:pStyle w:val="TextBody"/>
        <w:bidi w:val="0"/>
        <w:spacing w:before="240" w:after="0"/>
        <w:jc w:val="both"/>
        <w:rPr/>
      </w:pPr>
      <w:bookmarkStart w:id="10" w:name="ex99_1toc528636_10"/>
      <w:bookmarkEnd w:id="10"/>
      <w:r>
        <w:rPr/>
        <w:t>“</w:t>
      </w:r>
      <w:r>
        <w:rPr>
          <w:rFonts w:ascii="Times New Roman" w:hAnsi="Times New Roman"/>
          <w:b/>
          <w:sz w:val="24"/>
        </w:rPr>
        <w:t>Indexed Security</w:t>
      </w:r>
      <w:r>
        <w:rPr>
          <w:rFonts w:ascii="Times New Roman" w:hAnsi="Times New Roman"/>
          <w:sz w:val="24"/>
        </w:rPr>
        <w:t xml:space="preserve">” means a Security the terms of which provide that the principal amount thereof payable at Stated Maturity may be more or less than the principal face amount thereof at original issuance. </w:t>
      </w:r>
    </w:p>
    <w:p>
      <w:pPr>
        <w:pStyle w:val="TextBody"/>
        <w:bidi w:val="0"/>
        <w:spacing w:before="240" w:after="0"/>
        <w:jc w:val="both"/>
        <w:rPr/>
      </w:pPr>
      <w:bookmarkStart w:id="11" w:name="ex99_1toc528636_11"/>
      <w:bookmarkEnd w:id="11"/>
      <w:r>
        <w:rPr/>
        <w:t>“</w:t>
      </w:r>
      <w:r>
        <w:rPr>
          <w:rFonts w:ascii="Times New Roman" w:hAnsi="Times New Roman"/>
          <w:b/>
          <w:sz w:val="24"/>
        </w:rPr>
        <w:t>interest</w:t>
      </w:r>
      <w:r>
        <w:rPr>
          <w:rFonts w:ascii="Times New Roman" w:hAnsi="Times New Roman"/>
          <w:sz w:val="24"/>
        </w:rPr>
        <w:t xml:space="preserve">”, when used with respect to an Original Issue Discount Security which by its terms bears interest only after Maturity, means interest payable after Maturity at the rate prescribed in such Original Issue Discount Security. </w:t>
      </w:r>
    </w:p>
    <w:p>
      <w:pPr>
        <w:pStyle w:val="TextBody"/>
        <w:bidi w:val="0"/>
        <w:spacing w:before="240" w:after="0"/>
        <w:jc w:val="both"/>
        <w:rPr/>
      </w:pPr>
      <w:bookmarkStart w:id="12" w:name="ex99_1toc528636_12"/>
      <w:bookmarkEnd w:id="12"/>
      <w:r>
        <w:rPr/>
        <w:t>“</w:t>
      </w:r>
      <w:r>
        <w:rPr>
          <w:rFonts w:ascii="Times New Roman" w:hAnsi="Times New Roman"/>
          <w:b/>
          <w:sz w:val="24"/>
        </w:rPr>
        <w:t>Interest Payment Date</w:t>
      </w:r>
      <w:r>
        <w:rPr>
          <w:rFonts w:ascii="Times New Roman" w:hAnsi="Times New Roman"/>
          <w:sz w:val="24"/>
        </w:rPr>
        <w:t xml:space="preserve">”, when used with respect to any Security, means the Stated Maturity of an installment of interest on such Security.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- 7 - </w:t>
      </w:r>
    </w:p>
    <w:p>
      <w:pPr>
        <w:pStyle w:val="TextBody"/>
        <w:bidi w:val="0"/>
        <w:spacing w:before="0" w:after="0"/>
        <w:jc w:val="left"/>
        <w:rPr/>
      </w:pPr>
      <w:r>
        <w:rPr/>
        <w:t> </w:t>
      </w:r>
    </w:p>
    <w:p>
      <w:pPr>
        <w:pStyle w:val="TextBody"/>
        <w:bidi w:val="0"/>
        <w:spacing w:before="0" w:after="0"/>
        <w:jc w:val="both"/>
        <w:rPr/>
      </w:pPr>
      <w:bookmarkStart w:id="13" w:name="ex99_1toc528636_13"/>
      <w:bookmarkEnd w:id="13"/>
      <w:r>
        <w:rPr/>
        <w:t>“</w:t>
      </w:r>
      <w:r>
        <w:rPr>
          <w:rFonts w:ascii="Times New Roman" w:hAnsi="Times New Roman"/>
          <w:b/>
          <w:sz w:val="24"/>
        </w:rPr>
        <w:t>Judgment Currency</w:t>
      </w:r>
      <w:r>
        <w:rPr>
          <w:rFonts w:ascii="Times New Roman" w:hAnsi="Times New Roman"/>
          <w:sz w:val="24"/>
        </w:rPr>
        <w:t xml:space="preserve">” has the meaning specified in Section 114. </w:t>
      </w:r>
    </w:p>
    <w:p>
      <w:pPr>
        <w:pStyle w:val="TextBody"/>
        <w:bidi w:val="0"/>
        <w:spacing w:before="240" w:after="0"/>
        <w:jc w:val="both"/>
        <w:rPr/>
      </w:pPr>
      <w:bookmarkStart w:id="14" w:name="ex99_1toc528636_14"/>
      <w:bookmarkEnd w:id="14"/>
      <w:r>
        <w:rPr/>
        <w:t>“</w:t>
      </w:r>
      <w:r>
        <w:rPr>
          <w:rFonts w:ascii="Times New Roman" w:hAnsi="Times New Roman"/>
          <w:b/>
          <w:sz w:val="24"/>
        </w:rPr>
        <w:t>Market Exchange Rate</w:t>
      </w:r>
      <w:r>
        <w:rPr>
          <w:rFonts w:ascii="Times New Roman" w:hAnsi="Times New Roman"/>
          <w:sz w:val="24"/>
        </w:rPr>
        <w:t xml:space="preserve">”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(New York City time)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Toronto,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Toronto, London or another principal market for the Currency in question, or such other quotations as the Exchange Rate Agent shall deem appropriate. Unless otherwise specified by the Exchange Rate Agent, if there is more than one market for dealing in any Currency by reason of foreign exchange regulations or otherwise, the market to be used in respect of such Currency shall be that upon which a non-resident issuer of securities designated in such Currency would purchase such Currency in order to make payments in respect of such securities. </w:t>
      </w:r>
    </w:p>
    <w:p>
      <w:pPr>
        <w:pStyle w:val="TextBody"/>
        <w:bidi w:val="0"/>
        <w:spacing w:before="240" w:after="0"/>
        <w:jc w:val="both"/>
        <w:rPr/>
      </w:pPr>
      <w:bookmarkStart w:id="15" w:name="ex99_1toc528636_15"/>
      <w:bookmarkEnd w:id="15"/>
      <w:r>
        <w:rPr/>
        <w:t>“</w:t>
      </w:r>
      <w:r>
        <w:rPr>
          <w:rFonts w:ascii="Times New Roman" w:hAnsi="Times New Roman"/>
          <w:b/>
          <w:sz w:val="24"/>
        </w:rPr>
        <w:t>Maturity</w:t>
      </w:r>
      <w:r>
        <w:rPr>
          <w:rFonts w:ascii="Times New Roman" w:hAnsi="Times New Roman"/>
          <w:sz w:val="24"/>
        </w:rPr>
        <w:t xml:space="preserve">”,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or otherwise. </w:t>
      </w:r>
    </w:p>
    <w:p>
      <w:pPr>
        <w:pStyle w:val="TextBody"/>
        <w:bidi w:val="0"/>
        <w:spacing w:before="240" w:after="0"/>
        <w:jc w:val="both"/>
        <w:rPr/>
      </w:pPr>
      <w:bookmarkStart w:id="16" w:name="ex99_1toc528636_16"/>
      <w:bookmarkEnd w:id="16"/>
      <w:r>
        <w:rPr/>
        <w:t>“</w:t>
      </w:r>
      <w:r>
        <w:rPr>
          <w:rFonts w:ascii="Times New Roman" w:hAnsi="Times New Roman"/>
          <w:b/>
          <w:sz w:val="24"/>
        </w:rPr>
        <w:t>Notice of Default</w:t>
      </w:r>
      <w:r>
        <w:rPr>
          <w:rFonts w:ascii="Times New Roman" w:hAnsi="Times New Roman"/>
          <w:sz w:val="24"/>
        </w:rPr>
        <w:t xml:space="preserve">” has the meaning specified in Section 501. </w:t>
      </w:r>
    </w:p>
    <w:p>
      <w:pPr>
        <w:pStyle w:val="TextBody"/>
        <w:bidi w:val="0"/>
        <w:spacing w:before="240" w:after="0"/>
        <w:jc w:val="both"/>
        <w:rPr/>
      </w:pPr>
      <w:bookmarkStart w:id="17" w:name="ex99_1toc528636_17"/>
      <w:bookmarkEnd w:id="17"/>
      <w:r>
        <w:rPr/>
        <w:t>“</w:t>
      </w:r>
      <w:r>
        <w:rPr>
          <w:rFonts w:ascii="Times New Roman" w:hAnsi="Times New Roman"/>
          <w:b/>
          <w:sz w:val="24"/>
        </w:rPr>
        <w:t>Officer</w:t>
      </w:r>
      <w:r>
        <w:rPr>
          <w:rFonts w:ascii="Times New Roman" w:hAnsi="Times New Roman"/>
          <w:sz w:val="24"/>
        </w:rPr>
        <w:t>’</w:t>
      </w:r>
      <w:r>
        <w:rPr>
          <w:rFonts w:ascii="Times New Roman" w:hAnsi="Times New Roman"/>
          <w:b/>
          <w:sz w:val="24"/>
        </w:rPr>
        <w:t>s Certificate</w:t>
      </w:r>
      <w:r>
        <w:rPr>
          <w:rFonts w:ascii="Times New Roman" w:hAnsi="Times New Roman"/>
          <w:sz w:val="24"/>
        </w:rPr>
        <w:t xml:space="preserve">” means a certificate signed by an officer of the Company and delivered to the Trustee. </w:t>
      </w:r>
    </w:p>
    <w:p>
      <w:pPr>
        <w:pStyle w:val="TextBody"/>
        <w:bidi w:val="0"/>
        <w:spacing w:before="240" w:after="0"/>
        <w:jc w:val="both"/>
        <w:rPr/>
      </w:pPr>
      <w:bookmarkStart w:id="18" w:name="ex99_1toc528636_18"/>
      <w:bookmarkEnd w:id="18"/>
      <w:r>
        <w:rPr/>
        <w:t>“</w:t>
      </w:r>
      <w:r>
        <w:rPr>
          <w:rFonts w:ascii="Times New Roman" w:hAnsi="Times New Roman"/>
          <w:b/>
          <w:sz w:val="24"/>
        </w:rPr>
        <w:t>Opinion of Counsel</w:t>
      </w:r>
      <w:r>
        <w:rPr>
          <w:rFonts w:ascii="Times New Roman" w:hAnsi="Times New Roman"/>
          <w:sz w:val="24"/>
        </w:rPr>
        <w:t xml:space="preserve">” means a written opinion of counsel containing the information specified in Section 102, who may be counsel for the Company and/or any of the Subsidiary Guarantors, including an employee of any of them (except in the case of an Opinion of Counsel delivered pursuant to Section 1204 or as otherwise provided), and who shall be acceptable to the Trustee. </w:t>
      </w:r>
    </w:p>
    <w:p>
      <w:pPr>
        <w:pStyle w:val="TextBody"/>
        <w:bidi w:val="0"/>
        <w:spacing w:before="240" w:after="0"/>
        <w:jc w:val="both"/>
        <w:rPr/>
      </w:pPr>
      <w:bookmarkStart w:id="19" w:name="ex99_1toc528636_19"/>
      <w:bookmarkEnd w:id="19"/>
      <w:r>
        <w:rPr/>
        <w:t>“</w:t>
      </w:r>
      <w:r>
        <w:rPr>
          <w:rFonts w:ascii="Times New Roman" w:hAnsi="Times New Roman"/>
          <w:b/>
          <w:sz w:val="24"/>
        </w:rPr>
        <w:t>Original Issue Discount Security</w:t>
      </w:r>
      <w:r>
        <w:rPr>
          <w:rFonts w:ascii="Times New Roman" w:hAnsi="Times New Roman"/>
          <w:sz w:val="24"/>
        </w:rPr>
        <w:t xml:space="preserve">” means any Security which provides for an amount less than the principal amount thereof to be due and payable upon a declaration of acceleration of the Maturity thereof pursuant to Section 503.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- 8 - </w:t>
      </w:r>
    </w:p>
    <w:p>
      <w:pPr>
        <w:pStyle w:val="TextBody"/>
        <w:bidi w:val="0"/>
        <w:spacing w:before="0" w:after="0"/>
        <w:jc w:val="left"/>
        <w:rPr/>
      </w:pPr>
      <w:r>
        <w:rPr/>
        <w:t> </w:t>
      </w:r>
    </w:p>
    <w:p>
      <w:pPr>
        <w:pStyle w:val="TextBody"/>
        <w:bidi w:val="0"/>
        <w:spacing w:before="0" w:after="0"/>
        <w:jc w:val="both"/>
        <w:rPr/>
      </w:pPr>
      <w:bookmarkStart w:id="20" w:name="ex99_1toc528636_20"/>
      <w:bookmarkEnd w:id="20"/>
      <w:r>
        <w:rPr/>
        <w:t>“</w:t>
      </w:r>
      <w:r>
        <w:rPr>
          <w:rFonts w:ascii="Times New Roman" w:hAnsi="Times New Roman"/>
          <w:b/>
          <w:sz w:val="24"/>
        </w:rPr>
        <w:t>Other Currency</w:t>
      </w:r>
      <w:r>
        <w:rPr>
          <w:rFonts w:ascii="Times New Roman" w:hAnsi="Times New Roman"/>
          <w:sz w:val="24"/>
        </w:rPr>
        <w:t xml:space="preserve">” has the meaning specified in Section 115. </w:t>
      </w:r>
    </w:p>
    <w:p>
      <w:pPr>
        <w:pStyle w:val="TextBody"/>
        <w:bidi w:val="0"/>
        <w:spacing w:before="240" w:after="0"/>
        <w:jc w:val="both"/>
        <w:rPr/>
      </w:pPr>
      <w:bookmarkStart w:id="21" w:name="ex99_1toc528636_21"/>
      <w:bookmarkEnd w:id="21"/>
      <w:r>
        <w:rPr/>
        <w:t>“</w:t>
      </w:r>
      <w:r>
        <w:rPr>
          <w:rFonts w:ascii="Times New Roman" w:hAnsi="Times New Roman"/>
          <w:b/>
          <w:sz w:val="24"/>
        </w:rPr>
        <w:t>Outstanding</w:t>
      </w:r>
      <w:r>
        <w:rPr>
          <w:rFonts w:ascii="Times New Roman" w:hAnsi="Times New Roman"/>
          <w:sz w:val="24"/>
        </w:rPr>
        <w:t xml:space="preserve">”, when used with respect to Securities, means, as of the date of determination, all Securities theretofore authenticated and delivered under this Indenture, </w:t>
      </w:r>
      <w:r>
        <w:rPr>
          <w:rFonts w:ascii="Times New Roman" w:hAnsi="Times New Roman"/>
          <w:sz w:val="24"/>
          <w:u w:val="single"/>
        </w:rPr>
        <w:t>except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(i) Securities theretofore cancelled by the Trustee or delivered to the Trustee for cancellation; </w:t>
      </w:r>
    </w:p>
    <w:p>
      <w:pPr>
        <w:pStyle w:val="TextBody"/>
        <w:bidi w:val="0"/>
        <w:spacing w:before="240" w:after="0"/>
        <w:jc w:val="both"/>
        <w:rPr>
          <w:rFonts w:ascii="Times New Roman" w:hAnsi="Times New Roman"/>
          <w:sz w:val="24"/>
        </w:rPr>
      </w:pPr>
      <w:r>
        <w:rPr>
          <w:rFonts w:ascii="Times New Roman" w:hAnsi="Times New Roman"/>
          <w:sz w:val="24"/>
        </w:rPr>
        <w:t xml:space="preserve">(ii) Securities,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Times New Roman" w:hAnsi="Times New Roman"/>
          <w:sz w:val="24"/>
          <w:u w:val="single"/>
        </w:rPr>
        <w:t>provided</w:t>
      </w:r>
      <w:r>
        <w:rPr>
          <w:rFonts w:ascii="Times New Roman" w:hAnsi="Times New Roman"/>
          <w:sz w:val="24"/>
        </w:rPr>
        <w:t xml:space="preserve"> that, if such Securities are to be redeemed, notice of such redemption has been duly given pursuant to this Indenture or provision therefor satisfactory to the Trustee has been made; </w:t>
      </w:r>
    </w:p>
    <w:p>
      <w:pPr>
        <w:pStyle w:val="TextBody"/>
        <w:bidi w:val="0"/>
        <w:spacing w:before="240" w:after="0"/>
        <w:jc w:val="both"/>
        <w:rPr>
          <w:rFonts w:ascii="Times New Roman" w:hAnsi="Times New Roman"/>
          <w:sz w:val="24"/>
        </w:rPr>
      </w:pPr>
      <w:r>
        <w:rPr>
          <w:rFonts w:ascii="Times New Roman" w:hAnsi="Times New Roman"/>
          <w:sz w:val="24"/>
        </w:rPr>
        <w:t xml:space="preserve">(iii) Securities, except to the extent provided in Sections 1202 and 1203, with respect to which the Company has effected defeasance and/or covenant defeasance as provided in Article Twelve; and </w:t>
      </w:r>
    </w:p>
    <w:p>
      <w:pPr>
        <w:pStyle w:val="TextBody"/>
        <w:bidi w:val="0"/>
        <w:spacing w:before="240" w:after="0"/>
        <w:jc w:val="both"/>
        <w:rPr>
          <w:rFonts w:ascii="Times New Roman" w:hAnsi="Times New Roman"/>
          <w:sz w:val="24"/>
        </w:rPr>
      </w:pPr>
      <w:r>
        <w:rPr>
          <w:rFonts w:ascii="Times New Roman" w:hAnsi="Times New Roman"/>
          <w:sz w:val="24"/>
        </w:rPr>
        <w:t xml:space="preserve">(iv) Securities which have been paid pursuant to Section 306 or in exchange for or in lieu of which other Securities have been authenticated and delivered pursuant to this Indenture, other than any such Securities in respect of which there shall have been presented to the Trustees proof satisfactory to it that such Securities are held by a bona fide purchaser in whose hands such Securities are valid obligations of the Company; </w:t>
      </w:r>
    </w:p>
    <w:p>
      <w:pPr>
        <w:pStyle w:val="TextBody"/>
        <w:bidi w:val="0"/>
        <w:spacing w:before="240" w:after="0"/>
        <w:jc w:val="both"/>
        <w:rPr>
          <w:rFonts w:ascii="Times New Roman" w:hAnsi="Times New Roman"/>
          <w:sz w:val="24"/>
        </w:rPr>
      </w:pP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Trust Indenture Legislation,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503,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- 9 -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upon any such request, demand, authorization, direction, notice, consent or waiver, only Securities which are certified to the Trustee as so owned shall be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such other obligor. </w:t>
      </w:r>
    </w:p>
    <w:p>
      <w:pPr>
        <w:pStyle w:val="TextBody"/>
        <w:bidi w:val="0"/>
        <w:spacing w:before="240" w:after="0"/>
        <w:jc w:val="both"/>
        <w:rPr/>
      </w:pPr>
      <w:bookmarkStart w:id="22" w:name="ex99_1toc528636_22"/>
      <w:bookmarkEnd w:id="22"/>
      <w:r>
        <w:rPr/>
        <w:t>“</w:t>
      </w:r>
      <w:r>
        <w:rPr>
          <w:rFonts w:ascii="Times New Roman" w:hAnsi="Times New Roman"/>
          <w:b/>
          <w:sz w:val="24"/>
        </w:rPr>
        <w:t>Paying Agent</w:t>
      </w:r>
      <w:r>
        <w:rPr>
          <w:rFonts w:ascii="Times New Roman" w:hAnsi="Times New Roman"/>
          <w:sz w:val="24"/>
        </w:rPr>
        <w:t xml:space="preserve">” means any Person (including the Company acting as Paying Agent) authorized by the Company to pay the principal of (or premium, if any) or interest, if any, on any Securities on behalf of the Company. </w:t>
      </w:r>
    </w:p>
    <w:p>
      <w:pPr>
        <w:pStyle w:val="TextBody"/>
        <w:bidi w:val="0"/>
        <w:spacing w:before="240" w:after="0"/>
        <w:jc w:val="both"/>
        <w:rPr/>
      </w:pPr>
      <w:bookmarkStart w:id="23" w:name="ex99_1toc528636_23"/>
      <w:bookmarkEnd w:id="23"/>
      <w:r>
        <w:rPr/>
        <w:t>“</w:t>
      </w:r>
      <w:r>
        <w:rPr>
          <w:rFonts w:ascii="Times New Roman" w:hAnsi="Times New Roman"/>
          <w:b/>
          <w:sz w:val="24"/>
        </w:rPr>
        <w:t>Person</w:t>
      </w:r>
      <w:r>
        <w:rPr>
          <w:rFonts w:ascii="Times New Roman" w:hAnsi="Times New Roman"/>
          <w:sz w:val="24"/>
        </w:rPr>
        <w:t xml:space="preserve">” means any individual, corporation, partnership, limited liability company, unlimited liability company, joint venture, association, joint-stock company, trust, unincorporated organization or government or any agency or political subdivision thereof. </w:t>
      </w:r>
    </w:p>
    <w:p>
      <w:pPr>
        <w:pStyle w:val="TextBody"/>
        <w:bidi w:val="0"/>
        <w:spacing w:before="240" w:after="0"/>
        <w:jc w:val="both"/>
        <w:rPr/>
      </w:pPr>
      <w:bookmarkStart w:id="24" w:name="ex99_1toc528636_24"/>
      <w:bookmarkEnd w:id="24"/>
      <w:r>
        <w:rPr/>
        <w:t>“</w:t>
      </w:r>
      <w:r>
        <w:rPr>
          <w:rFonts w:ascii="Times New Roman" w:hAnsi="Times New Roman"/>
          <w:b/>
          <w:sz w:val="24"/>
        </w:rPr>
        <w:t>Place of Payment</w:t>
      </w:r>
      <w:r>
        <w:rPr>
          <w:rFonts w:ascii="Times New Roman" w:hAnsi="Times New Roman"/>
          <w:sz w:val="24"/>
        </w:rPr>
        <w:t xml:space="preserve">” means, when used with respect to the Securities of or within any series, the place or places where the principal of (and premium, if any) and interest, if any, on such Securities are payable as specified as contemplated by Sections 301 and 1002. </w:t>
      </w:r>
    </w:p>
    <w:p>
      <w:pPr>
        <w:pStyle w:val="TextBody"/>
        <w:bidi w:val="0"/>
        <w:spacing w:before="240" w:after="0"/>
        <w:jc w:val="both"/>
        <w:rPr/>
      </w:pPr>
      <w:bookmarkStart w:id="25" w:name="ex99_1toc528636_25"/>
      <w:bookmarkEnd w:id="25"/>
      <w:r>
        <w:rPr/>
        <w:t>“</w:t>
      </w:r>
      <w:r>
        <w:rPr>
          <w:rFonts w:ascii="Times New Roman" w:hAnsi="Times New Roman"/>
          <w:b/>
          <w:sz w:val="24"/>
        </w:rPr>
        <w:t>Predecessor Security</w:t>
      </w:r>
      <w:r>
        <w:rPr>
          <w:rFonts w:ascii="Times New Roman" w:hAnsi="Times New Roman"/>
          <w:sz w:val="24"/>
        </w:rPr>
        <w:t xml:space="preserve">”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 </w:t>
      </w:r>
    </w:p>
    <w:p>
      <w:pPr>
        <w:pStyle w:val="TextBody"/>
        <w:bidi w:val="0"/>
        <w:spacing w:before="120" w:after="0"/>
        <w:jc w:val="both"/>
        <w:rPr/>
      </w:pPr>
      <w:bookmarkStart w:id="26" w:name="ex99_1toc528636_26"/>
      <w:bookmarkEnd w:id="26"/>
      <w:r>
        <w:rPr/>
        <w:t>“</w:t>
      </w:r>
      <w:r>
        <w:rPr>
          <w:rFonts w:ascii="Times New Roman" w:hAnsi="Times New Roman"/>
          <w:b/>
          <w:sz w:val="24"/>
        </w:rPr>
        <w:t>Privacy Laws</w:t>
      </w:r>
      <w:r>
        <w:rPr>
          <w:rFonts w:ascii="Times New Roman" w:hAnsi="Times New Roman"/>
          <w:sz w:val="24"/>
        </w:rPr>
        <w:t xml:space="preserve">” has the meaning specified in Section 618. </w:t>
      </w:r>
    </w:p>
    <w:p>
      <w:pPr>
        <w:pStyle w:val="TextBody"/>
        <w:bidi w:val="0"/>
        <w:spacing w:before="240" w:after="0"/>
        <w:jc w:val="both"/>
        <w:rPr/>
      </w:pPr>
      <w:bookmarkStart w:id="27" w:name="ex99_1toc528636_27"/>
      <w:bookmarkEnd w:id="27"/>
      <w:r>
        <w:rPr/>
        <w:t>“</w:t>
      </w:r>
      <w:r>
        <w:rPr>
          <w:rFonts w:ascii="Times New Roman" w:hAnsi="Times New Roman"/>
          <w:b/>
          <w:sz w:val="24"/>
        </w:rPr>
        <w:t>Redemption Date</w:t>
      </w:r>
      <w:r>
        <w:rPr>
          <w:rFonts w:ascii="Times New Roman" w:hAnsi="Times New Roman"/>
          <w:sz w:val="24"/>
        </w:rPr>
        <w:t xml:space="preserve">”, when used with respect to any Security to be redeemed, in whole or in part, means the date fixed for such redemption by or pursuant to this Indenture. </w:t>
      </w:r>
    </w:p>
    <w:p>
      <w:pPr>
        <w:pStyle w:val="TextBody"/>
        <w:bidi w:val="0"/>
        <w:spacing w:before="240" w:after="0"/>
        <w:jc w:val="both"/>
        <w:rPr/>
      </w:pPr>
      <w:bookmarkStart w:id="28" w:name="ex99_1toc528636_28"/>
      <w:bookmarkEnd w:id="28"/>
      <w:r>
        <w:rPr/>
        <w:t>“</w:t>
      </w:r>
      <w:r>
        <w:rPr>
          <w:rFonts w:ascii="Times New Roman" w:hAnsi="Times New Roman"/>
          <w:b/>
          <w:sz w:val="24"/>
        </w:rPr>
        <w:t>Redemption Price</w:t>
      </w:r>
      <w:r>
        <w:rPr>
          <w:rFonts w:ascii="Times New Roman" w:hAnsi="Times New Roman"/>
          <w:sz w:val="24"/>
        </w:rPr>
        <w:t xml:space="preserve">”, when used with respect to any Security to be redeemed, means the price at which it is to be redeemed pursuant to this Indenture. </w:t>
      </w:r>
    </w:p>
    <w:p>
      <w:pPr>
        <w:pStyle w:val="TextBody"/>
        <w:bidi w:val="0"/>
        <w:spacing w:before="240" w:after="0"/>
        <w:jc w:val="both"/>
        <w:rPr/>
      </w:pPr>
      <w:bookmarkStart w:id="29" w:name="ex99_1toc528636_29"/>
      <w:bookmarkEnd w:id="29"/>
      <w:r>
        <w:rPr/>
        <w:t>“</w:t>
      </w:r>
      <w:r>
        <w:rPr>
          <w:rFonts w:ascii="Times New Roman" w:hAnsi="Times New Roman"/>
          <w:b/>
          <w:sz w:val="24"/>
        </w:rPr>
        <w:t>Regular Record Date</w:t>
      </w:r>
      <w:r>
        <w:rPr>
          <w:rFonts w:ascii="Times New Roman" w:hAnsi="Times New Roman"/>
          <w:sz w:val="24"/>
        </w:rPr>
        <w:t>” for the interest payable on any Interest Payment Date on the Securities of or within any series means the date, if any, specified for that purpose as contemplated by Section 301.“</w:t>
      </w:r>
      <w:r>
        <w:rPr>
          <w:rFonts w:ascii="Times New Roman" w:hAnsi="Times New Roman"/>
          <w:b/>
          <w:sz w:val="24"/>
        </w:rPr>
        <w:t>Required Currency</w:t>
      </w:r>
      <w:r>
        <w:rPr>
          <w:rFonts w:ascii="Times New Roman" w:hAnsi="Times New Roman"/>
          <w:sz w:val="24"/>
        </w:rPr>
        <w:t xml:space="preserve">” has the meaning specified in Section 114. </w:t>
      </w:r>
    </w:p>
    <w:p>
      <w:pPr>
        <w:pStyle w:val="TextBody"/>
        <w:bidi w:val="0"/>
        <w:spacing w:before="240" w:after="0"/>
        <w:jc w:val="both"/>
        <w:rPr/>
      </w:pPr>
      <w:bookmarkStart w:id="30" w:name="ex99_1toc528636_31"/>
      <w:bookmarkEnd w:id="30"/>
      <w:r>
        <w:rPr/>
        <w:t>“</w:t>
      </w:r>
      <w:r>
        <w:rPr>
          <w:rFonts w:ascii="Times New Roman" w:hAnsi="Times New Roman"/>
          <w:b/>
          <w:sz w:val="24"/>
        </w:rPr>
        <w:t>Responsible Officer</w:t>
      </w:r>
      <w:r>
        <w:rPr>
          <w:rFonts w:ascii="Times New Roman" w:hAnsi="Times New Roman"/>
          <w:sz w:val="24"/>
        </w:rPr>
        <w:t xml:space="preserve">”, when used with respect to any Trustee, means the chairman or any vice-chairman of the board of directors, the chairman or any vice-chairman of the executive committee of the board of directors, the chairman of the trust committee, the president, any vice president, the secretary, any assistant secretary, the treasurer, any assistant treasurer, the cashier, any assistant cashier, any trust officer or assistant trust officer, the controller or any assistant controller or any other officer of such Trustee customarily performing functions similar to those performed by any of the above-designated officers, and also means, with respect to a particular corporate trust matter, any other officer to whom such matter is referred because of his knowledge of and familiarity with the particular subject.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- 10 - </w:t>
      </w:r>
    </w:p>
    <w:p>
      <w:pPr>
        <w:pStyle w:val="TextBody"/>
        <w:bidi w:val="0"/>
        <w:spacing w:before="0" w:after="0"/>
        <w:jc w:val="left"/>
        <w:rPr/>
      </w:pPr>
      <w:r>
        <w:rPr/>
        <w:t> </w:t>
      </w:r>
    </w:p>
    <w:p>
      <w:pPr>
        <w:pStyle w:val="TextBody"/>
        <w:bidi w:val="0"/>
        <w:spacing w:before="0" w:after="0"/>
        <w:jc w:val="both"/>
        <w:rPr/>
      </w:pPr>
      <w:bookmarkStart w:id="31" w:name="ex99_1toc528636_32"/>
      <w:bookmarkEnd w:id="31"/>
      <w:r>
        <w:rPr/>
        <w:t>“</w:t>
      </w:r>
      <w:r>
        <w:rPr>
          <w:rFonts w:ascii="Times New Roman" w:hAnsi="Times New Roman"/>
          <w:b/>
          <w:sz w:val="24"/>
        </w:rPr>
        <w:t>Secretary</w:t>
      </w:r>
      <w:r>
        <w:rPr>
          <w:rFonts w:ascii="Times New Roman" w:hAnsi="Times New Roman"/>
          <w:sz w:val="24"/>
        </w:rPr>
        <w:t xml:space="preserve">”, when used with respect to the Company, means the Secretary or an Assistant Secretary of the Company. </w:t>
      </w:r>
    </w:p>
    <w:p>
      <w:pPr>
        <w:pStyle w:val="TextBody"/>
        <w:bidi w:val="0"/>
        <w:spacing w:before="240" w:after="0"/>
        <w:jc w:val="both"/>
        <w:rPr/>
      </w:pPr>
      <w:bookmarkStart w:id="32" w:name="ex99_1toc528636_33"/>
      <w:bookmarkEnd w:id="32"/>
      <w:r>
        <w:rPr/>
        <w:t>“</w:t>
      </w:r>
      <w:r>
        <w:rPr>
          <w:rFonts w:ascii="Times New Roman" w:hAnsi="Times New Roman"/>
          <w:b/>
          <w:sz w:val="24"/>
        </w:rPr>
        <w:t>Securities</w:t>
      </w:r>
      <w:r>
        <w:rPr>
          <w:rFonts w:ascii="Times New Roman" w:hAnsi="Times New Roman"/>
          <w:sz w:val="24"/>
        </w:rPr>
        <w:t xml:space="preserve">” has the meaning stated in the first recital of this Indenture and more particularly means any Security registered in the Security Register and authenticated and delivered under this Indenture;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 </w:t>
      </w:r>
    </w:p>
    <w:p>
      <w:pPr>
        <w:pStyle w:val="TextBody"/>
        <w:bidi w:val="0"/>
        <w:spacing w:before="240" w:after="0"/>
        <w:jc w:val="both"/>
        <w:rPr/>
      </w:pPr>
      <w:bookmarkStart w:id="33" w:name="ex99_1toc528636_34"/>
      <w:bookmarkEnd w:id="33"/>
      <w:r>
        <w:rPr/>
        <w:t>“</w:t>
      </w:r>
      <w:r>
        <w:rPr>
          <w:rFonts w:ascii="Times New Roman" w:hAnsi="Times New Roman"/>
          <w:b/>
          <w:sz w:val="24"/>
        </w:rPr>
        <w:t>Security Interest</w:t>
      </w:r>
      <w:r>
        <w:rPr>
          <w:rFonts w:ascii="Times New Roman" w:hAnsi="Times New Roman"/>
          <w:sz w:val="24"/>
        </w:rPr>
        <w:t xml:space="preserve">” means any mortgage, pledge, lien, encumbrance, conditional sale or other title retention agreement, or other similar security interest. </w:t>
      </w:r>
    </w:p>
    <w:p>
      <w:pPr>
        <w:pStyle w:val="TextBody"/>
        <w:bidi w:val="0"/>
        <w:spacing w:before="240" w:after="0"/>
        <w:jc w:val="both"/>
        <w:rPr/>
      </w:pPr>
      <w:bookmarkStart w:id="34" w:name="ex99_1toc528636_35"/>
      <w:bookmarkEnd w:id="34"/>
      <w:r>
        <w:rPr/>
        <w:t>“</w:t>
      </w:r>
      <w:r>
        <w:rPr>
          <w:rFonts w:ascii="Times New Roman" w:hAnsi="Times New Roman"/>
          <w:b/>
          <w:sz w:val="24"/>
        </w:rPr>
        <w:t>Security Register</w:t>
      </w:r>
      <w:r>
        <w:rPr>
          <w:rFonts w:ascii="Times New Roman" w:hAnsi="Times New Roman"/>
          <w:sz w:val="24"/>
        </w:rPr>
        <w:t>” and “</w:t>
      </w:r>
      <w:r>
        <w:rPr>
          <w:rFonts w:ascii="Times New Roman" w:hAnsi="Times New Roman"/>
          <w:b/>
          <w:sz w:val="24"/>
        </w:rPr>
        <w:t>Security Registrar</w:t>
      </w:r>
      <w:r>
        <w:rPr>
          <w:rFonts w:ascii="Times New Roman" w:hAnsi="Times New Roman"/>
          <w:sz w:val="24"/>
        </w:rPr>
        <w:t xml:space="preserve">” have the respective meanings specified in Section 305.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b/>
          <w:sz w:val="24"/>
        </w:rPr>
        <w:t>series</w:t>
      </w:r>
      <w:r>
        <w:rPr>
          <w:rFonts w:ascii="Times New Roman" w:hAnsi="Times New Roman"/>
          <w:sz w:val="24"/>
        </w:rPr>
        <w:t xml:space="preserve">” of Securities means all Securities denoted as part of the same series authorized by or pursuant to a particular Board Resolution as the case may be. </w:t>
      </w:r>
    </w:p>
    <w:p>
      <w:pPr>
        <w:pStyle w:val="TextBody"/>
        <w:bidi w:val="0"/>
        <w:spacing w:before="240" w:after="0"/>
        <w:jc w:val="both"/>
        <w:rPr/>
      </w:pPr>
      <w:bookmarkStart w:id="35" w:name="ex99_1toc528636_37"/>
      <w:bookmarkEnd w:id="35"/>
      <w:r>
        <w:rPr/>
        <w:t>“</w:t>
      </w:r>
      <w:r>
        <w:rPr>
          <w:rFonts w:ascii="Times New Roman" w:hAnsi="Times New Roman"/>
          <w:b/>
          <w:sz w:val="24"/>
        </w:rPr>
        <w:t>Special Record Date</w:t>
      </w:r>
      <w:r>
        <w:rPr>
          <w:rFonts w:ascii="Times New Roman" w:hAnsi="Times New Roman"/>
          <w:sz w:val="24"/>
        </w:rPr>
        <w:t xml:space="preserve">” for the payment of any Defaulted Interest on the Securities of or within any series means a date fixed by the Trustee pursuant to Section 307. </w:t>
      </w:r>
    </w:p>
    <w:p>
      <w:pPr>
        <w:pStyle w:val="TextBody"/>
        <w:bidi w:val="0"/>
        <w:spacing w:before="240" w:after="0"/>
        <w:jc w:val="both"/>
        <w:rPr/>
      </w:pPr>
      <w:bookmarkStart w:id="36" w:name="ex99_1toc528636_38"/>
      <w:bookmarkEnd w:id="36"/>
      <w:r>
        <w:rPr/>
        <w:t>“</w:t>
      </w:r>
      <w:r>
        <w:rPr>
          <w:rFonts w:ascii="Times New Roman" w:hAnsi="Times New Roman"/>
          <w:b/>
          <w:sz w:val="24"/>
        </w:rPr>
        <w:t>Stated Maturity</w:t>
      </w:r>
      <w:r>
        <w:rPr>
          <w:rFonts w:ascii="Times New Roman" w:hAnsi="Times New Roman"/>
          <w:sz w:val="24"/>
        </w:rPr>
        <w:t xml:space="preserve">”, when used with respect to any Security or any installment of principal thereof or interest thereon, means the date specified in such Security as the fixed date on which the principal of such Security or such installment of principal or interest is due and payable. </w:t>
      </w:r>
    </w:p>
    <w:p>
      <w:pPr>
        <w:pStyle w:val="TextBody"/>
        <w:bidi w:val="0"/>
        <w:spacing w:before="240" w:after="0"/>
        <w:jc w:val="both"/>
        <w:rPr/>
      </w:pPr>
      <w:bookmarkStart w:id="37" w:name="ex99_1toc528636_39"/>
      <w:bookmarkEnd w:id="37"/>
      <w:r>
        <w:rPr/>
        <w:t>“</w:t>
      </w:r>
      <w:r>
        <w:rPr>
          <w:rFonts w:ascii="Times New Roman" w:hAnsi="Times New Roman"/>
          <w:b/>
          <w:sz w:val="24"/>
        </w:rPr>
        <w:t>Subsidiary</w:t>
      </w:r>
      <w:r>
        <w:rPr>
          <w:rFonts w:ascii="Times New Roman" w:hAnsi="Times New Roman"/>
          <w:sz w:val="24"/>
        </w:rPr>
        <w:t xml:space="preserve">” means any corporation, limited liability company, partnership, association or other entity (whether incorporated or unincorporated) of which at the time of determination the Company, directly and/or indirectly, through one or more Subsidiaries, owns more than 50% of the shares or interests of Voting Stock/Interests of such entity. </w:t>
      </w:r>
    </w:p>
    <w:p>
      <w:pPr>
        <w:pStyle w:val="TextBody"/>
        <w:bidi w:val="0"/>
        <w:spacing w:before="240" w:after="0"/>
        <w:jc w:val="both"/>
        <w:rPr/>
      </w:pPr>
      <w:r>
        <w:rPr/>
        <w:t>“</w:t>
      </w:r>
      <w:r>
        <w:rPr>
          <w:rFonts w:ascii="Times New Roman" w:hAnsi="Times New Roman"/>
          <w:b/>
          <w:sz w:val="24"/>
        </w:rPr>
        <w:t>Subsidiary Guarantors</w:t>
      </w:r>
      <w:r>
        <w:rPr>
          <w:rFonts w:ascii="Times New Roman" w:hAnsi="Times New Roman"/>
          <w:sz w:val="24"/>
        </w:rPr>
        <w:t>” means, subject to Section 1304, collectively, West Publishing, Thomson Reuters Applications and Thomson Reuters (Tax &amp; Accounting), together with any other Subsidiary that provides a Guarantee with respect to a series of Securities hereunder, and “</w:t>
      </w:r>
      <w:r>
        <w:rPr>
          <w:rFonts w:ascii="Times New Roman" w:hAnsi="Times New Roman"/>
          <w:b/>
          <w:sz w:val="24"/>
        </w:rPr>
        <w:t>Subsidiary Guarantor</w:t>
      </w:r>
      <w:r>
        <w:rPr>
          <w:rFonts w:ascii="Times New Roman" w:hAnsi="Times New Roman"/>
          <w:sz w:val="24"/>
        </w:rPr>
        <w:t xml:space="preserve">” means any one of them. </w:t>
      </w:r>
    </w:p>
    <w:p>
      <w:pPr>
        <w:pStyle w:val="TextBody"/>
        <w:bidi w:val="0"/>
        <w:spacing w:before="240" w:after="0"/>
        <w:jc w:val="both"/>
        <w:rPr/>
      </w:pPr>
      <w:r>
        <w:rPr/>
        <w:t>“</w:t>
      </w:r>
      <w:r>
        <w:rPr>
          <w:rFonts w:ascii="Times New Roman" w:hAnsi="Times New Roman"/>
          <w:b/>
          <w:sz w:val="24"/>
        </w:rPr>
        <w:t>Thomson Reuters Applications</w:t>
      </w:r>
      <w:r>
        <w:rPr>
          <w:rFonts w:ascii="Times New Roman" w:hAnsi="Times New Roman"/>
          <w:sz w:val="24"/>
        </w:rPr>
        <w:t xml:space="preserve">” has the meaning specified in the preamble, until a successor Person shall have become such pursuant to the applicable provisions of this Indenture, and thereafter “Thomson Reuters Applications” shall mean such successor Person. </w:t>
      </w:r>
    </w:p>
    <w:p>
      <w:pPr>
        <w:pStyle w:val="TextBody"/>
        <w:bidi w:val="0"/>
        <w:spacing w:before="240" w:after="0"/>
        <w:jc w:val="both"/>
        <w:rPr/>
      </w:pPr>
      <w:r>
        <w:rPr/>
        <w:t>“</w:t>
      </w:r>
      <w:r>
        <w:rPr>
          <w:rFonts w:ascii="Times New Roman" w:hAnsi="Times New Roman"/>
          <w:b/>
          <w:sz w:val="24"/>
        </w:rPr>
        <w:t>Thomson Reuters (Tax</w:t>
      </w:r>
      <w:r>
        <w:rPr>
          <w:rFonts w:ascii="Times New Roman" w:hAnsi="Times New Roman"/>
          <w:sz w:val="24"/>
        </w:rPr>
        <w:t> </w:t>
      </w:r>
      <w:r>
        <w:rPr>
          <w:rFonts w:ascii="Times New Roman" w:hAnsi="Times New Roman"/>
          <w:b/>
          <w:sz w:val="24"/>
        </w:rPr>
        <w:t>&amp; Accounting)</w:t>
      </w:r>
      <w:r>
        <w:rPr>
          <w:rFonts w:ascii="Times New Roman" w:hAnsi="Times New Roman"/>
          <w:sz w:val="24"/>
        </w:rPr>
        <w:t xml:space="preserve">” has the meaning specified in the preamble, until a successor Person shall have become such pursuant to the applicable provisions of this Indenture, and thereafter “Thomson Reuters (Tax &amp; Accounting)” shall mean such successor Person. </w:t>
      </w:r>
    </w:p>
    <w:p>
      <w:pPr>
        <w:pStyle w:val="TextBody"/>
        <w:bidi w:val="0"/>
        <w:spacing w:before="240" w:after="0"/>
        <w:jc w:val="both"/>
        <w:rPr/>
      </w:pPr>
      <w:bookmarkStart w:id="38" w:name="ex99_1toc528636_40"/>
      <w:bookmarkEnd w:id="38"/>
      <w:r>
        <w:rPr/>
        <w:t>“</w:t>
      </w:r>
      <w:r>
        <w:rPr>
          <w:rFonts w:ascii="Times New Roman" w:hAnsi="Times New Roman"/>
          <w:b/>
          <w:sz w:val="24"/>
        </w:rPr>
        <w:t>Trust Indenture Act</w:t>
      </w:r>
      <w:r>
        <w:rPr>
          <w:rFonts w:ascii="Times New Roman" w:hAnsi="Times New Roman"/>
          <w:sz w:val="24"/>
        </w:rPr>
        <w:t>” or “</w:t>
      </w:r>
      <w:r>
        <w:rPr>
          <w:rFonts w:ascii="Times New Roman" w:hAnsi="Times New Roman"/>
          <w:b/>
          <w:sz w:val="24"/>
        </w:rPr>
        <w:t>TIA</w:t>
      </w:r>
      <w:r>
        <w:rPr>
          <w:rFonts w:ascii="Times New Roman" w:hAnsi="Times New Roman"/>
          <w:sz w:val="24"/>
        </w:rPr>
        <w:t xml:space="preserve">” means the Trust Indenture Act of 1939 as in force at the date as of which this Indenture was executed, except as provided in Section 905.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- 11 - </w:t>
      </w:r>
    </w:p>
    <w:p>
      <w:pPr>
        <w:pStyle w:val="TextBody"/>
        <w:bidi w:val="0"/>
        <w:spacing w:before="0" w:after="0"/>
        <w:jc w:val="left"/>
        <w:rPr/>
      </w:pPr>
      <w:r>
        <w:rPr/>
        <w:t> </w:t>
      </w:r>
    </w:p>
    <w:p>
      <w:pPr>
        <w:pStyle w:val="TextBody"/>
        <w:bidi w:val="0"/>
        <w:spacing w:before="0" w:after="0"/>
        <w:jc w:val="both"/>
        <w:rPr/>
      </w:pPr>
      <w:bookmarkStart w:id="39" w:name="ex99_1toc528636_41"/>
      <w:bookmarkEnd w:id="39"/>
      <w:r>
        <w:rPr/>
        <w:t>“</w:t>
      </w:r>
      <w:r>
        <w:rPr>
          <w:rFonts w:ascii="Times New Roman" w:hAnsi="Times New Roman"/>
          <w:b/>
          <w:sz w:val="24"/>
        </w:rPr>
        <w:t>Trust Indenture Legislation</w:t>
      </w:r>
      <w:r>
        <w:rPr>
          <w:rFonts w:ascii="Times New Roman" w:hAnsi="Times New Roman"/>
          <w:sz w:val="24"/>
        </w:rPr>
        <w:t xml:space="preserve">” means, at any time, statutory provisions relating to trust indentures and the rights, duties, and obligations of trustees under trust indentures and of corporations issuing debt obligations under trust indentures to the extent that such provisions are at such time in force and applicable to this Indenture, and at the date of this Indenture means the Trust Indenture Act and the regulations thereunder and, in respect of Securities of any series offered in Canada, the applicable provisions of the </w:t>
      </w:r>
      <w:r>
        <w:rPr>
          <w:rFonts w:ascii="Times New Roman" w:hAnsi="Times New Roman"/>
          <w:i/>
          <w:sz w:val="24"/>
        </w:rPr>
        <w:t>Business Corporations Act</w:t>
      </w:r>
      <w:r>
        <w:rPr>
          <w:rFonts w:ascii="Times New Roman" w:hAnsi="Times New Roman"/>
          <w:sz w:val="24"/>
        </w:rPr>
        <w:t xml:space="preserve"> (Ontario) and the regulations thereunder as amended or re-enacted from time to time. </w:t>
      </w:r>
    </w:p>
    <w:p>
      <w:pPr>
        <w:pStyle w:val="TextBody"/>
        <w:bidi w:val="0"/>
        <w:spacing w:before="240" w:after="0"/>
        <w:jc w:val="both"/>
        <w:rPr/>
      </w:pPr>
      <w:bookmarkStart w:id="40" w:name="ex99_1toc528636_42"/>
      <w:bookmarkEnd w:id="40"/>
      <w:r>
        <w:rPr/>
        <w:t>“</w:t>
      </w:r>
      <w:r>
        <w:rPr>
          <w:rFonts w:ascii="Times New Roman" w:hAnsi="Times New Roman"/>
          <w:b/>
          <w:sz w:val="24"/>
        </w:rPr>
        <w:t>Trustee</w:t>
      </w:r>
      <w:r>
        <w:rPr>
          <w:rFonts w:ascii="Times New Roman" w:hAnsi="Times New Roman"/>
          <w:sz w:val="24"/>
        </w:rPr>
        <w:t>” and “</w:t>
      </w:r>
      <w:r>
        <w:rPr>
          <w:rFonts w:ascii="Times New Roman" w:hAnsi="Times New Roman"/>
          <w:b/>
          <w:sz w:val="24"/>
        </w:rPr>
        <w:t>Trustees</w:t>
      </w:r>
      <w:r>
        <w:rPr>
          <w:rFonts w:ascii="Times New Roman" w:hAnsi="Times New Roman"/>
          <w:sz w:val="24"/>
        </w:rPr>
        <w:t xml:space="preserve">” means, as the context requires, either or both of the Canadian Trustee and the U.S. Trustee, and if at any time it is not necessary to have both a Canadian Trustee and a U.S. Trustee, and either such Trustee is removed pursuant to Section 608, references to the “Trustee” shall mean only the remaining Trustee after such removal. For greater certainty, “Trustee”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provided, however, that if at any time there is more than one such Person, “Trustee” as used with respect to the Securities of any series shall mean only the Trustee with respect to Securities of that series. </w:t>
      </w:r>
    </w:p>
    <w:p>
      <w:pPr>
        <w:pStyle w:val="TextBody"/>
        <w:bidi w:val="0"/>
        <w:spacing w:before="240" w:after="0"/>
        <w:jc w:val="both"/>
        <w:rPr/>
      </w:pPr>
      <w:bookmarkStart w:id="41" w:name="ex99_1toc528636_43"/>
      <w:bookmarkEnd w:id="41"/>
      <w:r>
        <w:rPr/>
        <w:t>“</w:t>
      </w:r>
      <w:r>
        <w:rPr>
          <w:rFonts w:ascii="Times New Roman" w:hAnsi="Times New Roman"/>
          <w:b/>
          <w:sz w:val="24"/>
        </w:rPr>
        <w:t>U.S. person</w:t>
      </w:r>
      <w:r>
        <w:rPr>
          <w:rFonts w:ascii="Times New Roman" w:hAnsi="Times New Roman"/>
          <w:sz w:val="24"/>
        </w:rPr>
        <w:t xml:space="preserve">” means “U.S. person” as that term is defined in Rule 902(k) of Regulation S. </w:t>
      </w:r>
    </w:p>
    <w:p>
      <w:pPr>
        <w:pStyle w:val="TextBody"/>
        <w:bidi w:val="0"/>
        <w:spacing w:before="240" w:after="0"/>
        <w:jc w:val="both"/>
        <w:rPr/>
      </w:pPr>
      <w:bookmarkStart w:id="42" w:name="ex99_1toc528636_44"/>
      <w:bookmarkEnd w:id="42"/>
      <w:r>
        <w:rPr/>
        <w:t>“</w:t>
      </w:r>
      <w:r>
        <w:rPr>
          <w:rFonts w:ascii="Times New Roman" w:hAnsi="Times New Roman"/>
          <w:b/>
          <w:sz w:val="24"/>
        </w:rPr>
        <w:t>U.S. Trustee</w:t>
      </w:r>
      <w:r>
        <w:rPr>
          <w:rFonts w:ascii="Times New Roman" w:hAnsi="Times New Roman"/>
          <w:sz w:val="24"/>
        </w:rPr>
        <w:t>” means the Person named as the “U.S. Trustee” in the first paragraph of this Indenture until a successor U.S. Trustee shall have become such pursuant to the applicable provisions of this Indenture, and thereafter “U.S. Trustee” shall mean or include each Person who is then a Trustee hereunder.“</w:t>
      </w:r>
      <w:r>
        <w:rPr>
          <w:rFonts w:ascii="Times New Roman" w:hAnsi="Times New Roman"/>
          <w:b/>
          <w:sz w:val="24"/>
        </w:rPr>
        <w:t>United States</w:t>
      </w:r>
      <w:r>
        <w:rPr>
          <w:rFonts w:ascii="Times New Roman" w:hAnsi="Times New Roman"/>
          <w:sz w:val="24"/>
        </w:rPr>
        <w:t xml:space="preserve">” means, unless otherwise specified with respect to any Securities pursuant to Section 301, the United States of America (including the states and the District of Columbia), its territories, its possessions and other areas subject to its jurisdiction. </w:t>
      </w:r>
    </w:p>
    <w:p>
      <w:pPr>
        <w:pStyle w:val="TextBody"/>
        <w:bidi w:val="0"/>
        <w:spacing w:before="240" w:after="0"/>
        <w:jc w:val="both"/>
        <w:rPr/>
      </w:pPr>
      <w:r>
        <w:rPr/>
        <w:t>“</w:t>
      </w:r>
      <w:r>
        <w:rPr>
          <w:rFonts w:ascii="Times New Roman" w:hAnsi="Times New Roman"/>
          <w:b/>
          <w:sz w:val="24"/>
        </w:rPr>
        <w:t>Vice President</w:t>
      </w:r>
      <w:r>
        <w:rPr>
          <w:rFonts w:ascii="Times New Roman" w:hAnsi="Times New Roman"/>
          <w:sz w:val="24"/>
        </w:rPr>
        <w:t xml:space="preserve">”, when used with respect to the Company, means any vice president, whether or not designated by a number or a word or words added before or after the title “vice president”. </w:t>
      </w:r>
    </w:p>
    <w:p>
      <w:pPr>
        <w:pStyle w:val="TextBody"/>
        <w:bidi w:val="0"/>
        <w:spacing w:before="240" w:after="0"/>
        <w:jc w:val="both"/>
        <w:rPr/>
      </w:pPr>
      <w:bookmarkStart w:id="43" w:name="ex99_1toc528636_45"/>
      <w:bookmarkEnd w:id="43"/>
      <w:r>
        <w:rPr/>
        <w:t>“</w:t>
      </w:r>
      <w:r>
        <w:rPr>
          <w:rFonts w:ascii="Times New Roman" w:hAnsi="Times New Roman"/>
          <w:b/>
          <w:sz w:val="24"/>
        </w:rPr>
        <w:t>Voting Stock/Interests</w:t>
      </w:r>
      <w:r>
        <w:rPr>
          <w:rFonts w:ascii="Times New Roman" w:hAnsi="Times New Roman"/>
          <w:sz w:val="24"/>
        </w:rPr>
        <w:t xml:space="preserve">” means stock or interests of the class or classes having general voting power under ordinary circumstances to elect at least a majority of the board of directors, managers, partners or trustees of a Subsidiary of the Company (irrespective of whether or not at the time stock or interests of any other class or classes shall have or might have voting power by reason of the happening of any contingency). </w:t>
      </w:r>
    </w:p>
    <w:p>
      <w:pPr>
        <w:pStyle w:val="TextBody"/>
        <w:bidi w:val="0"/>
        <w:spacing w:before="240" w:after="0"/>
        <w:jc w:val="both"/>
        <w:rPr/>
      </w:pPr>
      <w:r>
        <w:rPr/>
        <w:t>“</w:t>
      </w:r>
      <w:r>
        <w:rPr>
          <w:rFonts w:ascii="Times New Roman" w:hAnsi="Times New Roman"/>
          <w:b/>
          <w:sz w:val="24"/>
        </w:rPr>
        <w:t>West Publishing</w:t>
      </w:r>
      <w:r>
        <w:rPr>
          <w:rFonts w:ascii="Times New Roman" w:hAnsi="Times New Roman"/>
          <w:sz w:val="24"/>
        </w:rPr>
        <w:t xml:space="preserve">” has the meaning specified in the preamble, until a successor Person shall have become such pursuant to the applicable provisions of this Indenture, and thereafter “West Publishing” shall mean such successor Person. </w:t>
      </w:r>
    </w:p>
    <w:p>
      <w:pPr>
        <w:pStyle w:val="TextBody"/>
        <w:bidi w:val="0"/>
        <w:spacing w:before="240" w:after="0"/>
        <w:jc w:val="both"/>
        <w:rPr/>
      </w:pPr>
      <w:r>
        <w:rPr/>
        <w:t>“</w:t>
      </w:r>
      <w:r>
        <w:rPr>
          <w:rFonts w:ascii="Times New Roman" w:hAnsi="Times New Roman"/>
          <w:b/>
          <w:sz w:val="24"/>
        </w:rPr>
        <w:t>Wholly-owned Subsidiary</w:t>
      </w:r>
      <w:r>
        <w:rPr>
          <w:rFonts w:ascii="Times New Roman" w:hAnsi="Times New Roman"/>
          <w:sz w:val="24"/>
        </w:rPr>
        <w:t xml:space="preserve">” means any corporation, limited liability company, partnership, association or other entity (whether incorporated or unincorporated) of which at the time of determination the Company directly and/or indirectly, through one or more of its Subsidiaries, owns 100% of the shares or interests of Voting Stock/Interests of such entity.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- 12 - </w:t>
      </w:r>
    </w:p>
    <w:p>
      <w:pPr>
        <w:pStyle w:val="TextBody"/>
        <w:bidi w:val="0"/>
        <w:spacing w:before="0" w:after="0"/>
        <w:jc w:val="left"/>
        <w:rPr/>
      </w:pPr>
      <w:r>
        <w:rPr/>
        <w:t> </w:t>
      </w:r>
    </w:p>
    <w:p>
      <w:pPr>
        <w:pStyle w:val="TextBody"/>
        <w:bidi w:val="0"/>
        <w:spacing w:before="0" w:after="0"/>
        <w:jc w:val="both"/>
        <w:rPr/>
      </w:pPr>
      <w:bookmarkStart w:id="44" w:name="ex99_1toc528636_46"/>
      <w:bookmarkEnd w:id="44"/>
      <w:r>
        <w:rPr/>
        <w:t>“</w:t>
      </w:r>
      <w:r>
        <w:rPr>
          <w:rFonts w:ascii="Times New Roman" w:hAnsi="Times New Roman"/>
          <w:b/>
          <w:sz w:val="24"/>
        </w:rPr>
        <w:t>Yield to Maturity</w:t>
      </w:r>
      <w:r>
        <w:rPr>
          <w:rFonts w:ascii="Times New Roman" w:hAnsi="Times New Roman"/>
          <w:sz w:val="24"/>
        </w:rPr>
        <w:t xml:space="preserve">” means the yield to maturity, computed at the time of issuance of a Security (or, if applicable, at the most recent redetermination of interest on such Security) and as set forth in such Security in accordance with generally accepted United States bond yield computation principles. </w:t>
      </w:r>
    </w:p>
    <w:p>
      <w:pPr>
        <w:pStyle w:val="TextBody"/>
        <w:bidi w:val="0"/>
        <w:spacing w:before="240" w:after="0"/>
        <w:jc w:val="both"/>
        <w:rPr>
          <w:rFonts w:ascii="Times New Roman" w:hAnsi="Times New Roman"/>
          <w:sz w:val="24"/>
        </w:rPr>
      </w:pPr>
      <w:bookmarkStart w:id="45" w:name="ex99_1toc528636_47"/>
      <w:bookmarkEnd w:id="45"/>
      <w:r>
        <w:rPr>
          <w:rFonts w:ascii="Times New Roman" w:hAnsi="Times New Roman"/>
          <w:b/>
          <w:sz w:val="24"/>
        </w:rPr>
        <w:t>SECTION 102. Compliance Certificates and Opinions.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Upon any application or request by the Company to the Trustee to take any action under any provision of this Indenture, the Company shall furnish to the Trustee an Officer’s Certificate stating that all conditions precedent, if any, provided for in this Indenture (including any covenant compliance with which constitutes a condition precedent)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 </w:t>
      </w:r>
    </w:p>
    <w:p>
      <w:pPr>
        <w:pStyle w:val="TextBody"/>
        <w:bidi w:val="0"/>
        <w:spacing w:before="240" w:after="0"/>
        <w:jc w:val="both"/>
        <w:rPr>
          <w:rFonts w:ascii="Times New Roman" w:hAnsi="Times New Roman"/>
          <w:sz w:val="24"/>
        </w:rPr>
      </w:pPr>
      <w:r>
        <w:rPr>
          <w:rFonts w:ascii="Times New Roman" w:hAnsi="Times New Roman"/>
          <w:sz w:val="24"/>
        </w:rPr>
        <w:t xml:space="preserve">Every certificate or opinion with respect to compliance with a covenant or condition provided for in this Indenture (other than pursuant to Section 1004) shall include: </w:t>
      </w:r>
    </w:p>
    <w:p>
      <w:pPr>
        <w:pStyle w:val="TextBody"/>
        <w:bidi w:val="0"/>
        <w:spacing w:before="240" w:after="0"/>
        <w:jc w:val="both"/>
        <w:rPr>
          <w:rFonts w:ascii="Times New Roman" w:hAnsi="Times New Roman"/>
          <w:sz w:val="24"/>
        </w:rPr>
      </w:pPr>
      <w:r>
        <w:rPr>
          <w:rFonts w:ascii="Times New Roman" w:hAnsi="Times New Roman"/>
          <w:sz w:val="24"/>
        </w:rPr>
        <w:t xml:space="preserve">(1) a statement that each individual signing such certificate or opinion has read such covenant or condition and the definitions herein relating thereto; </w:t>
      </w:r>
    </w:p>
    <w:p>
      <w:pPr>
        <w:pStyle w:val="TextBody"/>
        <w:bidi w:val="0"/>
        <w:spacing w:before="240" w:after="0"/>
        <w:jc w:val="both"/>
        <w:rPr>
          <w:rFonts w:ascii="Times New Roman" w:hAnsi="Times New Roman"/>
          <w:sz w:val="24"/>
        </w:rPr>
      </w:pPr>
      <w:r>
        <w:rPr>
          <w:rFonts w:ascii="Times New Roman" w:hAnsi="Times New Roman"/>
          <w:sz w:val="24"/>
        </w:rPr>
        <w:t xml:space="preserve">(2) a brief statement as to the nature and scope of the examination or investigation upon which the statements or opinions contained in such certificate or opinion are based; </w:t>
      </w:r>
    </w:p>
    <w:p>
      <w:pPr>
        <w:pStyle w:val="TextBody"/>
        <w:bidi w:val="0"/>
        <w:spacing w:before="240" w:after="0"/>
        <w:jc w:val="both"/>
        <w:rPr>
          <w:rFonts w:ascii="Times New Roman" w:hAnsi="Times New Roman"/>
          <w:sz w:val="24"/>
        </w:rPr>
      </w:pPr>
      <w:r>
        <w:rPr>
          <w:rFonts w:ascii="Times New Roman" w:hAnsi="Times New Roman"/>
          <w:sz w:val="24"/>
        </w:rPr>
        <w:t xml:space="preserve">(3) a statement that, in the opinion of each such individual, he has made such examination or investigation as is necessary to enable him to express an informed opinion as to whether or not such covenant or condition has been complied with; and </w:t>
      </w:r>
    </w:p>
    <w:p>
      <w:pPr>
        <w:pStyle w:val="TextBody"/>
        <w:bidi w:val="0"/>
        <w:spacing w:before="240" w:after="0"/>
        <w:jc w:val="both"/>
        <w:rPr>
          <w:rFonts w:ascii="Times New Roman" w:hAnsi="Times New Roman"/>
          <w:sz w:val="24"/>
        </w:rPr>
      </w:pPr>
      <w:r>
        <w:rPr>
          <w:rFonts w:ascii="Times New Roman" w:hAnsi="Times New Roman"/>
          <w:sz w:val="24"/>
        </w:rPr>
        <w:t xml:space="preserve">(4) a statement as to whether, in the opinion of each such individual, such covenant or condition has been complied with. </w:t>
      </w:r>
    </w:p>
    <w:p>
      <w:pPr>
        <w:pStyle w:val="TextBody"/>
        <w:bidi w:val="0"/>
        <w:spacing w:before="240" w:after="0"/>
        <w:jc w:val="both"/>
        <w:rPr>
          <w:rFonts w:ascii="Times New Roman" w:hAnsi="Times New Roman"/>
          <w:sz w:val="24"/>
        </w:rPr>
      </w:pPr>
      <w:bookmarkStart w:id="46" w:name="ex99_1toc528636_48"/>
      <w:bookmarkEnd w:id="46"/>
      <w:r>
        <w:rPr>
          <w:rFonts w:ascii="Times New Roman" w:hAnsi="Times New Roman"/>
          <w:b/>
          <w:sz w:val="24"/>
        </w:rPr>
        <w:t>SECTION 103. Form of Documents Delivered to Trustee.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w:t>
      </w:r>
    </w:p>
    <w:p>
      <w:pPr>
        <w:pStyle w:val="TextBody"/>
        <w:bidi w:val="0"/>
        <w:spacing w:before="240" w:after="0"/>
        <w:jc w:val="both"/>
        <w:rPr>
          <w:rFonts w:ascii="Times New Roman" w:hAnsi="Times New Roman"/>
          <w:sz w:val="24"/>
        </w:rPr>
      </w:pPr>
      <w:r>
        <w:rPr>
          <w:rFonts w:ascii="Times New Roman" w:hAnsi="Times New Roman"/>
          <w:sz w:val="24"/>
        </w:rPr>
        <w:t xml:space="preserve">(b) Any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- 13 -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 </w:t>
      </w:r>
    </w:p>
    <w:p>
      <w:pPr>
        <w:pStyle w:val="TextBody"/>
        <w:bidi w:val="0"/>
        <w:spacing w:before="240" w:after="0"/>
        <w:jc w:val="both"/>
        <w:rPr>
          <w:rFonts w:ascii="Times New Roman" w:hAnsi="Times New Roman"/>
          <w:sz w:val="24"/>
        </w:rPr>
      </w:pPr>
      <w:r>
        <w:rPr>
          <w:rFonts w:ascii="Times New Roman" w:hAnsi="Times New Roman"/>
          <w:sz w:val="24"/>
        </w:rPr>
        <w:t xml:space="preserve">(c) Where any Person is required to make, give or execute two or more applications, requests, consents, certificates, statements, opinions or other instruments under this Indenture, they may, but need not, be consolidated and form one instrument. </w:t>
      </w:r>
    </w:p>
    <w:p>
      <w:pPr>
        <w:pStyle w:val="TextBody"/>
        <w:bidi w:val="0"/>
        <w:spacing w:before="240" w:after="0"/>
        <w:jc w:val="both"/>
        <w:rPr>
          <w:rFonts w:ascii="Times New Roman" w:hAnsi="Times New Roman"/>
          <w:sz w:val="24"/>
        </w:rPr>
      </w:pPr>
      <w:bookmarkStart w:id="47" w:name="ex99_1toc528636_49"/>
      <w:bookmarkEnd w:id="47"/>
      <w:r>
        <w:rPr>
          <w:rFonts w:ascii="Times New Roman" w:hAnsi="Times New Roman"/>
          <w:b/>
          <w:sz w:val="24"/>
        </w:rPr>
        <w:t>SECTION 104. Acts of Holders.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w:t>
      </w:r>
      <w:r>
        <w:rPr>
          <w:rFonts w:ascii="Times New Roman" w:hAnsi="Times New Roman"/>
          <w:b/>
          <w:sz w:val="24"/>
        </w:rPr>
        <w:t>Act</w:t>
      </w:r>
      <w:r>
        <w:rPr>
          <w:rFonts w:ascii="Times New Roman" w:hAnsi="Times New Roman"/>
          <w:sz w:val="24"/>
        </w:rPr>
        <w:t xml:space="preserve">”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if made in the manner provided in this Section. </w:t>
      </w:r>
    </w:p>
    <w:p>
      <w:pPr>
        <w:pStyle w:val="TextBody"/>
        <w:bidi w:val="0"/>
        <w:spacing w:before="240" w:after="0"/>
        <w:jc w:val="both"/>
        <w:rPr>
          <w:rFonts w:ascii="Times New Roman" w:hAnsi="Times New Roman"/>
          <w:sz w:val="24"/>
        </w:rPr>
      </w:pPr>
      <w:r>
        <w:rPr>
          <w:rFonts w:ascii="Times New Roman" w:hAnsi="Times New Roman"/>
          <w:sz w:val="24"/>
        </w:rPr>
        <w:t xml:space="preserve">(b) The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 deems sufficient. </w:t>
      </w:r>
    </w:p>
    <w:p>
      <w:pPr>
        <w:pStyle w:val="TextBody"/>
        <w:bidi w:val="0"/>
        <w:spacing w:before="240" w:after="0"/>
        <w:jc w:val="both"/>
        <w:rPr>
          <w:rFonts w:ascii="Times New Roman" w:hAnsi="Times New Roman"/>
          <w:sz w:val="24"/>
        </w:rPr>
      </w:pPr>
      <w:r>
        <w:rPr>
          <w:rFonts w:ascii="Times New Roman" w:hAnsi="Times New Roman"/>
          <w:sz w:val="24"/>
        </w:rPr>
        <w:t xml:space="preserve">(c) The principal amount and serial numbers of Securities held by any Person, and the date of holding the same, shall be proved by the Security Register. </w:t>
      </w:r>
    </w:p>
    <w:p>
      <w:pPr>
        <w:pStyle w:val="TextBody"/>
        <w:bidi w:val="0"/>
        <w:spacing w:before="240" w:after="0"/>
        <w:jc w:val="both"/>
        <w:rPr>
          <w:rFonts w:ascii="Times New Roman" w:hAnsi="Times New Roman"/>
          <w:sz w:val="24"/>
        </w:rPr>
      </w:pPr>
      <w:r>
        <w:rPr>
          <w:rFonts w:ascii="Times New Roman" w:hAnsi="Times New Roman"/>
          <w:sz w:val="24"/>
        </w:rPr>
        <w:t xml:space="preserve">(d) If the Company shall solicit from the Holders of Securities any request, demand, authorization, direction, notice, consent, waiver or other Act of Holders, the Company may, at its option, by or pursuant to a Board Resolution, fix in advance a record date for the determination of Holders entitled to give such request, demand, authorization, direction, notice, consent, waiver or other Act of Holders, but the Company shall have no obligation to do so.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of Holders may be given before or after such record date, but only the Holders of record at the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of Holders, and for that purpose the Outstanding Securities shall be computed as of such record date; </w:t>
      </w:r>
      <w:r>
        <w:rPr>
          <w:rFonts w:ascii="Times New Roman" w:hAnsi="Times New Roman"/>
          <w:sz w:val="24"/>
          <w:u w:val="single"/>
        </w:rPr>
        <w:t>provided</w:t>
      </w:r>
      <w:r>
        <w:rPr>
          <w:rFonts w:ascii="Times New Roman" w:hAnsi="Times New Roman"/>
          <w:sz w:val="24"/>
        </w:rPr>
        <w:t xml:space="preserve"> that no such request, demand, authorization, direction, notice, consent, waiver or other Act of Holders on such record date shall be deemed effective unless it shall become effective pursuant to the provisions of this Indenture not later than eleven months after the record date. </w:t>
      </w:r>
    </w:p>
    <w:p>
      <w:pPr>
        <w:pStyle w:val="TextBody"/>
        <w:bidi w:val="0"/>
        <w:spacing w:before="240" w:after="0"/>
        <w:jc w:val="both"/>
        <w:rPr>
          <w:rFonts w:ascii="Times New Roman" w:hAnsi="Times New Roman"/>
          <w:sz w:val="24"/>
        </w:rPr>
      </w:pPr>
      <w:r>
        <w:rPr>
          <w:rFonts w:ascii="Times New Roman" w:hAnsi="Times New Roman"/>
          <w:sz w:val="24"/>
        </w:rPr>
        <w:t xml:space="preserve">(e) Any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 </w:t>
      </w:r>
    </w:p>
    <w:p>
      <w:pPr>
        <w:pStyle w:val="TextBody"/>
        <w:bidi w:val="0"/>
        <w:spacing w:before="240" w:after="0"/>
        <w:jc w:val="both"/>
        <w:rPr>
          <w:rFonts w:ascii="Times New Roman" w:hAnsi="Times New Roman"/>
          <w:sz w:val="24"/>
        </w:rPr>
      </w:pPr>
      <w:bookmarkStart w:id="48" w:name="ex99_1toc528636_50"/>
      <w:bookmarkEnd w:id="48"/>
      <w:r>
        <w:rPr>
          <w:rFonts w:ascii="Times New Roman" w:hAnsi="Times New Roman"/>
          <w:b/>
          <w:sz w:val="24"/>
        </w:rPr>
        <w:t>SECTION 105. Notices, etc. to Trustees, Company and Subsidiary Guarantors.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Any request, demand, authorization, direction, notice, consent, waiver or Act of Holders or other documents provided or permitted by this Indenture to be made upon, given or furnished to, or filed with, </w:t>
      </w:r>
    </w:p>
    <w:p>
      <w:pPr>
        <w:pStyle w:val="TextBody"/>
        <w:bidi w:val="0"/>
        <w:spacing w:before="240" w:after="0"/>
        <w:jc w:val="both"/>
        <w:rPr>
          <w:rFonts w:ascii="Times New Roman" w:hAnsi="Times New Roman"/>
          <w:sz w:val="24"/>
        </w:rPr>
      </w:pPr>
      <w:r>
        <w:rPr>
          <w:rFonts w:ascii="Times New Roman" w:hAnsi="Times New Roman"/>
          <w:sz w:val="24"/>
        </w:rPr>
        <w:t xml:space="preserve">(1) the Canadian Trustee by the U.S. Trustee, any Holder, the Company or any Subsidiary Guarantor shall be sufficient for every purpose hereunder if delivered to an officer of the Canadian Trustee at Computershare Trust Company of Canada, 320 Bay Street, 14th Floor, Toronto, Ontario, M5H 4A6, Canada, Attention: Manager Corporate Trust Services, or if sent by facsimile transmission (with receipt confirmed) to Computershare Trust Company of Canada, Attention: Manager, Corporate Trust Services at (416) 981-9777, shall be deemed to be validly given at the time of delivery or transmission if it is received prior to 4:00 p.m. (New York City time) on a Business Day, failing which it shall be deemed to have been given on the next Business Day. Notice to the Canadian Trustee may also be provided by e-mail at </w:t>
      </w:r>
      <w:r>
        <w:rPr>
          <w:rFonts w:ascii="Times New Roman" w:hAnsi="Times New Roman"/>
          <w:sz w:val="24"/>
          <w:u w:val="single"/>
        </w:rPr>
        <w:t>corporatetrust.toronto@computershare.com</w:t>
      </w:r>
      <w:r>
        <w:rPr>
          <w:rFonts w:ascii="Times New Roman" w:hAnsi="Times New Roman"/>
          <w:sz w:val="24"/>
        </w:rPr>
        <w:t xml:space="preserve"> so long as the Canadian Trustee confirms its receipt of the e-mail by return reply, and the time of delivery shall be the time such return reply is sent by the Canadian Trustee. The Canadian Trustee may from time to time notify the Company of a change in address, email address or facsimile number which thereafter, until changed by like notice, shall be the address, e-mail address or facsimile number of the Canadian Trustee for the purposes of this Indenture. </w:t>
      </w:r>
    </w:p>
    <w:p>
      <w:pPr>
        <w:pStyle w:val="TextBody"/>
        <w:bidi w:val="0"/>
        <w:spacing w:before="240" w:after="0"/>
        <w:jc w:val="both"/>
        <w:rPr>
          <w:rFonts w:ascii="Times New Roman" w:hAnsi="Times New Roman"/>
          <w:sz w:val="24"/>
        </w:rPr>
      </w:pPr>
      <w:r>
        <w:rPr>
          <w:rFonts w:ascii="Times New Roman" w:hAnsi="Times New Roman"/>
          <w:sz w:val="24"/>
        </w:rPr>
        <w:t xml:space="preserve">(2) the U.S. Trustee by the Canadian Trustee, any Holder, the Company or any Subsidiary Guarantor shall be sufficient for every purpose under this Indenture if delivered to a Responsible Officer of the U.S. Trustee at Trust &amp; Agency Services, 1 Columbus Circle, Mail Stop NYC01-0417, New York, NY 10019, United States, Attention: Trust and Securities Services, or if sent by facsimile transmission (with receipt confirmed) to Deutsche Bank Trust Company Americas, Attention: Trust and Securities Services at (732) 578-4635, shall be deemed to be validly given at the time of delivery or transmission if it is received prior to 4:00 p.m. (New York City time) on a Business Day, failing which it shall be deemed to have been given on the next Business Day. The U.S. Trustee may from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- 15 -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time to time notify the Company of a change in address or facsimile number which thereafter, until changed by like notice, shall be the address or facsimile number of the U.S. Trustee for the purposes of this Indenture. </w:t>
      </w:r>
    </w:p>
    <w:p>
      <w:pPr>
        <w:pStyle w:val="TextBody"/>
        <w:bidi w:val="0"/>
        <w:spacing w:before="240" w:after="0"/>
        <w:jc w:val="both"/>
        <w:rPr>
          <w:rFonts w:ascii="Times New Roman" w:hAnsi="Times New Roman"/>
          <w:sz w:val="24"/>
        </w:rPr>
      </w:pPr>
      <w:r>
        <w:rPr>
          <w:rFonts w:ascii="Times New Roman" w:hAnsi="Times New Roman"/>
          <w:sz w:val="24"/>
        </w:rPr>
        <w:t xml:space="preserve">(3) the Company or a Subsidiary Guarantor by a Trustee or by any Holder shall be sufficient for every purpose hereunder if delivered to the Company at 19 Duncan Street, Toronto, Ontario M5H 3H1, Canada, Attention: Chief Legal Officer and Company Secretary, shall be deemed to be validly given at the time of delivery if it is received prior to 4:00 p.m. (New York City time) on a Business Day, failing which it shall be deemed to have been given on the next Business Day. Notice to the Company or a Subsidiary Guarantor may also be provided by e-mail at </w:t>
      </w:r>
      <w:r>
        <w:rPr>
          <w:rFonts w:ascii="Times New Roman" w:hAnsi="Times New Roman"/>
          <w:sz w:val="24"/>
          <w:u w:val="single"/>
        </w:rPr>
        <w:t>legal@thomsonreuters.com</w:t>
      </w:r>
      <w:r>
        <w:rPr>
          <w:rFonts w:ascii="Times New Roman" w:hAnsi="Times New Roman"/>
          <w:sz w:val="24"/>
        </w:rPr>
        <w:t xml:space="preserve"> so long as the Company or an applicable Subsidiary Guarantor confirms its receipt of the e-mail by return reply, and the time of delivery shall be the time such return reply is sent by the Company or an applicable Subsidiary Guarantor. The Company or a Subsidiary Guarantor may from time to time notify the Trustees of a change in address or e-mail address which thereafter, until changed by like notice, shall be the address or email address of the Company and the Subsidiary Guarantors for the purposes of this Indenture. </w:t>
      </w:r>
    </w:p>
    <w:p>
      <w:pPr>
        <w:pStyle w:val="TextBody"/>
        <w:bidi w:val="0"/>
        <w:spacing w:before="240" w:after="0"/>
        <w:jc w:val="both"/>
        <w:rPr>
          <w:rFonts w:ascii="Times New Roman" w:hAnsi="Times New Roman"/>
          <w:sz w:val="24"/>
        </w:rPr>
      </w:pPr>
      <w:r>
        <w:rPr>
          <w:rFonts w:ascii="Times New Roman" w:hAnsi="Times New Roman"/>
          <w:b/>
          <w:sz w:val="24"/>
        </w:rPr>
        <w:t>SECTION 106. Notice to Holders; Waiver.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(a) Other than as set forth in Section 106(b), where this Indenture provides for notice of any event to Holders of Securities by the Company or the Trustee, such notice shall be sufficiently given to each such Holder affected by such event (unless otherwise herein expressly provided) if in writing and (i) mailed, first-class postage prepaid; or (ii) delivered by certified or registered mail or overnight courier. Notice shall be given to a Holder at its address as it appears in the Security Register as reflected in the Trustee’s records or as provided by a Holder to the Trustee or the Company, not later than the latest date, and not earlier than the earliest date, prescribed for the giving of such notice. Neither the failure to mail, deliver or send such notice, nor any defect in any notice so mailed, delivered or sent to any particular Holder shall affect the sufficiency of such notice with respect to other Holders of Securities. Any notice mailed, delivered or sent to a Holder in the manner herein prescribed shall be conclusively deemed to have been received by such Holder, whether or not such Holder actually receives such notice. </w:t>
      </w:r>
    </w:p>
    <w:p>
      <w:pPr>
        <w:pStyle w:val="TextBody"/>
        <w:bidi w:val="0"/>
        <w:spacing w:before="240" w:after="0"/>
        <w:jc w:val="both"/>
        <w:rPr>
          <w:rFonts w:ascii="Times New Roman" w:hAnsi="Times New Roman"/>
          <w:sz w:val="24"/>
        </w:rPr>
      </w:pPr>
      <w:r>
        <w:rPr>
          <w:rFonts w:ascii="Times New Roman" w:hAnsi="Times New Roman"/>
          <w:sz w:val="24"/>
        </w:rPr>
        <w:t xml:space="preserve">(b) Where this Indenture provides for notice of any event to a Holder of a global Security, such notice shall be sufficiently given if given to the Depositary for such Security (or its designee) in writing and (i) delivered in person; or (ii) sent by e-mail, so long as such Depositary confirms his receipt of the e-mail by return reply. Notice shall be given to such Depositary at its address as it appears in the Security Register or its e-mail address as reflected in the Trustee’s records or as provided by the Depositary to the Trustee or the Company, not later than the latest date, and not earlier than the earliest date, prescribed for the giving of such notice. </w:t>
      </w:r>
    </w:p>
    <w:p>
      <w:pPr>
        <w:pStyle w:val="TextBody"/>
        <w:bidi w:val="0"/>
        <w:spacing w:before="240" w:after="0"/>
        <w:jc w:val="both"/>
        <w:rPr>
          <w:rFonts w:ascii="Times New Roman" w:hAnsi="Times New Roman"/>
          <w:sz w:val="24"/>
        </w:rPr>
      </w:pPr>
      <w:r>
        <w:rPr>
          <w:rFonts w:ascii="Times New Roman" w:hAnsi="Times New Roman"/>
          <w:sz w:val="24"/>
        </w:rPr>
        <w:t xml:space="preserve">(c) In case, by reason of the suspension of or irregularities in regular mail service or by reason of any other cause, it shall be impractical to mail notice of any event to Holders of Securities when such notice is required to be given pursuant to any provision of this Indenture, then any manner of giving such notice as shall be satisfactory to the Trustee shall be deemed to be sufficient giving of such notice for every purpose hereunder.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- 16 -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(d) Any request, demand, authorization, direction, notice, consent or waiver required or permitted under this Indenture shall be in the English language, except that any published notice may be in an official language of the country of publication. </w:t>
      </w:r>
    </w:p>
    <w:p>
      <w:pPr>
        <w:pStyle w:val="TextBody"/>
        <w:bidi w:val="0"/>
        <w:spacing w:before="240" w:after="0"/>
        <w:jc w:val="both"/>
        <w:rPr>
          <w:rFonts w:ascii="Times New Roman" w:hAnsi="Times New Roman"/>
          <w:sz w:val="24"/>
        </w:rPr>
      </w:pPr>
      <w:r>
        <w:rPr>
          <w:rFonts w:ascii="Times New Roman" w:hAnsi="Times New Roman"/>
          <w:sz w:val="24"/>
        </w:rPr>
        <w:t xml:space="preserve">(e) Where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bidi w:val="0"/>
        <w:spacing w:before="240" w:after="0"/>
        <w:jc w:val="both"/>
        <w:rPr>
          <w:rFonts w:ascii="Times New Roman" w:hAnsi="Times New Roman"/>
          <w:sz w:val="24"/>
        </w:rPr>
      </w:pPr>
      <w:bookmarkStart w:id="49" w:name="ex99_1toc528636_52"/>
      <w:bookmarkEnd w:id="49"/>
      <w:r>
        <w:rPr>
          <w:rFonts w:ascii="Times New Roman" w:hAnsi="Times New Roman"/>
          <w:b/>
          <w:sz w:val="24"/>
        </w:rPr>
        <w:t>SECTION 107. Effect of Headings and Table of Contents.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The Article and Section headings herein and the Table of Contents are for convenience only and shall not affect the construction hereof. </w:t>
      </w:r>
    </w:p>
    <w:p>
      <w:pPr>
        <w:pStyle w:val="TextBody"/>
        <w:bidi w:val="0"/>
        <w:spacing w:before="240" w:after="0"/>
        <w:jc w:val="both"/>
        <w:rPr>
          <w:rFonts w:ascii="Times New Roman" w:hAnsi="Times New Roman"/>
          <w:sz w:val="24"/>
        </w:rPr>
      </w:pPr>
      <w:bookmarkStart w:id="50" w:name="ex99_1toc528636_53"/>
      <w:bookmarkEnd w:id="50"/>
      <w:r>
        <w:rPr>
          <w:rFonts w:ascii="Times New Roman" w:hAnsi="Times New Roman"/>
          <w:b/>
          <w:sz w:val="24"/>
        </w:rPr>
        <w:t>SECTION 108. Successors and Assigns.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All covenants and agreements in this Indenture by each of the Company and the Subsidiary Guarantors shall bind its respective successors and assigns, whether so expressed or not, subject to the other provisions of this Indenture. </w:t>
      </w:r>
    </w:p>
    <w:p>
      <w:pPr>
        <w:pStyle w:val="TextBody"/>
        <w:bidi w:val="0"/>
        <w:spacing w:before="240" w:after="0"/>
        <w:jc w:val="both"/>
        <w:rPr>
          <w:rFonts w:ascii="Times New Roman" w:hAnsi="Times New Roman"/>
          <w:sz w:val="24"/>
        </w:rPr>
      </w:pPr>
      <w:bookmarkStart w:id="51" w:name="ex99_1toc528636_54"/>
      <w:bookmarkEnd w:id="51"/>
      <w:r>
        <w:rPr>
          <w:rFonts w:ascii="Times New Roman" w:hAnsi="Times New Roman"/>
          <w:b/>
          <w:sz w:val="24"/>
        </w:rPr>
        <w:t>SECTION 109. Separability Clause.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In case any provision in this Indenture or in any Security shall be invalid, illegal or unenforceable, the validity, legality and enforceability of the remaining provisions shall not in any way be affected or impaired thereby. </w:t>
      </w:r>
    </w:p>
    <w:p>
      <w:pPr>
        <w:pStyle w:val="TextBody"/>
        <w:bidi w:val="0"/>
        <w:spacing w:before="240" w:after="0"/>
        <w:jc w:val="both"/>
        <w:rPr>
          <w:rFonts w:ascii="Times New Roman" w:hAnsi="Times New Roman"/>
          <w:sz w:val="24"/>
        </w:rPr>
      </w:pPr>
      <w:bookmarkStart w:id="52" w:name="ex99_1toc528636_55"/>
      <w:bookmarkEnd w:id="52"/>
      <w:r>
        <w:rPr>
          <w:rFonts w:ascii="Times New Roman" w:hAnsi="Times New Roman"/>
          <w:b/>
          <w:sz w:val="24"/>
        </w:rPr>
        <w:t>SECTION 110. Benefits of Indenture.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Nothing in this Indenture or in the Securities, express or implied, shall give to any Person, other than the parties hereto, any Authenticating Agent, any Paying Agent, any Securities Registrar and their successors hereunder and the Holders of Securities, any benefit or any legal or equitable right, remedy or claim under this Indenture. </w:t>
      </w:r>
    </w:p>
    <w:p>
      <w:pPr>
        <w:pStyle w:val="TextBody"/>
        <w:bidi w:val="0"/>
        <w:spacing w:before="240" w:after="0"/>
        <w:jc w:val="both"/>
        <w:rPr>
          <w:rFonts w:ascii="Times New Roman" w:hAnsi="Times New Roman"/>
          <w:sz w:val="24"/>
        </w:rPr>
      </w:pPr>
      <w:bookmarkStart w:id="53" w:name="ex99_1toc528636_56"/>
      <w:bookmarkEnd w:id="53"/>
      <w:r>
        <w:rPr>
          <w:rFonts w:ascii="Times New Roman" w:hAnsi="Times New Roman"/>
          <w:b/>
          <w:sz w:val="24"/>
        </w:rPr>
        <w:t>SECTION 111. Governing Law and Waiver of Jury Trial.</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This Indenture and the Securities shall be governed by and construed in accordance with the law of the State of New York. This Indenture is subject to the provisions of the Trust Indenture Legislation and shall, to the extent applicable, be governed by such provisions. For greater certainty, the exercise, performance or discharge by the Canadian Trustee of any of its rights, powers, duties, or responsibilities hereunder shall be construed in accordance with the laws of the Province of Ontario and the federal laws of Canada applicable thereto. Each of the parties hereby irrevocably waives, to the fullest extent permitted by applicable law, any and all right to trial by jury in any legal proceeding arising out of or relating to this Indenture, the Securities or the transactions contemplated hereby.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- 17 -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b/>
          <w:sz w:val="24"/>
        </w:rPr>
        <w:t>SECTION 112. Legal Holidays.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In any case where any Interest Payment Date, Redemption Date, sinking fund payment date (if applicable) or Stated Maturity or Maturity of any Security shall not be a Business Day at any Place of Payment or other location contemplated hereunder, then (notwithstanding any other provision of this Indenture or of any Security other than a provision in the Securities of any series which specifically states that such provision shall apply in lieu of this Section), payment of principal (or premium, if any) or interest, if any, need not be made at such Place of Payment or other location contemplated hereunder on such date, but may be made on the next succeeding Business Day at such Place of Payment or other location contemplated hereunder with the same force and effect as if made on the Interest Payment Date or Redemption Date or sinking fund payment date (if applicable), or at the Stated Maturity or Maturity; </w:t>
      </w:r>
      <w:r>
        <w:rPr>
          <w:rFonts w:ascii="Times New Roman" w:hAnsi="Times New Roman"/>
          <w:sz w:val="24"/>
          <w:u w:val="single"/>
        </w:rPr>
        <w:t>provided</w:t>
      </w:r>
      <w:r>
        <w:rPr>
          <w:rFonts w:ascii="Times New Roman" w:hAnsi="Times New Roman"/>
          <w:sz w:val="24"/>
        </w:rPr>
        <w:t xml:space="preserve"> that no interest shall accrue for the period from and after such Interest Payment Date, Redemption Date, sinking fund payment date (if applicable), Stated Maturity or Maturity, as the case may be. </w:t>
      </w:r>
    </w:p>
    <w:p>
      <w:pPr>
        <w:pStyle w:val="TextBody"/>
        <w:bidi w:val="0"/>
        <w:spacing w:before="240" w:after="0"/>
        <w:jc w:val="both"/>
        <w:rPr>
          <w:rFonts w:ascii="Times New Roman" w:hAnsi="Times New Roman"/>
          <w:sz w:val="24"/>
        </w:rPr>
      </w:pPr>
      <w:r>
        <w:rPr>
          <w:rFonts w:ascii="Times New Roman" w:hAnsi="Times New Roman"/>
          <w:b/>
          <w:sz w:val="24"/>
        </w:rPr>
        <w:t>SECTION 113. Agent for Service; Submission to Jurisdiction; Waiver of Immunities.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(a) By the execution and delivery of this Indenture, the Company (i) acknowledges that it has irrevocably designated and appointed Thomson Reuters Holdings Inc., 3 Times Square, New York, New York 10036, United States, as its authorized agent upon which process may be served in any suit or proceeding arising out of or relating to the Securities or this Indenture that may be instituted in any federal or state court in the City of New York or brought under federal or state securities laws or brought by either Trustee (whether in its individual capacity or in its capacity as Trustee hereunder), (ii) submits to the non-exclusive jurisdiction of any such court in any such suit or proceeding, and (iii) agrees that service of process upon Thomson Reuters Holdings Inc., 3 Times Square, New York, New York 10036, United States and written notice of said service to the Company (mailed or delivered to the Company, attention: Chief Legal Officer and Company Secretary, at its principal office specified in the first paragraph of this Indenture and in the manner specified in Section 105 hereof), shall be deemed in every respect effective service of process upon the Company in any such suit or proceeding. The Company further agrees to take any and all action, including the execution and filing of any and all such documents and instruments, as may be necessary to continue such designation and appointment of Thomson Reuters Holdings Inc., 3 Times Square, New York, New York 10036, United States in full force and effect so long as any of the Securities shall be outstanding. </w:t>
      </w:r>
    </w:p>
    <w:p>
      <w:pPr>
        <w:pStyle w:val="TextBody"/>
        <w:bidi w:val="0"/>
        <w:spacing w:before="240" w:after="0"/>
        <w:jc w:val="both"/>
        <w:rPr>
          <w:rFonts w:ascii="Times New Roman" w:hAnsi="Times New Roman"/>
          <w:sz w:val="24"/>
        </w:rPr>
      </w:pPr>
      <w:r>
        <w:rPr>
          <w:rFonts w:ascii="Times New Roman" w:hAnsi="Times New Roman"/>
          <w:sz w:val="24"/>
        </w:rPr>
        <w:t xml:space="preserve">(b) To the extent that the Company has or hereafter may acquire any immunity from jurisdiction of any court or from any legal process (whether through service of notice, attachment prior to judgment, attachment in aid of execution, execution or otherwise) with respect to itself or its property, the Company hereby irrevocably waives such immunity in respect of its obligations under this Indenture and the Securities, to the extent permitted by law. </w:t>
      </w:r>
    </w:p>
    <w:p>
      <w:pPr>
        <w:pStyle w:val="TextBody"/>
        <w:bidi w:val="0"/>
        <w:spacing w:before="240" w:after="0"/>
        <w:jc w:val="both"/>
        <w:rPr>
          <w:rFonts w:ascii="Times New Roman" w:hAnsi="Times New Roman"/>
          <w:sz w:val="24"/>
        </w:rPr>
      </w:pPr>
      <w:r>
        <w:rPr>
          <w:rFonts w:ascii="Times New Roman" w:hAnsi="Times New Roman"/>
          <w:sz w:val="24"/>
        </w:rPr>
        <w:t xml:space="preserve">(c) The Company hereby irrevocably and unconditionally waives, to the extent it may legally and effectively do so, any objection which it may now or hereafter have to the laying of venue of any suit, action or proceeding arising out of or relating to this Indenture or the Securities in any federal or state court in the State of New York, Borough of Manhattan. Each of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- 18 -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the parties hereto hereby irrevocably waives, to the fullest extent permitted by law, the defense of an inconvenient forum to the maintenance of such action or proceeding in any such court. </w:t>
      </w:r>
    </w:p>
    <w:p>
      <w:pPr>
        <w:pStyle w:val="TextBody"/>
        <w:bidi w:val="0"/>
        <w:spacing w:before="240" w:after="0"/>
        <w:jc w:val="both"/>
        <w:rPr>
          <w:rFonts w:ascii="Times New Roman" w:hAnsi="Times New Roman"/>
          <w:sz w:val="24"/>
        </w:rPr>
      </w:pPr>
      <w:bookmarkStart w:id="54" w:name="ex99_1toc528636_59"/>
      <w:bookmarkEnd w:id="54"/>
      <w:r>
        <w:rPr>
          <w:rFonts w:ascii="Times New Roman" w:hAnsi="Times New Roman"/>
          <w:b/>
          <w:sz w:val="24"/>
        </w:rPr>
        <w:t>SECTION 114. Conversion of Currency.</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Company covenants and agrees that the following provisions shall apply to conversion of Currency in the case of the Securities and this Indenture: </w:t>
      </w:r>
    </w:p>
    <w:p>
      <w:pPr>
        <w:pStyle w:val="TextBody"/>
        <w:bidi w:val="0"/>
        <w:spacing w:before="120" w:after="0"/>
        <w:jc w:val="both"/>
        <w:rPr>
          <w:rFonts w:ascii="Times New Roman" w:hAnsi="Times New Roman"/>
          <w:sz w:val="24"/>
        </w:rPr>
      </w:pPr>
      <w:r>
        <w:rPr>
          <w:rFonts w:ascii="Times New Roman" w:hAnsi="Times New Roman"/>
          <w:sz w:val="24"/>
        </w:rPr>
        <w:t>(i) If for the purposes of obtaining judgment in, or enforcing the judgment of, any court in any country, it becomes necessary to convert into any other Currency (the “</w:t>
      </w:r>
      <w:r>
        <w:rPr>
          <w:rFonts w:ascii="Times New Roman" w:hAnsi="Times New Roman"/>
          <w:b/>
          <w:sz w:val="24"/>
        </w:rPr>
        <w:t>Judgment Currency</w:t>
      </w:r>
      <w:r>
        <w:rPr>
          <w:rFonts w:ascii="Times New Roman" w:hAnsi="Times New Roman"/>
          <w:sz w:val="24"/>
        </w:rPr>
        <w:t>”) an amount due or contingently due under the Securities of any series and this Indenture (the “</w:t>
      </w:r>
      <w:r>
        <w:rPr>
          <w:rFonts w:ascii="Times New Roman" w:hAnsi="Times New Roman"/>
          <w:b/>
          <w:sz w:val="24"/>
        </w:rPr>
        <w:t>Required Currency</w:t>
      </w:r>
      <w:r>
        <w:rPr>
          <w:rFonts w:ascii="Times New Roman" w:hAnsi="Times New Roman"/>
          <w:sz w:val="24"/>
        </w:rPr>
        <w:t xml:space="preserve">”), then the conversion shall be made at the Market Exchange Rate prevailing on the Business Day before the day on which a final judgment which is not appealable or is not appealed is given or the order of enforcement is made, as the case may be (unless a court shall otherwise determine). </w:t>
      </w:r>
    </w:p>
    <w:p>
      <w:pPr>
        <w:pStyle w:val="TextBody"/>
        <w:bidi w:val="0"/>
        <w:spacing w:before="120" w:after="0"/>
        <w:jc w:val="both"/>
        <w:rPr>
          <w:rFonts w:ascii="Times New Roman" w:hAnsi="Times New Roman"/>
          <w:sz w:val="24"/>
        </w:rPr>
      </w:pPr>
      <w:r>
        <w:rPr>
          <w:rFonts w:ascii="Times New Roman" w:hAnsi="Times New Roman"/>
          <w:sz w:val="24"/>
        </w:rPr>
        <w:t xml:space="preserve">(ii) If there is a change in the Market Exchange Rate prevailing between the Business Day before the day on which the judgment referred to in (i) above is given or an order of endorsement is made, as the case may be (or such other date as a court shall determine), and the date of receipt of the amount due, the Company shall pay such additional (or, as the case may be, such lesser) amount, if any, as may be necessary so that the amount paid in the Judgment Currency when converted at the Market Exchange Rate prevailing on the date of receipt will produce the amount in the Required Currency originally due. </w:t>
      </w:r>
    </w:p>
    <w:p>
      <w:pPr>
        <w:pStyle w:val="TextBody"/>
        <w:bidi w:val="0"/>
        <w:spacing w:before="240" w:after="0"/>
        <w:jc w:val="both"/>
        <w:rPr>
          <w:rFonts w:ascii="Times New Roman" w:hAnsi="Times New Roman"/>
          <w:sz w:val="24"/>
        </w:rPr>
      </w:pPr>
      <w:r>
        <w:rPr>
          <w:rFonts w:ascii="Times New Roman" w:hAnsi="Times New Roman"/>
          <w:sz w:val="24"/>
        </w:rPr>
        <w:t xml:space="preserve">(b) In the event of the winding-up of the Company at any time while any amount or damages owing under the Securities and this Indenture, or any judgment or order rendered in respect thereof, shall remain outstanding, the Company shall indemnify and hold the Holders of Securities and the Trustee harmless against any deficiency arising or resulting from any variation in rates of exchange between (1) the date as of which the equivalent of the amount in the Required Currency due or contingently due under the Securities and this Indenture (other than under this Subsection (b)) is calculated for the purposes of such winding-up and (2) the final date for the filing of proofs of claim in such winding-up. For the purpose of this Subsection (b) the final date for the filing of proofs of claim in the winding-up of the Company shall be the date fixed by the liquidator or otherwise in accordance with the relevant provisions of applicable law as being the latest practicable date as at which liabilities of the Company may be ascertained for such winding-up prior to payment by the liquidator or otherwise in respect thereto. </w:t>
      </w:r>
    </w:p>
    <w:p>
      <w:pPr>
        <w:pStyle w:val="TextBody"/>
        <w:bidi w:val="0"/>
        <w:spacing w:before="240" w:after="0"/>
        <w:jc w:val="both"/>
        <w:rPr>
          <w:rFonts w:ascii="Times New Roman" w:hAnsi="Times New Roman"/>
          <w:sz w:val="24"/>
        </w:rPr>
      </w:pPr>
      <w:r>
        <w:rPr>
          <w:rFonts w:ascii="Times New Roman" w:hAnsi="Times New Roman"/>
          <w:sz w:val="24"/>
        </w:rPr>
        <w:t xml:space="preserve">(c) The obligations contained in Subsections (a)(ii) and (b) of this Section shall constitute separate and independent obligations of the Company from its other obligations under the Securities and this Indenture, shall give rise to separate and independent causes of action against the Company, shall apply irrespective of any waiver or extension granted by any Holder or Trustee from time to time and shall continue in full force and effect notwithstanding any judgment or order or the filing of any proof of claim in the winding-up of the Company for a liquidated sum in respect of amounts due hereunder (other than under Subsection (b) above) or under any such judgment or order. Any such deficiency as aforesaid shall be deemed to constitute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- 19 -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a loss suffered by the Holders or the Trustee, as the case may be, and no proof or evidence of any actual loss shall be required by the Company or the applicable liquidator. In the case of Subsection (b) above, the amount of such deficiency shall not be deemed to be reduced by any variation in rates of exchange occurring between the said final date and the date of any liquidating distribution. </w:t>
      </w:r>
    </w:p>
    <w:p>
      <w:pPr>
        <w:pStyle w:val="TextBody"/>
        <w:bidi w:val="0"/>
        <w:spacing w:before="240" w:after="0"/>
        <w:jc w:val="both"/>
        <w:rPr>
          <w:rFonts w:ascii="Times New Roman" w:hAnsi="Times New Roman"/>
          <w:sz w:val="24"/>
        </w:rPr>
      </w:pPr>
      <w:bookmarkStart w:id="55" w:name="ex99_1toc528636_60"/>
      <w:bookmarkEnd w:id="55"/>
      <w:r>
        <w:rPr>
          <w:rFonts w:ascii="Times New Roman" w:hAnsi="Times New Roman"/>
          <w:b/>
          <w:sz w:val="24"/>
        </w:rPr>
        <w:t>SECTION 115. Currency Equivalent.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Except as otherwise provided in this Indenture, for purposes of the construction of the terms of this Indenture or of the Securities, in the event that any amount is stated herein in one Currency (the “</w:t>
      </w:r>
      <w:r>
        <w:rPr>
          <w:rFonts w:ascii="Times New Roman" w:hAnsi="Times New Roman"/>
          <w:b/>
          <w:sz w:val="24"/>
        </w:rPr>
        <w:t>First Currency</w:t>
      </w:r>
      <w:r>
        <w:rPr>
          <w:rFonts w:ascii="Times New Roman" w:hAnsi="Times New Roman"/>
          <w:sz w:val="24"/>
        </w:rPr>
        <w:t>”), as of any date such amount shall also be deemed to represent the amount in any other relevant Currency (the “</w:t>
      </w:r>
      <w:r>
        <w:rPr>
          <w:rFonts w:ascii="Times New Roman" w:hAnsi="Times New Roman"/>
          <w:b/>
          <w:sz w:val="24"/>
        </w:rPr>
        <w:t>Other Currency</w:t>
      </w:r>
      <w:r>
        <w:rPr>
          <w:rFonts w:ascii="Times New Roman" w:hAnsi="Times New Roman"/>
          <w:sz w:val="24"/>
        </w:rPr>
        <w:t xml:space="preserve">”) which is required to purchase such amount in the First Currency at the Market Exchange Rate on the date of determination. </w:t>
      </w:r>
    </w:p>
    <w:p>
      <w:pPr>
        <w:pStyle w:val="TextBody"/>
        <w:bidi w:val="0"/>
        <w:spacing w:before="240" w:after="0"/>
        <w:jc w:val="both"/>
        <w:rPr>
          <w:rFonts w:ascii="Times New Roman" w:hAnsi="Times New Roman"/>
          <w:sz w:val="24"/>
        </w:rPr>
      </w:pPr>
      <w:bookmarkStart w:id="56" w:name="ex99_1toc528636_61"/>
      <w:bookmarkEnd w:id="56"/>
      <w:r>
        <w:rPr>
          <w:rFonts w:ascii="Times New Roman" w:hAnsi="Times New Roman"/>
          <w:b/>
          <w:sz w:val="24"/>
        </w:rPr>
        <w:t>SECTION 116. Securities in a Foreign Currency or in Euros.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Unless otherwise specified in or pursuant to a Board Resolution, a supplemental indenture or an Officer’s Certificate delivered pursuant to Section 301 with respect to a particular series of Securities, whenever for purposes of this Indenture any action may be taken by the Holders of a specified percentage in aggregate principal amount of the Securities of one or more series at the time Outstanding and, at such time, there are Outstanding Securities of any such affected series which are denominated in a Foreign Currency (including Euros), then the principal amount of the Securities of such series which shall be deemed to be Outstanding for the purpose of taking such action shall be the amount of Dollars which could be obtained for such principal amount at the Market Exchange Rate on the applicable record date, or if no such record date shall have been established, on the date that the taking of such action shall be authorized by Act of the Holders of all such affected series. The provisions of this paragraph shall also apply in connection with any other action taken by the Holders pursuant to the terms of this Indenture, including without limitation any action under Section  503. </w:t>
      </w:r>
    </w:p>
    <w:p>
      <w:pPr>
        <w:pStyle w:val="TextBody"/>
        <w:bidi w:val="0"/>
        <w:spacing w:before="240" w:after="0"/>
        <w:jc w:val="both"/>
        <w:rPr>
          <w:rFonts w:ascii="Times New Roman" w:hAnsi="Times New Roman"/>
          <w:sz w:val="24"/>
        </w:rPr>
      </w:pPr>
      <w:bookmarkStart w:id="57" w:name="ex99_1toc528636_62"/>
      <w:bookmarkEnd w:id="57"/>
      <w:r>
        <w:rPr>
          <w:rFonts w:ascii="Times New Roman" w:hAnsi="Times New Roman"/>
          <w:b/>
          <w:sz w:val="24"/>
        </w:rPr>
        <w:t>SECTION 117. Conflict with Trust Indenture Legislation.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Each of the Company and the Trustees agrees to comply with all provisions of the Trust Indenture Legislation applicable to or binding upon it in connection with this Indenture and any action to be taken hereunder. If and to the extent that any provision of this Indenture limits, qualifies or conflicts with any mandatory requirement of Trust Indenture Legislation, such mandatory requirements shall prevail. </w:t>
      </w:r>
    </w:p>
    <w:p>
      <w:pPr>
        <w:pStyle w:val="TextBody"/>
        <w:bidi w:val="0"/>
        <w:spacing w:before="240" w:after="0"/>
        <w:jc w:val="both"/>
        <w:rPr>
          <w:rFonts w:ascii="Times New Roman" w:hAnsi="Times New Roman"/>
          <w:sz w:val="24"/>
        </w:rPr>
      </w:pPr>
      <w:bookmarkStart w:id="58" w:name="ex99_1toc528636_63"/>
      <w:bookmarkEnd w:id="58"/>
      <w:r>
        <w:rPr>
          <w:rFonts w:ascii="Times New Roman" w:hAnsi="Times New Roman"/>
          <w:b/>
          <w:sz w:val="24"/>
        </w:rPr>
        <w:t>SECTION 118. Language Clause.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Les parties aux présentes ont exigé que la présente convention ainsi que tous les documents et avis qui s’y rattachent et/ou qui en découleront soient rédigés en langue anglaise. The parties hereto have required that this Indenture and all documents and notices related thereto be drawn up in English.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- 20 -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bookmarkStart w:id="59" w:name="ex99_1toc528636_64"/>
      <w:bookmarkEnd w:id="59"/>
      <w:r>
        <w:rPr>
          <w:rFonts w:ascii="Times New Roman" w:hAnsi="Times New Roman"/>
          <w:b/>
          <w:sz w:val="24"/>
        </w:rPr>
        <w:t>SECTION 119. Shareholders, Officers and Directors Exempt from Individual Liability.</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No recourse under or upon any obligation, covenant or agreement contained in this Indenture, or in any Security, or because of any indebtedness evidenced thereby, shall be had against any past, present or future shareholder,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 </w:t>
      </w:r>
    </w:p>
    <w:p>
      <w:pPr>
        <w:pStyle w:val="TextBody"/>
        <w:bidi w:val="0"/>
        <w:spacing w:before="240" w:after="0"/>
        <w:jc w:val="both"/>
        <w:rPr>
          <w:rFonts w:ascii="Times New Roman" w:hAnsi="Times New Roman"/>
          <w:sz w:val="24"/>
        </w:rPr>
      </w:pPr>
      <w:bookmarkStart w:id="60" w:name="ex99_1toc528636_65"/>
      <w:bookmarkEnd w:id="60"/>
      <w:r>
        <w:rPr>
          <w:rFonts w:ascii="Times New Roman" w:hAnsi="Times New Roman"/>
          <w:b/>
          <w:sz w:val="24"/>
        </w:rPr>
        <w:t>SECTION 120. Counterparts.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This Indenture may be executed in any number of counterparts, each of which so executed shall be deemed to be an original, but all such counterparts shall together constitute but one and the same Indenture. Counterparts may be delivered via facsimile, electronic mail, electronic signatures (including, without limitation, DocuSign and AdobeSign) or other transmission method and any counterpart so delivered shall be deemed to have been duly and validly delivered and be valid and effective for all purposes. Facsimile, documents executed, scanned and transmitted electronically and electronic signatures, including those created or transmitted through a software platform or application, shall be deemed original signatures for purposes of this Indenture and all other related documents and all matters and agreements related thereto, with such facsimile, scanned and electronic signatures having the same legal effect as original signatures. The parties agree that this Indenture or any other related document or any instrument, agreement or document necessary for the consummation of the transactions contemplated by this Indenture or the other related documents or related hereto or thereto (including, without limitation, addendums, amendments, notices, instructions, communications with respect to the delivery of securities or the wire transfer of funds or other communications) (“</w:t>
      </w:r>
      <w:r>
        <w:rPr>
          <w:rFonts w:ascii="Times New Roman" w:hAnsi="Times New Roman"/>
          <w:b/>
          <w:sz w:val="24"/>
        </w:rPr>
        <w:t>Executed Documentation</w:t>
      </w:r>
      <w:r>
        <w:rPr>
          <w:rFonts w:ascii="Times New Roman" w:hAnsi="Times New Roman"/>
          <w:sz w:val="24"/>
        </w:rPr>
        <w:t xml:space="preserve">”)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acts on any Executed Documentation sent by electronic transmission, the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- 21 -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out of such electronic methods, including, without limitation, the risk of the Trustee acting on unauthorized instructions and the risk of interception and misuse by third parties.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TWO </w:t>
      </w:r>
    </w:p>
    <w:p>
      <w:pPr>
        <w:pStyle w:val="TextBody"/>
        <w:bidi w:val="0"/>
        <w:spacing w:before="240" w:after="0"/>
        <w:jc w:val="center"/>
        <w:rPr>
          <w:rFonts w:ascii="Times New Roman" w:hAnsi="Times New Roman"/>
          <w:b/>
          <w:sz w:val="24"/>
        </w:rPr>
      </w:pPr>
      <w:r>
        <w:rPr>
          <w:rFonts w:ascii="Times New Roman" w:hAnsi="Times New Roman"/>
          <w:b/>
          <w:sz w:val="24"/>
        </w:rPr>
        <w:t xml:space="preserve">SECURITIES FORMS </w:t>
      </w:r>
    </w:p>
    <w:p>
      <w:pPr>
        <w:pStyle w:val="TextBody"/>
        <w:bidi w:val="0"/>
        <w:spacing w:before="240" w:after="0"/>
        <w:jc w:val="both"/>
        <w:rPr>
          <w:rFonts w:ascii="Times New Roman" w:hAnsi="Times New Roman"/>
          <w:b/>
          <w:sz w:val="24"/>
        </w:rPr>
      </w:pPr>
      <w:bookmarkStart w:id="61" w:name="ex99_1toc528636_69"/>
      <w:bookmarkEnd w:id="61"/>
      <w:r>
        <w:rPr>
          <w:rFonts w:ascii="Times New Roman" w:hAnsi="Times New Roman"/>
          <w:b/>
          <w:sz w:val="24"/>
        </w:rPr>
        <w:t xml:space="preserve">SECTION 201. Forms Generally. </w:t>
      </w:r>
    </w:p>
    <w:p>
      <w:pPr>
        <w:pStyle w:val="TextBody"/>
        <w:bidi w:val="0"/>
        <w:spacing w:before="240" w:after="0"/>
        <w:jc w:val="both"/>
        <w:rPr>
          <w:rFonts w:ascii="Times New Roman" w:hAnsi="Times New Roman"/>
          <w:sz w:val="24"/>
        </w:rPr>
      </w:pPr>
      <w:r>
        <w:rPr>
          <w:rFonts w:ascii="Times New Roman" w:hAnsi="Times New Roman"/>
          <w:sz w:val="24"/>
        </w:rPr>
        <w:t xml:space="preserve">(a) The Securities, if any, of each series shall be in substantially the forms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any law, with any rule or regulation made pursuant thereto, with the rules of any securities exchange or to conform to usage as may, consistently herewith, be determined by the officers executing such Securities, as evidenced by their execution of the Securities. If the forms of Securities of any series are established by action taken pursuant to a Board Resolution, a copy of an appropriate record of such action shall be certified by an officer of the Company and delivered to the Trustee at or prior to the delivery of the Company Order contemplated by Section 303(c) for the authentication and delivery of such Securities. If temporary Securities of any series are issued in global form as permitted by Section 304, the form thereof shall be established as provided in the preceding sentence. Any portion of the text of any Security may be set forth on the reverse thereof, with an appropriate reference thereto on the face of the Security. </w:t>
      </w:r>
    </w:p>
    <w:p>
      <w:pPr>
        <w:pStyle w:val="TextBody"/>
        <w:bidi w:val="0"/>
        <w:spacing w:before="240" w:after="0"/>
        <w:jc w:val="both"/>
        <w:rPr>
          <w:rFonts w:ascii="Times New Roman" w:hAnsi="Times New Roman"/>
          <w:sz w:val="24"/>
        </w:rPr>
      </w:pPr>
      <w:r>
        <w:rPr>
          <w:rFonts w:ascii="Times New Roman" w:hAnsi="Times New Roman"/>
          <w:sz w:val="24"/>
        </w:rPr>
        <w:t xml:space="preserve">(b) The Trustee’s certificate of authentication on all Securities shall be in substantially the form set forth in this Article. </w:t>
      </w:r>
    </w:p>
    <w:p>
      <w:pPr>
        <w:pStyle w:val="TextBody"/>
        <w:bidi w:val="0"/>
        <w:spacing w:before="240" w:after="0"/>
        <w:jc w:val="both"/>
        <w:rPr>
          <w:rFonts w:ascii="Times New Roman" w:hAnsi="Times New Roman"/>
          <w:sz w:val="24"/>
        </w:rPr>
      </w:pPr>
      <w:r>
        <w:rPr>
          <w:rFonts w:ascii="Times New Roman" w:hAnsi="Times New Roman"/>
          <w:sz w:val="24"/>
        </w:rPr>
        <w:t xml:space="preserve">(c) The definitive Securities shall be printed, lithographed or engraved or produced by any combination of these methods on steel-engraved borders or may be produced in any other manner, all as determined by the officers of the Company executing such Securities, as evidenced by their execution of such Securities. </w:t>
      </w:r>
    </w:p>
    <w:p>
      <w:pPr>
        <w:pStyle w:val="TextBody"/>
        <w:bidi w:val="0"/>
        <w:spacing w:before="240" w:after="0"/>
        <w:jc w:val="both"/>
        <w:rPr>
          <w:rFonts w:ascii="Times New Roman" w:hAnsi="Times New Roman"/>
          <w:sz w:val="24"/>
        </w:rPr>
      </w:pPr>
      <w:bookmarkStart w:id="62" w:name="ex99_1toc528636_70"/>
      <w:bookmarkEnd w:id="62"/>
      <w:r>
        <w:rPr>
          <w:rFonts w:ascii="Times New Roman" w:hAnsi="Times New Roman"/>
          <w:b/>
          <w:sz w:val="24"/>
        </w:rPr>
        <w:t>SECTION 202. Form of Trustee’s Certificate of Authentication.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Subject to Sections 609 and 611, the Trustee’s certificate of authentication shall be in substantially the following form: </w:t>
      </w:r>
    </w:p>
    <w:p>
      <w:pPr>
        <w:pStyle w:val="TextBody"/>
        <w:bidi w:val="0"/>
        <w:spacing w:before="240" w:after="0"/>
        <w:jc w:val="center"/>
        <w:rPr>
          <w:rFonts w:ascii="Times New Roman" w:hAnsi="Times New Roman"/>
          <w:b/>
          <w:sz w:val="24"/>
        </w:rPr>
      </w:pPr>
      <w:r>
        <w:rPr>
          <w:rFonts w:ascii="Times New Roman" w:hAnsi="Times New Roman"/>
          <w:b/>
          <w:sz w:val="24"/>
        </w:rPr>
        <w:t xml:space="preserve">TRUSTEE’S CERTIFICATE OF AUTHENTICATION </w:t>
      </w:r>
    </w:p>
    <w:p>
      <w:pPr>
        <w:pStyle w:val="TextBody"/>
        <w:bidi w:val="0"/>
        <w:spacing w:before="240" w:after="0"/>
        <w:jc w:val="both"/>
        <w:rPr>
          <w:rFonts w:ascii="Times New Roman" w:hAnsi="Times New Roman"/>
          <w:sz w:val="24"/>
        </w:rPr>
      </w:pPr>
      <w:r>
        <w:rPr>
          <w:rFonts w:ascii="Times New Roman" w:hAnsi="Times New Roman"/>
          <w:sz w:val="24"/>
        </w:rPr>
        <w:t xml:space="preserve">Dated: </w:t>
      </w:r>
      <w:r>
        <w:rPr>
          <w:rFonts w:ascii="Times New Roman" w:hAnsi="Times New Roman"/>
          <w:sz w:val="24"/>
          <w:u w:val="single"/>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This is one of the Securities of the series designated and issued under the Indenture as described herein.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- 22 -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12"/>
        <w:gridCol w:w="61"/>
        <w:gridCol w:w="3609"/>
      </w:tblGrid>
      <w:tr>
        <w:trPr/>
        <w:tc>
          <w:tcPr>
            <w:tcW w:w="41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sz w:val="24"/>
              </w:rPr>
            </w:pPr>
            <w:r>
              <w:rPr>
                <w:b/>
                <w:sz w:val="24"/>
              </w:rPr>
              <w:t>[   ],</w:t>
            </w:r>
          </w:p>
        </w:tc>
      </w:tr>
      <w:tr>
        <w:trPr/>
        <w:tc>
          <w:tcPr>
            <w:tcW w:w="4082" w:type="dxa"/>
            <w:gridSpan w:val="3"/>
            <w:tcBorders/>
            <w:vAlign w:val="bottom"/>
          </w:tcPr>
          <w:p>
            <w:pPr>
              <w:pStyle w:val="TableContents"/>
              <w:bidi w:val="0"/>
              <w:spacing w:before="0" w:after="283"/>
              <w:jc w:val="left"/>
              <w:rPr>
                <w:b/>
                <w:sz w:val="24"/>
              </w:rPr>
            </w:pPr>
            <w:r>
              <w:rPr>
                <w:b/>
                <w:sz w:val="24"/>
              </w:rPr>
              <w:t>as Trustee</w:t>
            </w:r>
          </w:p>
        </w:tc>
      </w:tr>
      <w:tr>
        <w:trPr>
          <w:trHeight w:val="120" w:hRule="atLeast"/>
        </w:trPr>
        <w:tc>
          <w:tcPr>
            <w:tcW w:w="412" w:type="dxa"/>
            <w:tcBorders/>
            <w:vAlign w:val="center"/>
          </w:tcPr>
          <w:p>
            <w:pPr>
              <w:pStyle w:val="TableContents"/>
              <w:bidi w:val="0"/>
              <w:spacing w:before="0" w:after="283"/>
              <w:jc w:val="left"/>
              <w:rPr>
                <w:sz w:val="4"/>
                <w:szCs w:val="4"/>
              </w:rPr>
            </w:pPr>
            <w:r>
              <w:rPr>
                <w:sz w:val="4"/>
                <w:szCs w:val="4"/>
              </w:rPr>
            </w:r>
          </w:p>
        </w:tc>
        <w:tc>
          <w:tcPr>
            <w:tcW w:w="3670" w:type="dxa"/>
            <w:gridSpan w:val="2"/>
            <w:tcBorders/>
            <w:vAlign w:val="center"/>
          </w:tcPr>
          <w:p>
            <w:pPr>
              <w:pStyle w:val="TableContents"/>
              <w:bidi w:val="0"/>
              <w:spacing w:before="0" w:after="283"/>
              <w:jc w:val="left"/>
              <w:rPr>
                <w:sz w:val="4"/>
                <w:szCs w:val="4"/>
              </w:rPr>
            </w:pPr>
            <w:r>
              <w:rPr>
                <w:sz w:val="4"/>
                <w:szCs w:val="4"/>
              </w:rPr>
            </w:r>
          </w:p>
        </w:tc>
      </w:tr>
      <w:tr>
        <w:trPr/>
        <w:tc>
          <w:tcPr>
            <w:tcW w:w="412"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0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1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09" w:type="dxa"/>
            <w:tcBorders/>
            <w:vAlign w:val="bottom"/>
          </w:tcPr>
          <w:p>
            <w:pPr>
              <w:pStyle w:val="TableContents"/>
              <w:bidi w:val="0"/>
              <w:spacing w:before="0" w:after="283"/>
              <w:jc w:val="left"/>
              <w:rPr/>
            </w:pPr>
            <w:r>
              <w:rPr/>
              <w:t>authorized signatory</w:t>
            </w:r>
          </w:p>
        </w:tc>
      </w:tr>
    </w:tbl>
    <w:p>
      <w:pPr>
        <w:pStyle w:val="TextBody"/>
        <w:bidi w:val="0"/>
        <w:spacing w:before="240" w:after="0"/>
        <w:jc w:val="both"/>
        <w:rPr>
          <w:rFonts w:ascii="Times New Roman" w:hAnsi="Times New Roman"/>
          <w:sz w:val="24"/>
        </w:rPr>
      </w:pPr>
      <w:r>
        <w:rPr>
          <w:rFonts w:ascii="Times New Roman" w:hAnsi="Times New Roman"/>
          <w:sz w:val="24"/>
        </w:rPr>
        <w:t xml:space="preserve">THE CERTIFICATE OF THE TRUSTEE SIGNED ON THE SECURITIES WILL NOT BE CONSTRUED AS A REPRESENTATION OR WARRANTY BY THE TRUSTEE AS TO THE VALIDITY OF THE INDENTURE OR OF THE SECURITIES OR OF THEIR ISSUANCE AND THE TRUSTEE WILL IN NO RESPECT BE LIABLE OR ANSWERABLE FOR THE USE MADE OF SUCH SECURITIES OR ANY OF THEM OR THE PROCEEDS THEREOF. THE CERTIFICATE OF THE TRUSTEE SIGNED ON THE SECURITIES WILL, HOWEVER, BE A REPRESENTATION AND WARRANTY BY THE TRUSTEE THAT THE SECURITIES HAVE BEEN DULY CERTIFIED BY OR ON BEHALF OF THE TRUSTEE PURSUANT TO THE PROVISIONS OF THE INDENTURE. </w:t>
      </w:r>
    </w:p>
    <w:p>
      <w:pPr>
        <w:pStyle w:val="TextBody"/>
        <w:bidi w:val="0"/>
        <w:spacing w:before="240" w:after="0"/>
        <w:jc w:val="both"/>
        <w:rPr>
          <w:rFonts w:ascii="Times New Roman" w:hAnsi="Times New Roman"/>
          <w:sz w:val="24"/>
        </w:rPr>
      </w:pPr>
      <w:bookmarkStart w:id="63" w:name="ex99_1toc528636_71"/>
      <w:bookmarkEnd w:id="63"/>
      <w:r>
        <w:rPr>
          <w:rFonts w:ascii="Times New Roman" w:hAnsi="Times New Roman"/>
          <w:b/>
          <w:sz w:val="24"/>
        </w:rPr>
        <w:t>SECTION 203. Securities Issuable in Global Form.</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(a) If Securities of or within a series are issuable in global form, as specified and contemplated by Section 301, then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therein or in the Company Order to be delivered to the Trustee pursuant to Section 303 or Section 304. Subject to the provisions of Section 303 and, if applicable, Section 304, the Trustee shall deliver and redeliver any Security in permanent global form in the manner and upon instructions given by the Person or Persons specified therein or in the applicable Company Order. If a Company Order pursuant to Section 303 or Section 304 has been, or simultaneously is, delivered, any instructions by the Company with respect to endorsement or delivery or redelivery of a Security in global form shall be in writing but need not comply with Section 102 and need not be accompanied by an Opinion of Counsel. </w:t>
      </w:r>
    </w:p>
    <w:p>
      <w:pPr>
        <w:pStyle w:val="TextBody"/>
        <w:bidi w:val="0"/>
        <w:spacing w:before="240" w:after="0"/>
        <w:jc w:val="both"/>
        <w:rPr>
          <w:rFonts w:ascii="Times New Roman" w:hAnsi="Times New Roman"/>
          <w:sz w:val="24"/>
        </w:rPr>
      </w:pPr>
      <w:r>
        <w:rPr>
          <w:rFonts w:ascii="Times New Roman" w:hAnsi="Times New Roman"/>
          <w:sz w:val="24"/>
        </w:rPr>
        <w:t xml:space="preserve">(b) The provisions of the last sentence of Section 303(h)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303(h). </w:t>
      </w:r>
    </w:p>
    <w:p>
      <w:pPr>
        <w:pStyle w:val="TextBody"/>
        <w:bidi w:val="0"/>
        <w:spacing w:before="240" w:after="0"/>
        <w:jc w:val="both"/>
        <w:rPr>
          <w:rFonts w:ascii="Times New Roman" w:hAnsi="Times New Roman"/>
          <w:sz w:val="24"/>
        </w:rPr>
      </w:pPr>
      <w:r>
        <w:rPr>
          <w:rFonts w:ascii="Times New Roman" w:hAnsi="Times New Roman"/>
          <w:sz w:val="24"/>
        </w:rPr>
        <w:t xml:space="preserve">(c) Notwithstanding the provisions of Section 307, unless otherwise specified as contemplated by Section 301, payment of principal of, (and premium, if any) and interest, if any, on any Security in permanent global form shall be made to the Person or Persons specified therein.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- 23 -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(d) Notwithstanding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in registered form, the Holder of such permanent global Security in registered form.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THREE </w:t>
      </w:r>
    </w:p>
    <w:p>
      <w:pPr>
        <w:pStyle w:val="TextBody"/>
        <w:bidi w:val="0"/>
        <w:spacing w:before="240" w:after="0"/>
        <w:jc w:val="center"/>
        <w:rPr>
          <w:rFonts w:ascii="Times New Roman" w:hAnsi="Times New Roman"/>
          <w:b/>
          <w:sz w:val="24"/>
        </w:rPr>
      </w:pPr>
      <w:r>
        <w:rPr>
          <w:rFonts w:ascii="Times New Roman" w:hAnsi="Times New Roman"/>
          <w:b/>
          <w:sz w:val="24"/>
        </w:rPr>
        <w:t xml:space="preserve">THE SECURITIES </w:t>
      </w:r>
    </w:p>
    <w:p>
      <w:pPr>
        <w:pStyle w:val="TextBody"/>
        <w:bidi w:val="0"/>
        <w:spacing w:before="240" w:after="0"/>
        <w:jc w:val="both"/>
        <w:rPr>
          <w:rFonts w:ascii="Times New Roman" w:hAnsi="Times New Roman"/>
          <w:b/>
          <w:sz w:val="24"/>
        </w:rPr>
      </w:pPr>
      <w:bookmarkStart w:id="64" w:name="ex99_1toc528636_75"/>
      <w:bookmarkEnd w:id="64"/>
      <w:r>
        <w:rPr>
          <w:rFonts w:ascii="Times New Roman" w:hAnsi="Times New Roman"/>
          <w:b/>
          <w:sz w:val="24"/>
        </w:rPr>
        <w:t xml:space="preserve">SECTION 301. Amount Unlimited; Issuable in Series. </w:t>
      </w:r>
    </w:p>
    <w:p>
      <w:pPr>
        <w:pStyle w:val="TextBody"/>
        <w:bidi w:val="0"/>
        <w:spacing w:before="240" w:after="0"/>
        <w:jc w:val="both"/>
        <w:rPr>
          <w:rFonts w:ascii="Times New Roman" w:hAnsi="Times New Roman"/>
          <w:sz w:val="24"/>
        </w:rPr>
      </w:pPr>
      <w:r>
        <w:rPr>
          <w:rFonts w:ascii="Times New Roman" w:hAnsi="Times New Roman"/>
          <w:sz w:val="24"/>
        </w:rPr>
        <w:t xml:space="preserve">(a) The aggregate principal amount of Securities which may be authenticated and delivered under this Indenture is unlimited. </w:t>
      </w:r>
    </w:p>
    <w:p>
      <w:pPr>
        <w:pStyle w:val="TextBody"/>
        <w:bidi w:val="0"/>
        <w:spacing w:before="240" w:after="0"/>
        <w:jc w:val="both"/>
        <w:rPr>
          <w:rFonts w:ascii="Times New Roman" w:hAnsi="Times New Roman"/>
          <w:sz w:val="24"/>
        </w:rPr>
      </w:pPr>
      <w:r>
        <w:rPr>
          <w:rFonts w:ascii="Times New Roman" w:hAnsi="Times New Roman"/>
          <w:sz w:val="24"/>
        </w:rPr>
        <w:t xml:space="preserve">(b) The Securities may be issued in one or more series. There shall be established in one or more Board Resolutions or pursuant to authority granted by one or more Board Resolutions and, subject to Section 303, set forth in, or determined in the manner provided in, an Officer’s Certificate, or established in one or more indentures supplemental hereto, prior to the issuance of Securities of any series, any or all of the following, as applicable: </w:t>
      </w:r>
    </w:p>
    <w:p>
      <w:pPr>
        <w:pStyle w:val="TextBody"/>
        <w:bidi w:val="0"/>
        <w:spacing w:before="240" w:after="0"/>
        <w:jc w:val="both"/>
        <w:rPr>
          <w:rFonts w:ascii="Times New Roman" w:hAnsi="Times New Roman"/>
          <w:sz w:val="24"/>
        </w:rPr>
      </w:pPr>
      <w:r>
        <w:rPr>
          <w:rFonts w:ascii="Times New Roman" w:hAnsi="Times New Roman"/>
          <w:sz w:val="24"/>
        </w:rPr>
        <w:t xml:space="preserve">(1) the title of the Securities of the series (which shall distinguish the Securities of the series from all other series of Securities) and the Trustee of the Securities of the series; </w:t>
      </w:r>
    </w:p>
    <w:p>
      <w:pPr>
        <w:pStyle w:val="TextBody"/>
        <w:bidi w:val="0"/>
        <w:spacing w:before="240" w:after="0"/>
        <w:jc w:val="both"/>
        <w:rPr>
          <w:rFonts w:ascii="Times New Roman" w:hAnsi="Times New Roman"/>
          <w:sz w:val="24"/>
        </w:rPr>
      </w:pPr>
      <w:r>
        <w:rPr>
          <w:rFonts w:ascii="Times New Roman" w:hAnsi="Times New Roman"/>
          <w:sz w:val="24"/>
        </w:rPr>
        <w:t xml:space="preserve">(2) the Subsidiary Guarantors, if any, for such series of Securities, if other than as provided herein, and any Co-Obligor for such series; </w:t>
      </w:r>
    </w:p>
    <w:p>
      <w:pPr>
        <w:pStyle w:val="TextBody"/>
        <w:bidi w:val="0"/>
        <w:spacing w:before="240" w:after="0"/>
        <w:jc w:val="both"/>
        <w:rPr>
          <w:rFonts w:ascii="Times New Roman" w:hAnsi="Times New Roman"/>
          <w:sz w:val="24"/>
        </w:rPr>
      </w:pPr>
      <w:r>
        <w:rPr>
          <w:rFonts w:ascii="Times New Roman" w:hAnsi="Times New Roman"/>
          <w:sz w:val="24"/>
        </w:rPr>
        <w:t xml:space="preserve">(3) any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or 1107); </w:t>
      </w:r>
    </w:p>
    <w:p>
      <w:pPr>
        <w:pStyle w:val="TextBody"/>
        <w:bidi w:val="0"/>
        <w:spacing w:before="240" w:after="0"/>
        <w:jc w:val="both"/>
        <w:rPr>
          <w:rFonts w:ascii="Times New Roman" w:hAnsi="Times New Roman"/>
          <w:sz w:val="24"/>
        </w:rPr>
      </w:pPr>
      <w:r>
        <w:rPr>
          <w:rFonts w:ascii="Times New Roman" w:hAnsi="Times New Roman"/>
          <w:sz w:val="24"/>
        </w:rPr>
        <w:t xml:space="preserve">(4) the extent and manner, if any, to which payment on or in respect of Securities of that series will be senior or will be subordinated to the prior payment or other liabilities and obligations of the Company and the extent and manner, if any, to which payment on or in respect of the Guarantee will be senior or will be subordinated to the prior payment or other liabilities and obligations of the Subsidiary Guarantors, as applicable; </w:t>
      </w:r>
    </w:p>
    <w:p>
      <w:pPr>
        <w:pStyle w:val="TextBody"/>
        <w:bidi w:val="0"/>
        <w:spacing w:before="240" w:after="0"/>
        <w:jc w:val="both"/>
        <w:rPr>
          <w:rFonts w:ascii="Times New Roman" w:hAnsi="Times New Roman"/>
          <w:sz w:val="24"/>
        </w:rPr>
      </w:pPr>
      <w:r>
        <w:rPr>
          <w:rFonts w:ascii="Times New Roman" w:hAnsi="Times New Roman"/>
          <w:sz w:val="24"/>
        </w:rPr>
        <w:t xml:space="preserve">(5) the percentage or percentages of principal amount at which the Securities of a series will be issued; </w:t>
      </w:r>
    </w:p>
    <w:p>
      <w:pPr>
        <w:pStyle w:val="TextBody"/>
        <w:bidi w:val="0"/>
        <w:spacing w:before="240" w:after="0"/>
        <w:jc w:val="both"/>
        <w:rPr>
          <w:rFonts w:ascii="Times New Roman" w:hAnsi="Times New Roman"/>
          <w:sz w:val="24"/>
        </w:rPr>
      </w:pPr>
      <w:r>
        <w:rPr>
          <w:rFonts w:ascii="Times New Roman" w:hAnsi="Times New Roman"/>
          <w:sz w:val="24"/>
        </w:rPr>
        <w:t xml:space="preserve">(6) the date or dates, or the method by which such date or dates will be determined or extended, on which the principal of the Securities of the series is payable; </w:t>
      </w:r>
    </w:p>
    <w:p>
      <w:pPr>
        <w:pStyle w:val="TextBody"/>
        <w:bidi w:val="0"/>
        <w:spacing w:before="240" w:after="0"/>
        <w:jc w:val="both"/>
        <w:rPr>
          <w:rFonts w:ascii="Times New Roman" w:hAnsi="Times New Roman"/>
          <w:sz w:val="24"/>
        </w:rPr>
      </w:pPr>
      <w:r>
        <w:rPr>
          <w:rFonts w:ascii="Times New Roman" w:hAnsi="Times New Roman"/>
          <w:sz w:val="24"/>
        </w:rPr>
        <w:t xml:space="preserve">(7) the rate or rates at which the Securities of the series shall bear interest, if any, or the method by which such rate or rates shall be determined, the date or dates from which such interest shall accrue, or the method by which such date or dates shall be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determined, the Interest Payment Dates on which such interest shall be payable and the Regular Record Date, if any, for the interest payable on any Security on any Interest Payment Date, or the method by which such date or dates shall be determined, and the basis upon which interest shall be calculated if other than on the basis of a 360-day year of twelve 30-day months; </w:t>
      </w:r>
    </w:p>
    <w:p>
      <w:pPr>
        <w:pStyle w:val="TextBody"/>
        <w:bidi w:val="0"/>
        <w:spacing w:before="240" w:after="0"/>
        <w:jc w:val="both"/>
        <w:rPr>
          <w:rFonts w:ascii="Times New Roman" w:hAnsi="Times New Roman"/>
          <w:sz w:val="24"/>
        </w:rPr>
      </w:pPr>
      <w:r>
        <w:rPr>
          <w:rFonts w:ascii="Times New Roman" w:hAnsi="Times New Roman"/>
          <w:sz w:val="24"/>
        </w:rPr>
        <w:t xml:space="preserve">(8) the place or places, if any, other than or in addition to the Borough of Manhattan, The City of New York, where the principal of (and premium, if any) and interest, if any, on Securities of the series shall be payable, where any Securities of the series may be surrendered for registration of transfer, where Securities of the series may be surrendered for exchange, where Securities of the series that are convertible or exchangeable may be surrendered for conversion or exchange, as applicable and, if different than the location specified in Section 105, the place or places where notices or demands to or upon the Company in respect of the Securities of the series and this Indenture may be served; </w:t>
      </w:r>
    </w:p>
    <w:p>
      <w:pPr>
        <w:pStyle w:val="TextBody"/>
        <w:bidi w:val="0"/>
        <w:spacing w:before="240" w:after="0"/>
        <w:jc w:val="both"/>
        <w:rPr>
          <w:rFonts w:ascii="Times New Roman" w:hAnsi="Times New Roman"/>
          <w:sz w:val="24"/>
        </w:rPr>
      </w:pPr>
      <w:r>
        <w:rPr>
          <w:rFonts w:ascii="Times New Roman" w:hAnsi="Times New Roman"/>
          <w:sz w:val="24"/>
        </w:rPr>
        <w:t xml:space="preserve">(9) the period or periods within which, the price or prices at which, the Currency in which, and other terms and conditions upon which Securities of the series may be redeemed, in whole or in part, at the option of the Company, if the Company is to have that option; </w:t>
      </w:r>
    </w:p>
    <w:p>
      <w:pPr>
        <w:pStyle w:val="TextBody"/>
        <w:bidi w:val="0"/>
        <w:spacing w:before="240" w:after="0"/>
        <w:jc w:val="both"/>
        <w:rPr>
          <w:rFonts w:ascii="Times New Roman" w:hAnsi="Times New Roman"/>
          <w:sz w:val="24"/>
        </w:rPr>
      </w:pPr>
      <w:r>
        <w:rPr>
          <w:rFonts w:ascii="Times New Roman" w:hAnsi="Times New Roman"/>
          <w:sz w:val="24"/>
        </w:rPr>
        <w:t xml:space="preserve">(10) the obligation, if any, of the Company to redeem, repay or purchase Securities of the series pursuant to any sinking fund or analogous provision or at the option of a Holder thereof, and the period or periods within which, the price or prices at which, the Currency in which, and other terms and conditions upon which Securities of the series shall be redeemed, repaid or purchased, in whole or in part, pursuant to such obligation; </w:t>
      </w:r>
    </w:p>
    <w:p>
      <w:pPr>
        <w:pStyle w:val="TextBody"/>
        <w:bidi w:val="0"/>
        <w:spacing w:before="240" w:after="0"/>
        <w:jc w:val="both"/>
        <w:rPr>
          <w:rFonts w:ascii="Times New Roman" w:hAnsi="Times New Roman"/>
          <w:sz w:val="24"/>
        </w:rPr>
      </w:pPr>
      <w:r>
        <w:rPr>
          <w:rFonts w:ascii="Times New Roman" w:hAnsi="Times New Roman"/>
          <w:sz w:val="24"/>
        </w:rPr>
        <w:t xml:space="preserve">(11) if other than minimum denominations of $1,000 and any integral multiple thereof, the denomination or denominations in which any Securities of the series shall be issuable; </w:t>
      </w:r>
    </w:p>
    <w:p>
      <w:pPr>
        <w:pStyle w:val="TextBody"/>
        <w:bidi w:val="0"/>
        <w:spacing w:before="240" w:after="0"/>
        <w:jc w:val="both"/>
        <w:rPr>
          <w:rFonts w:ascii="Times New Roman" w:hAnsi="Times New Roman"/>
          <w:sz w:val="24"/>
        </w:rPr>
      </w:pPr>
      <w:r>
        <w:rPr>
          <w:rFonts w:ascii="Times New Roman" w:hAnsi="Times New Roman"/>
          <w:sz w:val="24"/>
        </w:rPr>
        <w:t xml:space="preserve">(12) if other than the Company or the Trustee, the identity of each Security Registrar and/or Paying Agent; </w:t>
      </w:r>
    </w:p>
    <w:p>
      <w:pPr>
        <w:pStyle w:val="TextBody"/>
        <w:bidi w:val="0"/>
        <w:spacing w:before="240" w:after="0"/>
        <w:jc w:val="both"/>
        <w:rPr>
          <w:rFonts w:ascii="Times New Roman" w:hAnsi="Times New Roman"/>
          <w:sz w:val="24"/>
        </w:rPr>
      </w:pPr>
      <w:r>
        <w:rPr>
          <w:rFonts w:ascii="Times New Roman" w:hAnsi="Times New Roman"/>
          <w:sz w:val="24"/>
        </w:rPr>
        <w:t xml:space="preserve">(13) if other than the principal amount thereof, the portion of the principal amount of Securities of the series that shall be payable upon declaration of acceleration of the Maturity thereof pursuant to Section 503 or the method by which such portion shall be determined; </w:t>
      </w:r>
    </w:p>
    <w:p>
      <w:pPr>
        <w:pStyle w:val="TextBody"/>
        <w:bidi w:val="0"/>
        <w:spacing w:before="240" w:after="0"/>
        <w:jc w:val="both"/>
        <w:rPr>
          <w:rFonts w:ascii="Times New Roman" w:hAnsi="Times New Roman"/>
          <w:sz w:val="24"/>
        </w:rPr>
      </w:pPr>
      <w:r>
        <w:rPr>
          <w:rFonts w:ascii="Times New Roman" w:hAnsi="Times New Roman"/>
          <w:sz w:val="24"/>
        </w:rPr>
        <w:t xml:space="preserve">(14) if other than Dollars, the Currency in which payment of the principal of (or premium, if any) or interest, if any, on the Securities of the series shall be payable or in which the Securities of the series shall be denominated and the particular provisions applicable thereto; </w:t>
      </w:r>
    </w:p>
    <w:p>
      <w:pPr>
        <w:pStyle w:val="TextBody"/>
        <w:bidi w:val="0"/>
        <w:spacing w:before="240" w:after="0"/>
        <w:jc w:val="both"/>
        <w:rPr>
          <w:rFonts w:ascii="Times New Roman" w:hAnsi="Times New Roman"/>
          <w:sz w:val="24"/>
        </w:rPr>
      </w:pPr>
      <w:r>
        <w:rPr>
          <w:rFonts w:ascii="Times New Roman" w:hAnsi="Times New Roman"/>
          <w:sz w:val="24"/>
        </w:rPr>
        <w:t xml:space="preserve">(15) whether the amount of payments of principal of (or premium, if any) or interest, if any, on the Securities of the series may be determined with reference to an index, formula or other method (which index, formula or method may be based, without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- 25 -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limitation, on one or more Currencies, commodities, equity indices or other indices), and the manner in which such amounts shall be determined; </w:t>
      </w:r>
    </w:p>
    <w:p>
      <w:pPr>
        <w:pStyle w:val="TextBody"/>
        <w:bidi w:val="0"/>
        <w:spacing w:before="240" w:after="0"/>
        <w:jc w:val="both"/>
        <w:rPr>
          <w:rFonts w:ascii="Times New Roman" w:hAnsi="Times New Roman"/>
          <w:sz w:val="24"/>
        </w:rPr>
      </w:pPr>
      <w:r>
        <w:rPr>
          <w:rFonts w:ascii="Times New Roman" w:hAnsi="Times New Roman"/>
          <w:sz w:val="24"/>
        </w:rPr>
        <w:t xml:space="preserve">(16) whether the principal of (or premium, if any) or interest, if any, on the Securities of the series are to be payable, at the election of the Company or a Holder thereof, in a Currency other than that in which such Securities are denominated or stated to be payable, the period or periods within which, and the terms and conditions upon which, such election may be made, and the time and manner of determining the exchange rate between the Currency in which such Securities are denominated or stated to be payable and the Currency in which such Securities are to be so payable; </w:t>
      </w:r>
    </w:p>
    <w:p>
      <w:pPr>
        <w:pStyle w:val="TextBody"/>
        <w:bidi w:val="0"/>
        <w:spacing w:before="240" w:after="0"/>
        <w:jc w:val="both"/>
        <w:rPr>
          <w:rFonts w:ascii="Times New Roman" w:hAnsi="Times New Roman"/>
          <w:sz w:val="24"/>
        </w:rPr>
      </w:pPr>
      <w:r>
        <w:rPr>
          <w:rFonts w:ascii="Times New Roman" w:hAnsi="Times New Roman"/>
          <w:sz w:val="24"/>
        </w:rPr>
        <w:t xml:space="preserve">(17) the designation of the initial Exchange Rate Agent, if any; </w:t>
      </w:r>
    </w:p>
    <w:p>
      <w:pPr>
        <w:pStyle w:val="TextBody"/>
        <w:bidi w:val="0"/>
        <w:spacing w:before="240" w:after="0"/>
        <w:jc w:val="both"/>
        <w:rPr>
          <w:rFonts w:ascii="Times New Roman" w:hAnsi="Times New Roman"/>
          <w:sz w:val="24"/>
        </w:rPr>
      </w:pPr>
      <w:r>
        <w:rPr>
          <w:rFonts w:ascii="Times New Roman" w:hAnsi="Times New Roman"/>
          <w:sz w:val="24"/>
        </w:rPr>
        <w:t xml:space="preserve">(18) if Sections 1202 and/or 1203 are not applicable to the Securities of the series and any deletion from, modification of, in addition to or in lieu of any of the provisions of Article Twelve with respect to Securities of that series whether or not consistent with the provisions of Article Twelve set forth herein; </w:t>
      </w:r>
    </w:p>
    <w:p>
      <w:pPr>
        <w:pStyle w:val="TextBody"/>
        <w:bidi w:val="0"/>
        <w:spacing w:before="240" w:after="0"/>
        <w:jc w:val="both"/>
        <w:rPr>
          <w:rFonts w:ascii="Times New Roman" w:hAnsi="Times New Roman"/>
          <w:sz w:val="24"/>
        </w:rPr>
      </w:pPr>
      <w:r>
        <w:rPr>
          <w:rFonts w:ascii="Times New Roman" w:hAnsi="Times New Roman"/>
          <w:sz w:val="24"/>
        </w:rPr>
        <w:t xml:space="preserve">(19) provisions, if any, granting special rights to the Holders of Securities of the series upon the occurrence of such events as may be specified; </w:t>
      </w:r>
    </w:p>
    <w:p>
      <w:pPr>
        <w:pStyle w:val="TextBody"/>
        <w:bidi w:val="0"/>
        <w:spacing w:before="240" w:after="0"/>
        <w:jc w:val="both"/>
        <w:rPr>
          <w:rFonts w:ascii="Times New Roman" w:hAnsi="Times New Roman"/>
          <w:sz w:val="24"/>
        </w:rPr>
      </w:pPr>
      <w:r>
        <w:rPr>
          <w:rFonts w:ascii="Times New Roman" w:hAnsi="Times New Roman"/>
          <w:sz w:val="24"/>
        </w:rPr>
        <w:t xml:space="preserve">(20) any deletions from, modifications of or additions to the Events of Default or covenants (including any deletions from, modifications of or additions to Section 1007) of the Company with respect to Securities of the series, whether or not such Events of Default or covenants are consistent with the Events of Default or covenants set forth herein; </w:t>
      </w:r>
    </w:p>
    <w:p>
      <w:pPr>
        <w:pStyle w:val="TextBody"/>
        <w:bidi w:val="0"/>
        <w:spacing w:before="240" w:after="0"/>
        <w:jc w:val="both"/>
        <w:rPr>
          <w:rFonts w:ascii="Times New Roman" w:hAnsi="Times New Roman"/>
          <w:sz w:val="24"/>
        </w:rPr>
      </w:pPr>
      <w:r>
        <w:rPr>
          <w:rFonts w:ascii="Times New Roman" w:hAnsi="Times New Roman"/>
          <w:sz w:val="24"/>
        </w:rPr>
        <w:t xml:space="preserve">(21) whether any Securities of the series are to be issuable initially in temporary global form and whether any Securities of the series are to be issuable in permanent global form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 and the circumstances under which and the place or places where any such exchanges may be made and if Securities of the series are to be issuable in global form, the identity of any initial Depositary therefor (and, if such Depositary is other than DTC or CDS, then such terms and conditions relating the deposit, registration, transfer and exchange of such Securities through the facilities of such other Depositary, and any other necessary or advisable terms specific to such Depositary); </w:t>
      </w:r>
    </w:p>
    <w:p>
      <w:pPr>
        <w:pStyle w:val="TextBody"/>
        <w:bidi w:val="0"/>
        <w:spacing w:before="240" w:after="0"/>
        <w:jc w:val="both"/>
        <w:rPr>
          <w:rFonts w:ascii="Times New Roman" w:hAnsi="Times New Roman"/>
          <w:sz w:val="24"/>
        </w:rPr>
      </w:pPr>
      <w:r>
        <w:rPr>
          <w:rFonts w:ascii="Times New Roman" w:hAnsi="Times New Roman"/>
          <w:sz w:val="24"/>
        </w:rPr>
        <w:t xml:space="preserve">(22) the date as of which any temporary global Security representing Outstanding Securities of the series shall be dated if other than the date of original issuance of the first Security of the series to be issued; </w:t>
      </w:r>
    </w:p>
    <w:p>
      <w:pPr>
        <w:pStyle w:val="TextBody"/>
        <w:bidi w:val="0"/>
        <w:spacing w:before="240" w:after="0"/>
        <w:jc w:val="both"/>
        <w:rPr>
          <w:rFonts w:ascii="Times New Roman" w:hAnsi="Times New Roman"/>
          <w:sz w:val="24"/>
        </w:rPr>
      </w:pPr>
      <w:r>
        <w:rPr>
          <w:rFonts w:ascii="Times New Roman" w:hAnsi="Times New Roman"/>
          <w:sz w:val="24"/>
        </w:rPr>
        <w:t xml:space="preserve">(23) the Person to whom any interest on any Security of the series shall be payable, if other than the Person in whose name that Security (or one or more Predecessor Securities) is registered at the close of business on the Regular Record Date for such interest and the extent to which, or the manner in which, any interest payable on a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- 26 -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temporary global Security on an Interest Payment Date will be paid if other than in the manner provided in Section 304; </w:t>
      </w:r>
    </w:p>
    <w:p>
      <w:pPr>
        <w:pStyle w:val="TextBody"/>
        <w:bidi w:val="0"/>
        <w:spacing w:before="240" w:after="0"/>
        <w:jc w:val="both"/>
        <w:rPr>
          <w:rFonts w:ascii="Times New Roman" w:hAnsi="Times New Roman"/>
          <w:sz w:val="24"/>
        </w:rPr>
      </w:pPr>
      <w:r>
        <w:rPr>
          <w:rFonts w:ascii="Times New Roman" w:hAnsi="Times New Roman"/>
          <w:sz w:val="24"/>
        </w:rPr>
        <w:t xml:space="preserve">(24) if Securities of the series are to be issuable in definitive form (whether upon original issue or upon exchange of a temporary Security of such series) only upon receipt of certain certificates or other documents or satisfaction of other conditions, the form and/or terms of such certificates, documents or conditions; </w:t>
      </w:r>
    </w:p>
    <w:p>
      <w:pPr>
        <w:pStyle w:val="TextBody"/>
        <w:bidi w:val="0"/>
        <w:spacing w:before="240" w:after="0"/>
        <w:jc w:val="both"/>
        <w:rPr>
          <w:rFonts w:ascii="Times New Roman" w:hAnsi="Times New Roman"/>
          <w:sz w:val="24"/>
        </w:rPr>
      </w:pPr>
      <w:r>
        <w:rPr>
          <w:rFonts w:ascii="Times New Roman" w:hAnsi="Times New Roman"/>
          <w:sz w:val="24"/>
        </w:rPr>
        <w:t xml:space="preserve">(25) if the Securities of the series are to be issued upon the exercise of warrants, the time, manner and place for such Securities to be authenticated and delivered; </w:t>
      </w:r>
    </w:p>
    <w:p>
      <w:pPr>
        <w:pStyle w:val="TextBody"/>
        <w:bidi w:val="0"/>
        <w:spacing w:before="240" w:after="0"/>
        <w:jc w:val="both"/>
        <w:rPr>
          <w:rFonts w:ascii="Times New Roman" w:hAnsi="Times New Roman"/>
          <w:sz w:val="24"/>
        </w:rPr>
      </w:pPr>
      <w:r>
        <w:rPr>
          <w:rFonts w:ascii="Times New Roman" w:hAnsi="Times New Roman"/>
          <w:sz w:val="24"/>
        </w:rPr>
        <w:t xml:space="preserve">(26) any applicable terms or conditions related to the addition or removal of any Co-Obligor or any Subsidiary Guarantor in respect of Securities of the series; </w:t>
      </w:r>
    </w:p>
    <w:p>
      <w:pPr>
        <w:pStyle w:val="TextBody"/>
        <w:bidi w:val="0"/>
        <w:spacing w:before="240" w:after="0"/>
        <w:jc w:val="both"/>
        <w:rPr>
          <w:rFonts w:ascii="Times New Roman" w:hAnsi="Times New Roman"/>
          <w:sz w:val="24"/>
        </w:rPr>
      </w:pPr>
      <w:r>
        <w:rPr>
          <w:rFonts w:ascii="Times New Roman" w:hAnsi="Times New Roman"/>
          <w:sz w:val="24"/>
        </w:rPr>
        <w:t xml:space="preserve">(27) whether, under what circumstances and the Currency in which the Company and/or any of the Subsidiary Guarantors will pay Additional Amounts as contemplated by Section 1005 on the Securities of the series and, if so, whether the Company and/or any of the Subsidiary Guarantors will have the option to redeem such Securities rather than pay such Additional Amounts (and the terms of any such option); </w:t>
      </w:r>
    </w:p>
    <w:p>
      <w:pPr>
        <w:pStyle w:val="TextBody"/>
        <w:bidi w:val="0"/>
        <w:spacing w:before="240" w:after="0"/>
        <w:jc w:val="both"/>
        <w:rPr>
          <w:rFonts w:ascii="Times New Roman" w:hAnsi="Times New Roman"/>
          <w:sz w:val="24"/>
        </w:rPr>
      </w:pPr>
      <w:r>
        <w:rPr>
          <w:rFonts w:ascii="Times New Roman" w:hAnsi="Times New Roman"/>
          <w:sz w:val="24"/>
        </w:rPr>
        <w:t xml:space="preserve">(28) if the Securities of the series are to be convertible into or exchangeable for any securities of any Person (including the Company), the terms and conditions upon which such Securities will be so convertible or exchangeable; </w:t>
      </w:r>
    </w:p>
    <w:p>
      <w:pPr>
        <w:pStyle w:val="TextBody"/>
        <w:bidi w:val="0"/>
        <w:spacing w:before="240" w:after="0"/>
        <w:jc w:val="both"/>
        <w:rPr>
          <w:rFonts w:ascii="Times New Roman" w:hAnsi="Times New Roman"/>
          <w:sz w:val="24"/>
        </w:rPr>
      </w:pPr>
      <w:r>
        <w:rPr>
          <w:rFonts w:ascii="Times New Roman" w:hAnsi="Times New Roman"/>
          <w:sz w:val="24"/>
        </w:rPr>
        <w:t xml:space="preserve">(29) the application, if any, of Section 1005 to the Securities of that series; and </w:t>
      </w:r>
    </w:p>
    <w:p>
      <w:pPr>
        <w:pStyle w:val="TextBody"/>
        <w:bidi w:val="0"/>
        <w:spacing w:before="240" w:after="0"/>
        <w:jc w:val="both"/>
        <w:rPr>
          <w:rFonts w:ascii="Times New Roman" w:hAnsi="Times New Roman"/>
          <w:sz w:val="24"/>
        </w:rPr>
      </w:pPr>
      <w:r>
        <w:rPr>
          <w:rFonts w:ascii="Times New Roman" w:hAnsi="Times New Roman"/>
          <w:sz w:val="24"/>
        </w:rPr>
        <w:t xml:space="preserve">(30) any other terms, conditions, rights and preferences (or limitations on such rights and preferences) relating to the series (which terms shall not be inconsistent with the requirements of the Trust Indenture Legislation). </w:t>
      </w:r>
    </w:p>
    <w:p>
      <w:pPr>
        <w:pStyle w:val="TextBody"/>
        <w:bidi w:val="0"/>
        <w:spacing w:before="240" w:after="0"/>
        <w:jc w:val="both"/>
        <w:rPr>
          <w:rFonts w:ascii="Times New Roman" w:hAnsi="Times New Roman"/>
          <w:sz w:val="24"/>
        </w:rPr>
      </w:pPr>
      <w:r>
        <w:rPr>
          <w:rFonts w:ascii="Times New Roman" w:hAnsi="Times New Roman"/>
          <w:sz w:val="24"/>
        </w:rPr>
        <w:t xml:space="preserve">(c) All Securities of any one series shall be substantially identical except as to denomination and except as may otherwise be provided in or pursuant to such Board Resolution (subject to Section 303) and set forth in such Officer’s Certificate or in any such indenture supplemental hereto. Not all Securities of any one series need be issued at the same time, and, unless otherwise provided, a series may be reopened for issuances of additional Securities of such series. </w:t>
      </w:r>
    </w:p>
    <w:p>
      <w:pPr>
        <w:pStyle w:val="TextBody"/>
        <w:bidi w:val="0"/>
        <w:spacing w:before="240" w:after="0"/>
        <w:jc w:val="both"/>
        <w:rPr>
          <w:rFonts w:ascii="Times New Roman" w:hAnsi="Times New Roman"/>
          <w:sz w:val="24"/>
        </w:rPr>
      </w:pPr>
      <w:r>
        <w:rPr>
          <w:rFonts w:ascii="Times New Roman" w:hAnsi="Times New Roman"/>
          <w:sz w:val="24"/>
        </w:rPr>
        <w:t xml:space="preserve">(d) If any of the terms of the series are established by action taken pursuant to one or more Board Resolutions, such Board Resolutions shall be delivered to the Trustee at or prior to the delivery of the Officer’s Certificate setting forth the terms of the series. </w:t>
      </w:r>
    </w:p>
    <w:p>
      <w:pPr>
        <w:pStyle w:val="TextBody"/>
        <w:bidi w:val="0"/>
        <w:spacing w:before="240" w:after="0"/>
        <w:jc w:val="both"/>
        <w:rPr>
          <w:rFonts w:ascii="Times New Roman" w:hAnsi="Times New Roman"/>
          <w:b/>
          <w:sz w:val="24"/>
        </w:rPr>
      </w:pPr>
      <w:bookmarkStart w:id="65" w:name="ex99_1toc528636_76"/>
      <w:bookmarkEnd w:id="65"/>
      <w:r>
        <w:rPr>
          <w:rFonts w:ascii="Times New Roman" w:hAnsi="Times New Roman"/>
          <w:b/>
          <w:sz w:val="24"/>
        </w:rPr>
        <w:t xml:space="preserve">SECTION 302. Denominations. </w:t>
      </w:r>
    </w:p>
    <w:p>
      <w:pPr>
        <w:pStyle w:val="TextBody"/>
        <w:bidi w:val="0"/>
        <w:spacing w:before="240" w:after="0"/>
        <w:jc w:val="both"/>
        <w:rPr>
          <w:rFonts w:ascii="Times New Roman" w:hAnsi="Times New Roman"/>
          <w:sz w:val="24"/>
        </w:rPr>
      </w:pPr>
      <w:r>
        <w:rPr>
          <w:rFonts w:ascii="Times New Roman" w:hAnsi="Times New Roman"/>
          <w:sz w:val="24"/>
        </w:rPr>
        <w:t xml:space="preserve">The Securities of each series shall be issuable in such denominations as shall be specified as contemplated by Section 301(b)(11). With respect to Securities of any series denominated in Dollars, in the absence of any such provisions, the Securities of such series, other than Securities issued in global form (which may be of any denomination), shall be issuable in denominations of $1,000 and any integral multiple thereof.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- 27 - </w:t>
      </w:r>
    </w:p>
    <w:p>
      <w:pPr>
        <w:pStyle w:val="TextBody"/>
        <w:bidi w:val="0"/>
        <w:spacing w:before="0" w:after="0"/>
        <w:jc w:val="left"/>
        <w:rPr/>
      </w:pPr>
      <w:r>
        <w:rPr/>
        <w:t> </w:t>
      </w:r>
    </w:p>
    <w:p>
      <w:pPr>
        <w:pStyle w:val="TextBody"/>
        <w:bidi w:val="0"/>
        <w:spacing w:before="0" w:after="0"/>
        <w:jc w:val="both"/>
        <w:rPr>
          <w:rFonts w:ascii="Times New Roman" w:hAnsi="Times New Roman"/>
          <w:b/>
          <w:sz w:val="24"/>
        </w:rPr>
      </w:pPr>
      <w:bookmarkStart w:id="66" w:name="ex99_1toc528636_77"/>
      <w:bookmarkEnd w:id="66"/>
      <w:r>
        <w:rPr>
          <w:rFonts w:ascii="Times New Roman" w:hAnsi="Times New Roman"/>
          <w:b/>
          <w:sz w:val="24"/>
        </w:rPr>
        <w:t xml:space="preserve">SECTION 303. Execution, Authentication, Delivery and Dating. </w:t>
      </w:r>
    </w:p>
    <w:p>
      <w:pPr>
        <w:pStyle w:val="TextBody"/>
        <w:bidi w:val="0"/>
        <w:spacing w:before="240" w:after="0"/>
        <w:jc w:val="both"/>
        <w:rPr>
          <w:rFonts w:ascii="Times New Roman" w:hAnsi="Times New Roman"/>
          <w:sz w:val="24"/>
        </w:rPr>
      </w:pPr>
      <w:r>
        <w:rPr>
          <w:rFonts w:ascii="Times New Roman" w:hAnsi="Times New Roman"/>
          <w:sz w:val="24"/>
        </w:rPr>
        <w:t xml:space="preserve">(a) The Securities shall be executed on behalf of the Company by its Chief Executive Officer, Chief Financial Officer or a Vice President, and attested by a Vice President, its Secretary or an Assistant Secretary. The signature of any of these officers on the Securities may be the manual, electronic or facsimile signatures of the present or any future such authorized officer and may be imprinted or otherwise reproduced on the Securities. </w:t>
      </w:r>
    </w:p>
    <w:p>
      <w:pPr>
        <w:pStyle w:val="TextBody"/>
        <w:bidi w:val="0"/>
        <w:spacing w:before="240" w:after="0"/>
        <w:jc w:val="both"/>
        <w:rPr>
          <w:rFonts w:ascii="Times New Roman" w:hAnsi="Times New Roman"/>
          <w:sz w:val="24"/>
        </w:rPr>
      </w:pPr>
      <w:r>
        <w:rPr>
          <w:rFonts w:ascii="Times New Roman" w:hAnsi="Times New Roman"/>
          <w:sz w:val="24"/>
        </w:rPr>
        <w:t xml:space="preserve">(b) Securities bearing the manual, electronic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w:t>
      </w:r>
    </w:p>
    <w:p>
      <w:pPr>
        <w:pStyle w:val="TextBody"/>
        <w:bidi w:val="0"/>
        <w:spacing w:before="240" w:after="0"/>
        <w:jc w:val="both"/>
        <w:rPr>
          <w:rFonts w:ascii="Times New Roman" w:hAnsi="Times New Roman"/>
          <w:sz w:val="24"/>
        </w:rPr>
      </w:pPr>
      <w:r>
        <w:rPr>
          <w:rFonts w:ascii="Times New Roman" w:hAnsi="Times New Roman"/>
          <w:sz w:val="24"/>
        </w:rPr>
        <w:t xml:space="preserve">(c) At any time and from time to time after the execution and delivery of this Indenture, the Company may deliver Securities of any series executed by the Company to the Trustee or the Authenticating Agent, as applicable, for authentication, together with a Company Order for the authentication and delivery of such Securities, and the Trustee or the Authenticating Agent, as applicable, in accordance with such Company Order shall authenticate by the signature of the Trustee or the Authenticating Agent, as applicable, and deliver such Securities. If not all the Securities of any series are to be issued at one time and if the Board Resolution or supplemental indenture establishing such series shall so permit, such Company Order may set forth procedures acceptable to the Trustee or the Authenticating Agent, as applicable, for the issuance of such Securities and determining terms of particular Securities of such series such as interest rate, stated maturity, date of issuance and date from which interest shall accrue. </w:t>
      </w:r>
    </w:p>
    <w:p>
      <w:pPr>
        <w:pStyle w:val="TextBody"/>
        <w:bidi w:val="0"/>
        <w:spacing w:before="240" w:after="0"/>
        <w:jc w:val="both"/>
        <w:rPr>
          <w:rFonts w:ascii="Times New Roman" w:hAnsi="Times New Roman"/>
          <w:sz w:val="24"/>
        </w:rPr>
      </w:pPr>
      <w:r>
        <w:rPr>
          <w:rFonts w:ascii="Times New Roman" w:hAnsi="Times New Roman"/>
          <w:sz w:val="24"/>
        </w:rPr>
        <w:t xml:space="preserve">(d) In authenticating such Securities, and accepting the additional responsibilities under this Indenture in relation to such Securities, the Trustee or the Authenticating Agent, as applicable, shall be entitled to receive, and (subject to Trust Indenture Legislation) shall be fully protected in relying upon, an Opinion of Counsel and an Officer’s Certificate pursuant to and in accordance with Section 102 stating: </w:t>
      </w:r>
    </w:p>
    <w:p>
      <w:pPr>
        <w:pStyle w:val="TextBody"/>
        <w:bidi w:val="0"/>
        <w:spacing w:before="240" w:after="0"/>
        <w:jc w:val="both"/>
        <w:rPr>
          <w:rFonts w:ascii="Times New Roman" w:hAnsi="Times New Roman"/>
          <w:sz w:val="24"/>
        </w:rPr>
      </w:pPr>
      <w:r>
        <w:rPr>
          <w:rFonts w:ascii="Times New Roman" w:hAnsi="Times New Roman"/>
          <w:sz w:val="24"/>
        </w:rPr>
        <w:t xml:space="preserve">(1) that the form or forms of such Securities have been established in conformity with the provisions of this Indenture; </w:t>
      </w:r>
    </w:p>
    <w:p>
      <w:pPr>
        <w:pStyle w:val="TextBody"/>
        <w:bidi w:val="0"/>
        <w:spacing w:before="240" w:after="0"/>
        <w:jc w:val="both"/>
        <w:rPr>
          <w:rFonts w:ascii="Times New Roman" w:hAnsi="Times New Roman"/>
          <w:sz w:val="24"/>
        </w:rPr>
      </w:pPr>
      <w:r>
        <w:rPr>
          <w:rFonts w:ascii="Times New Roman" w:hAnsi="Times New Roman"/>
          <w:sz w:val="24"/>
        </w:rPr>
        <w:t xml:space="preserve">(2) that the terms of such Securities have been established in conformity with the provisions of this Indenture; </w:t>
      </w:r>
    </w:p>
    <w:p>
      <w:pPr>
        <w:pStyle w:val="TextBody"/>
        <w:bidi w:val="0"/>
        <w:spacing w:before="240" w:after="0"/>
        <w:jc w:val="both"/>
        <w:rPr>
          <w:rFonts w:ascii="Times New Roman" w:hAnsi="Times New Roman"/>
          <w:sz w:val="24"/>
        </w:rPr>
      </w:pPr>
      <w:r>
        <w:rPr>
          <w:rFonts w:ascii="Times New Roman" w:hAnsi="Times New Roman"/>
          <w:sz w:val="24"/>
        </w:rPr>
        <w:t xml:space="preserve">(3) that such Securities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the legal, valid and binding obligations of the Company, enforceable in accordance with their terms, subject to applicable bankruptcy, insolvency, reorganization and other similar laws of general applicability relating to or affecting the enforcement of creditors’ rights, to general equitable principles and to such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- 28 -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other qualifications as such counsel shall conclude do not materially affect the rights of Holders of such Securities; </w:t>
      </w:r>
    </w:p>
    <w:p>
      <w:pPr>
        <w:pStyle w:val="TextBody"/>
        <w:bidi w:val="0"/>
        <w:spacing w:before="240" w:after="0"/>
        <w:jc w:val="both"/>
        <w:rPr>
          <w:rFonts w:ascii="Times New Roman" w:hAnsi="Times New Roman"/>
          <w:sz w:val="24"/>
        </w:rPr>
      </w:pPr>
      <w:r>
        <w:rPr>
          <w:rFonts w:ascii="Times New Roman" w:hAnsi="Times New Roman"/>
          <w:sz w:val="24"/>
        </w:rPr>
        <w:t xml:space="preserve">(4) that the Company has the corporate power to issue such Securities and has duly taken all necessary corporate action with respect to such issuance; and </w:t>
      </w:r>
    </w:p>
    <w:p>
      <w:pPr>
        <w:pStyle w:val="TextBody"/>
        <w:bidi w:val="0"/>
        <w:spacing w:before="240" w:after="0"/>
        <w:jc w:val="both"/>
        <w:rPr>
          <w:rFonts w:ascii="Times New Roman" w:hAnsi="Times New Roman"/>
          <w:sz w:val="24"/>
        </w:rPr>
      </w:pPr>
      <w:r>
        <w:rPr>
          <w:rFonts w:ascii="Times New Roman" w:hAnsi="Times New Roman"/>
          <w:sz w:val="24"/>
        </w:rPr>
        <w:t xml:space="preserve">(5) that the issuance of such Securities will not contravene the articles of incorporation or by-laws of the Company. </w:t>
      </w:r>
    </w:p>
    <w:p>
      <w:pPr>
        <w:pStyle w:val="TextBody"/>
        <w:bidi w:val="0"/>
        <w:spacing w:before="240" w:after="0"/>
        <w:jc w:val="both"/>
        <w:rPr>
          <w:rFonts w:ascii="Times New Roman" w:hAnsi="Times New Roman"/>
          <w:sz w:val="24"/>
        </w:rPr>
      </w:pPr>
      <w:r>
        <w:rPr>
          <w:rFonts w:ascii="Times New Roman" w:hAnsi="Times New Roman"/>
          <w:sz w:val="24"/>
        </w:rPr>
        <w:t xml:space="preserve">(e) Notwithstanding the provisions of Section 301 and of the preceding two paragraphs, if not all the Securities of any series are to be issued at one time, it shall not be necessary to deliver the Officer’s Certificate otherwise required pursuant to Section 301 or the Company Order and Opinion of Counsel otherwise required pursuant to the preceding two paragraphs prior to or at the time of issuance of each Security, but such documents shall be delivered prior to or at the time of issuance of the first Security of such series. </w:t>
      </w:r>
    </w:p>
    <w:p>
      <w:pPr>
        <w:pStyle w:val="TextBody"/>
        <w:bidi w:val="0"/>
        <w:spacing w:before="240" w:after="0"/>
        <w:jc w:val="both"/>
        <w:rPr>
          <w:rFonts w:ascii="Times New Roman" w:hAnsi="Times New Roman"/>
          <w:sz w:val="24"/>
        </w:rPr>
      </w:pPr>
      <w:r>
        <w:rPr>
          <w:rFonts w:ascii="Times New Roman" w:hAnsi="Times New Roman"/>
          <w:sz w:val="24"/>
        </w:rPr>
        <w:t xml:space="preserve">(f) The Trustee or the Authenticating Agent, as applicable, shall not be required to authenticate and deliver any such Securities if the issue of such Securities pursuant to this Indenture will affect the own rights, duties or immunities of the Trustee or the Authenticating Agent, as applicable, under the Securities and this Indenture or otherwise in a manner which is not reasonably acceptable to the Trustee or the Authenticating Agent, as applicable. </w:t>
      </w:r>
    </w:p>
    <w:p>
      <w:pPr>
        <w:pStyle w:val="TextBody"/>
        <w:bidi w:val="0"/>
        <w:spacing w:before="240" w:after="0"/>
        <w:jc w:val="both"/>
        <w:rPr>
          <w:rFonts w:ascii="Times New Roman" w:hAnsi="Times New Roman"/>
          <w:sz w:val="24"/>
        </w:rPr>
      </w:pPr>
      <w:r>
        <w:rPr>
          <w:rFonts w:ascii="Times New Roman" w:hAnsi="Times New Roman"/>
          <w:sz w:val="24"/>
        </w:rPr>
        <w:t xml:space="preserve">(g) Each Security shall be dated the date of its authentication. </w:t>
      </w:r>
    </w:p>
    <w:p>
      <w:pPr>
        <w:pStyle w:val="TextBody"/>
        <w:bidi w:val="0"/>
        <w:spacing w:before="240" w:after="0"/>
        <w:jc w:val="both"/>
        <w:rPr>
          <w:rFonts w:ascii="Times New Roman" w:hAnsi="Times New Roman"/>
          <w:sz w:val="24"/>
        </w:rPr>
      </w:pPr>
      <w:r>
        <w:rPr>
          <w:rFonts w:ascii="Times New Roman" w:hAnsi="Times New Roman"/>
          <w:sz w:val="24"/>
        </w:rPr>
        <w:t xml:space="preserve">(h) No Security shall be entitled to any benefit under this Indenture or be valid or obligatory for any purpose unless there appears on such Security a certificate of authentication substantially in the form provided for herein duly executed by the Trustee or the Authenticating Agent, as applicable, by signature of an authorized officer,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 </w:t>
      </w:r>
    </w:p>
    <w:p>
      <w:pPr>
        <w:pStyle w:val="TextBody"/>
        <w:bidi w:val="0"/>
        <w:spacing w:before="240" w:after="0"/>
        <w:jc w:val="both"/>
        <w:rPr>
          <w:rFonts w:ascii="Times New Roman" w:hAnsi="Times New Roman"/>
          <w:b/>
          <w:sz w:val="24"/>
        </w:rPr>
      </w:pPr>
      <w:bookmarkStart w:id="67" w:name="ex99_1toc528636_78"/>
      <w:bookmarkEnd w:id="67"/>
      <w:r>
        <w:rPr>
          <w:rFonts w:ascii="Times New Roman" w:hAnsi="Times New Roman"/>
          <w:b/>
          <w:sz w:val="24"/>
        </w:rPr>
        <w:t xml:space="preserve">SECTION 304. Temporary Securities. </w:t>
      </w:r>
    </w:p>
    <w:p>
      <w:pPr>
        <w:pStyle w:val="TextBody"/>
        <w:bidi w:val="0"/>
        <w:spacing w:before="240" w:after="0"/>
        <w:jc w:val="both"/>
        <w:rPr>
          <w:rFonts w:ascii="Times New Roman" w:hAnsi="Times New Roman"/>
          <w:sz w:val="24"/>
        </w:rPr>
      </w:pPr>
      <w:r>
        <w:rPr>
          <w:rFonts w:ascii="Times New Roman" w:hAnsi="Times New Roman"/>
          <w:sz w:val="24"/>
        </w:rPr>
        <w:t xml:space="preserve">(a) Pending the preparation of definitive Securities of any series, the Company may execute, and upon Company Order the Trustee or the Authenticating Agent, as applicable, shall authenticate and deliver, temporary Securities which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conclusively the officers executing such Securities may determine, as conclusively evidenced by their execution of such Securities. Such temporary Securities may be in global form.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- 29 -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(b) If temporary Securities of any series are issued, the Company will cause the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or the Authenticating Agent, as applicable,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 </w:t>
      </w:r>
    </w:p>
    <w:p>
      <w:pPr>
        <w:pStyle w:val="TextBody"/>
        <w:bidi w:val="0"/>
        <w:spacing w:before="240" w:after="0"/>
        <w:jc w:val="both"/>
        <w:rPr>
          <w:rFonts w:ascii="Times New Roman" w:hAnsi="Times New Roman"/>
          <w:b/>
          <w:sz w:val="24"/>
        </w:rPr>
      </w:pPr>
      <w:bookmarkStart w:id="68" w:name="ex99_1toc528636_79"/>
      <w:bookmarkEnd w:id="68"/>
      <w:r>
        <w:rPr>
          <w:rFonts w:ascii="Times New Roman" w:hAnsi="Times New Roman"/>
          <w:b/>
          <w:sz w:val="24"/>
        </w:rPr>
        <w:t xml:space="preserve">SECTION 305. Registration, Registration of Transfer and Exchange. </w:t>
      </w:r>
    </w:p>
    <w:p>
      <w:pPr>
        <w:pStyle w:val="TextBody"/>
        <w:bidi w:val="0"/>
        <w:spacing w:before="240" w:after="0"/>
        <w:jc w:val="both"/>
        <w:rPr>
          <w:rFonts w:ascii="Times New Roman" w:hAnsi="Times New Roman"/>
          <w:sz w:val="24"/>
        </w:rPr>
      </w:pPr>
      <w:r>
        <w:rPr>
          <w:rFonts w:ascii="Times New Roman" w:hAnsi="Times New Roman"/>
          <w:sz w:val="24"/>
        </w:rPr>
        <w:t xml:space="preserve">(a) So long as required by Trust Indenture Legislation, the Company shall keep at the Corporate Trust Office of the Canadian Trustee, or shall cause to be kept at the office or agency of a trust corporation registered under the </w:t>
      </w:r>
      <w:r>
        <w:rPr>
          <w:rFonts w:ascii="Times New Roman" w:hAnsi="Times New Roman"/>
          <w:i/>
          <w:sz w:val="24"/>
        </w:rPr>
        <w:t>Loan and Trust Corporations Act</w:t>
      </w:r>
      <w:r>
        <w:rPr>
          <w:rFonts w:ascii="Times New Roman" w:hAnsi="Times New Roman"/>
          <w:sz w:val="24"/>
        </w:rPr>
        <w:t xml:space="preserve"> (Ontario), a securities register (the “</w:t>
      </w:r>
      <w:r>
        <w:rPr>
          <w:rFonts w:ascii="Times New Roman" w:hAnsi="Times New Roman"/>
          <w:b/>
          <w:sz w:val="24"/>
        </w:rPr>
        <w:t>Central Register</w:t>
      </w:r>
      <w:r>
        <w:rPr>
          <w:rFonts w:ascii="Times New Roman" w:hAnsi="Times New Roman"/>
          <w:sz w:val="24"/>
        </w:rPr>
        <w:t>”) of Holders of each series of Securities maintained in compliance with the laws of the Province of Ontario. The Company will cause the particulars of each such issue, exchange or transfer of Securities to be recorded in the Central Register. The Company shall initially be the central security registrar (the “</w:t>
      </w:r>
      <w:r>
        <w:rPr>
          <w:rFonts w:ascii="Times New Roman" w:hAnsi="Times New Roman"/>
          <w:b/>
          <w:sz w:val="24"/>
        </w:rPr>
        <w:t>Central Security Registrar</w:t>
      </w:r>
      <w:r>
        <w:rPr>
          <w:rFonts w:ascii="Times New Roman" w:hAnsi="Times New Roman"/>
          <w:sz w:val="24"/>
        </w:rPr>
        <w:t xml:space="preserve">”) for the purpose of registering Securities and transfers and exchanges of Securities in the Central Register as provided herein;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the Company may appoint from time to time one or more successor Central Security Registrars and may from time to time rescind any such appointment. If no longer required by Trust Indenture Legislation, the Company may appoint a Person other than the Company or a trust corporation registered under the </w:t>
      </w:r>
      <w:r>
        <w:rPr>
          <w:rFonts w:ascii="Times New Roman" w:hAnsi="Times New Roman"/>
          <w:i/>
          <w:sz w:val="24"/>
        </w:rPr>
        <w:t>Loan and Trust Corporations Act</w:t>
      </w:r>
      <w:r>
        <w:rPr>
          <w:rFonts w:ascii="Times New Roman" w:hAnsi="Times New Roman"/>
          <w:sz w:val="24"/>
        </w:rPr>
        <w:t xml:space="preserve"> (Ontario) as the Central Securities Registrar. </w:t>
      </w:r>
    </w:p>
    <w:p>
      <w:pPr>
        <w:pStyle w:val="TextBody"/>
        <w:bidi w:val="0"/>
        <w:spacing w:before="240" w:after="0"/>
        <w:jc w:val="both"/>
        <w:rPr>
          <w:rFonts w:ascii="Times New Roman" w:hAnsi="Times New Roman"/>
          <w:sz w:val="24"/>
        </w:rPr>
      </w:pPr>
      <w:r>
        <w:rPr>
          <w:rFonts w:ascii="Times New Roman" w:hAnsi="Times New Roman"/>
          <w:sz w:val="24"/>
        </w:rPr>
        <w:t xml:space="preserve">(b) Upon surrender for registration of transfer of any Security of any series at the office or agency in a Place of Payment for that series, the Company shall execute, and the Trustee shall authenticate and deliver, in the name of the designated transferee, one or more new Securities of the same series, of any authorized denominations and of a like aggregate principal amount and tenor. </w:t>
      </w:r>
    </w:p>
    <w:p>
      <w:pPr>
        <w:pStyle w:val="TextBody"/>
        <w:bidi w:val="0"/>
        <w:spacing w:before="240" w:after="0"/>
        <w:jc w:val="both"/>
        <w:rPr>
          <w:rFonts w:ascii="Times New Roman" w:hAnsi="Times New Roman"/>
          <w:sz w:val="24"/>
        </w:rPr>
      </w:pPr>
      <w:r>
        <w:rPr>
          <w:rFonts w:ascii="Times New Roman" w:hAnsi="Times New Roman"/>
          <w:sz w:val="24"/>
        </w:rPr>
        <w:t xml:space="preserve">(c) At the option of the Holder, Securities of any series may be exchanged for other Securities of the same series, of any authorized denomination and of a like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 </w:t>
      </w:r>
    </w:p>
    <w:p>
      <w:pPr>
        <w:pStyle w:val="TextBody"/>
        <w:bidi w:val="0"/>
        <w:spacing w:before="240" w:after="0"/>
        <w:jc w:val="both"/>
        <w:rPr>
          <w:rFonts w:ascii="Times New Roman" w:hAnsi="Times New Roman"/>
          <w:sz w:val="24"/>
        </w:rPr>
      </w:pPr>
      <w:r>
        <w:rPr>
          <w:rFonts w:ascii="Times New Roman" w:hAnsi="Times New Roman"/>
          <w:sz w:val="24"/>
        </w:rPr>
        <w:t xml:space="preserve">(d) Whenever any Securities are so surrendered for exchange, the Company shall execute, and the Trustee shall authenticate and deliver, the Securities which the Holder making the exchange is entitled to receive. </w:t>
      </w:r>
    </w:p>
    <w:p>
      <w:pPr>
        <w:pStyle w:val="TextBody"/>
        <w:bidi w:val="0"/>
        <w:spacing w:before="240" w:after="0"/>
        <w:jc w:val="both"/>
        <w:rPr>
          <w:rFonts w:ascii="Times New Roman" w:hAnsi="Times New Roman"/>
          <w:sz w:val="24"/>
        </w:rPr>
      </w:pPr>
      <w:r>
        <w:rPr>
          <w:rFonts w:ascii="Times New Roman" w:hAnsi="Times New Roman"/>
          <w:sz w:val="24"/>
        </w:rPr>
        <w:t xml:space="preserve">(e) Notwithstanding the foregoing, except as otherwise specified as contemplated by Section 301, any permanent global Security shall be exchangeable only as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- 30 -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provided in this paragraph.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Depositary, as the Company’s agent for such purpose, to be exchanged, in whole or from time to time in part, for definitive Securities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which shall be in the form of Securities as shall be specified by the beneficial owner thereof;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If a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Security, but will be payable on such Interest Payment Date or proposed date for payment, as the case may be, only to the Person to whom interest in respect of such portion of such permanent global Security is payable in accordance with the provisions of this Indenture. </w:t>
      </w:r>
    </w:p>
    <w:p>
      <w:pPr>
        <w:pStyle w:val="TextBody"/>
        <w:bidi w:val="0"/>
        <w:spacing w:before="240" w:after="0"/>
        <w:jc w:val="both"/>
        <w:rPr>
          <w:rFonts w:ascii="Times New Roman" w:hAnsi="Times New Roman"/>
          <w:sz w:val="24"/>
        </w:rPr>
      </w:pPr>
      <w:r>
        <w:rPr>
          <w:rFonts w:ascii="Times New Roman" w:hAnsi="Times New Roman"/>
          <w:sz w:val="24"/>
        </w:rPr>
        <w:t xml:space="preserve">(f) If at any time the Depositary of a series notifies the Company that it is unwilling, unable or no longer qualifies to continue as Depositary of such series or if at any time the Depositary for such series shall no longer be registered or in good standing under the Exchange Act or other applicable statute or regulation, the Company shall appoint a successor depositary with respect to the Securities for such series. If a successor to the Depositary is not appointed by the Company within 90 days after the Company receives such notice or becomes aware of such condition, as the case may be, the Company’s election pursuant to Section 301 shall no longer be effective with respect to the Securities for such series and the Company will execute, and the Trustee, upon receipt of a Company Order for the authentication and delivery of definitive Securities of such series, will authenticate and deliver Securities of such series in definitive registered form, in authorized denominations, and in an aggregate principal amount equal to the principal amount of the global Security or Securities representing such series in exchange for such global Security or Securities. </w:t>
      </w:r>
    </w:p>
    <w:p>
      <w:pPr>
        <w:pStyle w:val="TextBody"/>
        <w:bidi w:val="0"/>
        <w:spacing w:before="240" w:after="0"/>
        <w:jc w:val="both"/>
        <w:rPr>
          <w:rFonts w:ascii="Times New Roman" w:hAnsi="Times New Roman"/>
          <w:sz w:val="24"/>
        </w:rPr>
      </w:pPr>
      <w:r>
        <w:rPr>
          <w:rFonts w:ascii="Times New Roman" w:hAnsi="Times New Roman"/>
          <w:sz w:val="24"/>
        </w:rPr>
        <w:t xml:space="preserve">(g) The Company may at any time and in its sole discretion determine that the Securities of any series issued in the form of one or more global Securities shall no longer be represented by such global Security or Securities. In such event the Company will execute, and the Trustee, upon receipt of a Company Order for the authentication and delivery of definitive Securities of such series, will authenticate and deliver Securities of such series in definitive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- 31 -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registered form, in authorized denominations, and in an aggregate principal amount equal to the principal amount of the global Security or Securities representing such series in exchange for such global Security or Securities. </w:t>
      </w:r>
    </w:p>
    <w:p>
      <w:pPr>
        <w:pStyle w:val="TextBody"/>
        <w:bidi w:val="0"/>
        <w:spacing w:before="240" w:after="0"/>
        <w:jc w:val="both"/>
        <w:rPr>
          <w:rFonts w:ascii="Times New Roman" w:hAnsi="Times New Roman"/>
          <w:sz w:val="24"/>
        </w:rPr>
      </w:pPr>
      <w:r>
        <w:rPr>
          <w:rFonts w:ascii="Times New Roman" w:hAnsi="Times New Roman"/>
          <w:sz w:val="24"/>
        </w:rPr>
        <w:t xml:space="preserve">(h) Upon the exchange of a global Security for Securities in definitive registered form, such global Security shall be cancelled by the Trustee.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in writing. The Trustee shall deliver such Securities to the persons in whose names such Securities are so registered. </w:t>
      </w:r>
    </w:p>
    <w:p>
      <w:pPr>
        <w:pStyle w:val="TextBody"/>
        <w:bidi w:val="0"/>
        <w:spacing w:before="240" w:after="0"/>
        <w:jc w:val="both"/>
        <w:rPr>
          <w:rFonts w:ascii="Times New Roman" w:hAnsi="Times New Roman"/>
          <w:sz w:val="24"/>
        </w:rPr>
      </w:pPr>
      <w:r>
        <w:rPr>
          <w:rFonts w:ascii="Times New Roman" w:hAnsi="Times New Roman"/>
          <w:sz w:val="24"/>
        </w:rPr>
        <w:t xml:space="preserve">(i) All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 </w:t>
      </w:r>
    </w:p>
    <w:p>
      <w:pPr>
        <w:pStyle w:val="TextBody"/>
        <w:bidi w:val="0"/>
        <w:spacing w:before="240" w:after="0"/>
        <w:jc w:val="both"/>
        <w:rPr>
          <w:rFonts w:ascii="Times New Roman" w:hAnsi="Times New Roman"/>
          <w:sz w:val="24"/>
        </w:rPr>
      </w:pPr>
      <w:r>
        <w:rPr>
          <w:rFonts w:ascii="Times New Roman" w:hAnsi="Times New Roman"/>
          <w:sz w:val="24"/>
        </w:rPr>
        <w:t xml:space="preserve">(j) Every Security presented or surrendered for registration of transfer or for exchange shall (if so required by the Company or the Security Registrar) be duly endorsed, or be accompanied by a written instrument of transfer, in form satisfactory to the Company and the Security Registrar, duly executed by the Holder thereof or his attorney duly authorized in writing. </w:t>
      </w:r>
    </w:p>
    <w:p>
      <w:pPr>
        <w:pStyle w:val="TextBody"/>
        <w:bidi w:val="0"/>
        <w:spacing w:before="240" w:after="0"/>
        <w:jc w:val="both"/>
        <w:rPr>
          <w:rFonts w:ascii="Times New Roman" w:hAnsi="Times New Roman"/>
          <w:sz w:val="24"/>
        </w:rPr>
      </w:pPr>
      <w:r>
        <w:rPr>
          <w:rFonts w:ascii="Times New Roman" w:hAnsi="Times New Roman"/>
          <w:sz w:val="24"/>
        </w:rPr>
        <w:t xml:space="preserve">(k) No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 </w:t>
      </w:r>
    </w:p>
    <w:p>
      <w:pPr>
        <w:pStyle w:val="TextBody"/>
        <w:bidi w:val="0"/>
        <w:spacing w:before="240" w:after="0"/>
        <w:jc w:val="both"/>
        <w:rPr>
          <w:rFonts w:ascii="Times New Roman" w:hAnsi="Times New Roman"/>
          <w:sz w:val="24"/>
        </w:rPr>
      </w:pPr>
      <w:r>
        <w:rPr>
          <w:rFonts w:ascii="Times New Roman" w:hAnsi="Times New Roman"/>
          <w:sz w:val="24"/>
        </w:rPr>
        <w:t xml:space="preserve">(l) The Company shall not be required (i) to issue, register the transfer of or exchange Securities of any series during a period beginning at the opening of business 15 days before the day of the selection for redemption of Securities of that series under Section 1103 and ending at the close of business on the day of the mailing of the relevant notice of redemption, or (ii) to register the transfer of or exchange any Security so selected for redemption in whole or in part, except the unredeemed portion of any Security being redeemed in part, or (iii) to issue, register the transfer of or exchange any Security which has been surrendered for repayment at the option of the Holder, except the portion, if any, of such Security not to be so repaid. </w:t>
      </w:r>
    </w:p>
    <w:p>
      <w:pPr>
        <w:pStyle w:val="TextBody"/>
        <w:bidi w:val="0"/>
        <w:spacing w:before="240" w:after="0"/>
        <w:jc w:val="both"/>
        <w:rPr>
          <w:rFonts w:ascii="Times New Roman" w:hAnsi="Times New Roman"/>
          <w:b/>
          <w:sz w:val="24"/>
        </w:rPr>
      </w:pPr>
      <w:bookmarkStart w:id="69" w:name="ex99_1toc528636_80"/>
      <w:bookmarkEnd w:id="69"/>
      <w:r>
        <w:rPr>
          <w:rFonts w:ascii="Times New Roman" w:hAnsi="Times New Roman"/>
          <w:b/>
          <w:sz w:val="24"/>
        </w:rPr>
        <w:t xml:space="preserve">SECTION 306. Mutilated, Destroyed, Lost and Stolen Securities. </w:t>
      </w:r>
    </w:p>
    <w:p>
      <w:pPr>
        <w:pStyle w:val="TextBody"/>
        <w:bidi w:val="0"/>
        <w:spacing w:before="240" w:after="0"/>
        <w:jc w:val="both"/>
        <w:rPr>
          <w:rFonts w:ascii="Times New Roman" w:hAnsi="Times New Roman"/>
          <w:sz w:val="24"/>
        </w:rPr>
      </w:pPr>
      <w:r>
        <w:rPr>
          <w:rFonts w:ascii="Times New Roman" w:hAnsi="Times New Roman"/>
          <w:sz w:val="24"/>
        </w:rPr>
        <w:t xml:space="preserve">(a) If any mutilated Security is surrendered to the Trustee, the Company shall execute and the Trustee shall authenticate and deliver in exchange therefor a new Security of the same series and of like tenor and principal amount and bearing a number not contemporaneously outstanding, or, in case any such mutilated Security has become or is about to become due and payable, the Company in its discretion may, instead of issuing a new Security, pay such Security. </w:t>
      </w:r>
    </w:p>
    <w:p>
      <w:pPr>
        <w:pStyle w:val="TextBody"/>
        <w:bidi w:val="0"/>
        <w:spacing w:before="240" w:after="0"/>
        <w:jc w:val="both"/>
        <w:rPr>
          <w:rFonts w:ascii="Times New Roman" w:hAnsi="Times New Roman"/>
          <w:sz w:val="24"/>
        </w:rPr>
      </w:pPr>
      <w:r>
        <w:rPr>
          <w:rFonts w:ascii="Times New Roman" w:hAnsi="Times New Roman"/>
          <w:sz w:val="24"/>
        </w:rPr>
        <w:t xml:space="preserve">(b) If there shall be delivered to the Company and to the Trustee (i) evidence to their satisfaction of the destruction, loss or theft of any Security and (ii) such security (including without limitation, a surety bond) and/or indemnity as may be required by them to save each of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- 32 -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them and any agent of either of them harmless, then, in the absence of notice to the Company or the Trustee that such Security has been acquired by a good faith purchaser (as defined and to the extent required under the Business Corporations Act (Ontario)) or a protected purchaser (as defined in Article 8 of the Uniform Commercial Code), as applicable, the Company shall execute and upon Company Order the Trustee shall authenticate and deliver, in lieu of any such destroyed, lost or stolen Security a new Security of the same series and of like tenor and principal amount and bearing a number not contemporaneously outstanding. </w:t>
      </w:r>
    </w:p>
    <w:p>
      <w:pPr>
        <w:pStyle w:val="TextBody"/>
        <w:bidi w:val="0"/>
        <w:spacing w:before="240" w:after="0"/>
        <w:jc w:val="both"/>
        <w:rPr>
          <w:rFonts w:ascii="Times New Roman" w:hAnsi="Times New Roman"/>
          <w:sz w:val="24"/>
        </w:rPr>
      </w:pPr>
      <w:r>
        <w:rPr>
          <w:rFonts w:ascii="Times New Roman" w:hAnsi="Times New Roman"/>
          <w:sz w:val="24"/>
        </w:rPr>
        <w:t xml:space="preserve">(c) Notwithstanding the provisions of the previous two paragraphs, in case any such mutilated, destroyed, lost or stolen Security has become or is about to become due and payable, the Company in its discretion may, instead of issuing a new Security, pay such Security. </w:t>
      </w:r>
    </w:p>
    <w:p>
      <w:pPr>
        <w:pStyle w:val="TextBody"/>
        <w:bidi w:val="0"/>
        <w:spacing w:before="240" w:after="0"/>
        <w:jc w:val="both"/>
        <w:rPr>
          <w:rFonts w:ascii="Times New Roman" w:hAnsi="Times New Roman"/>
          <w:sz w:val="24"/>
        </w:rPr>
      </w:pPr>
      <w:r>
        <w:rPr>
          <w:rFonts w:ascii="Times New Roman" w:hAnsi="Times New Roman"/>
          <w:sz w:val="24"/>
        </w:rPr>
        <w:t xml:space="preserve">(d) Upon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both"/>
        <w:rPr>
          <w:rFonts w:ascii="Times New Roman" w:hAnsi="Times New Roman"/>
          <w:sz w:val="24"/>
        </w:rPr>
      </w:pPr>
      <w:r>
        <w:rPr>
          <w:rFonts w:ascii="Times New Roman" w:hAnsi="Times New Roman"/>
          <w:sz w:val="24"/>
        </w:rPr>
        <w:t xml:space="preserve">(e) Every new Security of any series issued pursuant to this Section in lieu of any mutilated, destroyed, lost or stolen Security shall constitute an original additional contractual obligation of the Company, whether or not the mutilated,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240" w:after="0"/>
        <w:jc w:val="both"/>
        <w:rPr>
          <w:rFonts w:ascii="Times New Roman" w:hAnsi="Times New Roman"/>
          <w:sz w:val="24"/>
        </w:rPr>
      </w:pPr>
      <w:r>
        <w:rPr>
          <w:rFonts w:ascii="Times New Roman" w:hAnsi="Times New Roman"/>
          <w:sz w:val="24"/>
        </w:rPr>
        <w:t xml:space="preserve">(f) The provisions of this Section are exclusive and shall preclude (to the extent lawful) all other rights and remedies with respect to the replacement or payment of mutilated, destroyed, lost or stolen Securities. </w:t>
      </w:r>
    </w:p>
    <w:p>
      <w:pPr>
        <w:pStyle w:val="TextBody"/>
        <w:bidi w:val="0"/>
        <w:spacing w:before="240" w:after="0"/>
        <w:jc w:val="both"/>
        <w:rPr>
          <w:rFonts w:ascii="Times New Roman" w:hAnsi="Times New Roman"/>
          <w:b/>
          <w:sz w:val="24"/>
        </w:rPr>
      </w:pPr>
      <w:bookmarkStart w:id="70" w:name="ex99_1toc528636_81"/>
      <w:bookmarkEnd w:id="70"/>
      <w:r>
        <w:rPr>
          <w:rFonts w:ascii="Times New Roman" w:hAnsi="Times New Roman"/>
          <w:b/>
          <w:sz w:val="24"/>
        </w:rPr>
        <w:t xml:space="preserve">SECTION 307. Payment of Interest; Interest Rights Preserved. </w:t>
      </w:r>
    </w:p>
    <w:p>
      <w:pPr>
        <w:pStyle w:val="TextBody"/>
        <w:bidi w:val="0"/>
        <w:spacing w:before="240" w:after="0"/>
        <w:jc w:val="both"/>
        <w:rPr>
          <w:rFonts w:ascii="Times New Roman" w:hAnsi="Times New Roman"/>
          <w:sz w:val="24"/>
        </w:rPr>
      </w:pPr>
      <w:r>
        <w:rPr>
          <w:rFonts w:ascii="Times New Roman" w:hAnsi="Times New Roman"/>
          <w:sz w:val="24"/>
        </w:rPr>
        <w:t xml:space="preserve">(a) Unless otherwise provided as contemplated by Section 301 with respect to any series of Securities, interest (less any tax required by law to be deducted), if any, on any Security which is payable, and is punctually paid or duly provided for, on any Interest Payment Date shall be paid to the Person in whose name such Security (or one or more Predecessor Securities) is registered at the close of business on the Regular Record Date for such interest at the office or agency of the Company maintained for such purpose pursuant to Section 1002;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each installment of interest (less any tax required by law to be deducted), if any, on any Security may at the Company’s option be paid by (i) mailing a check for such interest (less any tax required by law to be deducted), payable to or upon the written order of the Person entitled thereto pursuant to Section 308, to the address of such Person as it appears on the Security Register or (ii) wire transfer to an account located in the United States or Canada maintained by the payee. </w:t>
      </w:r>
    </w:p>
    <w:p>
      <w:pPr>
        <w:pStyle w:val="TextBody"/>
        <w:bidi w:val="0"/>
        <w:spacing w:before="240" w:after="0"/>
        <w:jc w:val="both"/>
        <w:rPr>
          <w:rFonts w:ascii="Times New Roman" w:hAnsi="Times New Roman"/>
          <w:sz w:val="24"/>
        </w:rPr>
      </w:pPr>
      <w:r>
        <w:rPr>
          <w:rFonts w:ascii="Times New Roman" w:hAnsi="Times New Roman"/>
          <w:sz w:val="24"/>
        </w:rPr>
        <w:t xml:space="preserve">(b) Unless otherwise provided as contemplated by Section 301, every permanent global Security will provide that interest, if any, payable on any Interest Payment Date will be paid to the Depositary with respect to that portion of such permanent global Security held for its account by the Depositary, for the purpose of permitting the Depositary to credit the interest, if any, received by it in respect of such permanent global Security to the accounts of the beneficial owners thereof.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- 33 -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(c) Any interest on any Security of any series which is payable, but is not punctually paid or duly provided for, on any Interest Payment Date shall forthwith cease to be payable to the Holder on the relevant Regular Record Date by virtue of having been such Holder, and such defaulted interest and, if applicable, interest on such defaulted interest (to the extent lawful) at the rate specified in the Securities of such series (such defaulted interest and, if applicable, interest thereon herein collectively called “</w:t>
      </w:r>
      <w:r>
        <w:rPr>
          <w:rFonts w:ascii="Times New Roman" w:hAnsi="Times New Roman"/>
          <w:b/>
          <w:sz w:val="24"/>
        </w:rPr>
        <w:t>Defaulted Interest</w:t>
      </w:r>
      <w:r>
        <w:rPr>
          <w:rFonts w:ascii="Times New Roman" w:hAnsi="Times New Roman"/>
          <w:sz w:val="24"/>
        </w:rPr>
        <w:t xml:space="preserve">”) may be paid by the Company, at its election in each case, as provided in clause (1) or (2) below: </w:t>
      </w:r>
    </w:p>
    <w:p>
      <w:pPr>
        <w:pStyle w:val="TextBody"/>
        <w:bidi w:val="0"/>
        <w:spacing w:before="240" w:after="0"/>
        <w:jc w:val="both"/>
        <w:rPr>
          <w:rFonts w:ascii="Times New Roman" w:hAnsi="Times New Roman"/>
          <w:sz w:val="24"/>
        </w:rPr>
      </w:pPr>
      <w:r>
        <w:rPr>
          <w:rFonts w:ascii="Times New Roman" w:hAnsi="Times New Roman"/>
          <w:sz w:val="24"/>
        </w:rPr>
        <w:t xml:space="preserve">(1) The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in the Currency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in the manner provided in Section 106, not less than 10 days prior to such Special Record Date. Notice of the proposed payment of such Defaulted Interest and the Special Record Date therefor having been so given, such Defaulted Interest shall be paid to the Persons in whose name the Securities of such series (or their respective Predecessor Securities) are registered at the close of business on such Special Record Date and shall no longer be payable pursuant to the following clause (2). </w:t>
      </w:r>
    </w:p>
    <w:p>
      <w:pPr>
        <w:pStyle w:val="TextBody"/>
        <w:bidi w:val="0"/>
        <w:spacing w:before="240" w:after="0"/>
        <w:jc w:val="both"/>
        <w:rPr>
          <w:rFonts w:ascii="Times New Roman" w:hAnsi="Times New Roman"/>
          <w:sz w:val="24"/>
        </w:rPr>
      </w:pPr>
      <w:r>
        <w:rPr>
          <w:rFonts w:ascii="Times New Roman" w:hAnsi="Times New Roman"/>
          <w:sz w:val="24"/>
        </w:rPr>
        <w:t xml:space="preserve">(2) The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240" w:after="0"/>
        <w:jc w:val="both"/>
        <w:rPr>
          <w:rFonts w:ascii="Times New Roman" w:hAnsi="Times New Roman"/>
          <w:sz w:val="24"/>
        </w:rPr>
      </w:pPr>
      <w:r>
        <w:rPr>
          <w:rFonts w:ascii="Times New Roman" w:hAnsi="Times New Roman"/>
          <w:sz w:val="24"/>
        </w:rPr>
        <w:t xml:space="preserve">(d) Subject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 </w:t>
      </w:r>
    </w:p>
    <w:p>
      <w:pPr>
        <w:pStyle w:val="TextBody"/>
        <w:bidi w:val="0"/>
        <w:spacing w:before="240" w:after="0"/>
        <w:jc w:val="both"/>
        <w:rPr>
          <w:rFonts w:ascii="Times New Roman" w:hAnsi="Times New Roman"/>
          <w:sz w:val="24"/>
        </w:rPr>
      </w:pPr>
      <w:r>
        <w:rPr>
          <w:rFonts w:ascii="Times New Roman" w:hAnsi="Times New Roman"/>
          <w:sz w:val="24"/>
        </w:rPr>
        <w:t xml:space="preserve">(e) Notwithstanding anything to the contrary contained in this Indenture, the Company or the Paying Agent may, to the extent it is required to do so by law (including, but not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limited to, the federal laws of Canada or any province or territory therein), deduct or withhold income or similar taxes from principal or interest payments hereunder and will remit such amounts to the relevant tax authority as required. </w:t>
      </w:r>
    </w:p>
    <w:p>
      <w:pPr>
        <w:pStyle w:val="TextBody"/>
        <w:bidi w:val="0"/>
        <w:spacing w:before="240" w:after="0"/>
        <w:jc w:val="both"/>
        <w:rPr>
          <w:rFonts w:ascii="Times New Roman" w:hAnsi="Times New Roman"/>
          <w:b/>
          <w:sz w:val="24"/>
        </w:rPr>
      </w:pPr>
      <w:bookmarkStart w:id="71" w:name="ex99_1toc528636_82"/>
      <w:bookmarkEnd w:id="71"/>
      <w:r>
        <w:rPr>
          <w:rFonts w:ascii="Times New Roman" w:hAnsi="Times New Roman"/>
          <w:b/>
          <w:sz w:val="24"/>
        </w:rPr>
        <w:t xml:space="preserve">SECTION 308. Persons Deemed Owners. </w:t>
      </w:r>
    </w:p>
    <w:p>
      <w:pPr>
        <w:pStyle w:val="TextBody"/>
        <w:bidi w:val="0"/>
        <w:spacing w:before="240" w:after="0"/>
        <w:jc w:val="both"/>
        <w:rPr>
          <w:rFonts w:ascii="Times New Roman" w:hAnsi="Times New Roman"/>
          <w:sz w:val="24"/>
        </w:rPr>
      </w:pPr>
      <w:r>
        <w:rPr>
          <w:rFonts w:ascii="Times New Roman" w:hAnsi="Times New Roman"/>
          <w:sz w:val="24"/>
        </w:rPr>
        <w:t xml:space="preserve">(a) Prior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premium, if any) and (subject to Sections 305 and 307) interest, if any, on such Security and for all other purposes whatsoever, whether or not such Security be overdue, and none of the Company, the Trustee or any agent of the Company or the Trustee shall be affected by notice to the contrary. </w:t>
      </w:r>
    </w:p>
    <w:p>
      <w:pPr>
        <w:pStyle w:val="TextBody"/>
        <w:bidi w:val="0"/>
        <w:spacing w:before="240" w:after="0"/>
        <w:jc w:val="both"/>
        <w:rPr>
          <w:rFonts w:ascii="Times New Roman" w:hAnsi="Times New Roman"/>
          <w:sz w:val="24"/>
        </w:rPr>
      </w:pPr>
      <w:r>
        <w:rPr>
          <w:rFonts w:ascii="Times New Roman" w:hAnsi="Times New Roman"/>
          <w:sz w:val="24"/>
        </w:rPr>
        <w:t xml:space="preserve">(b) None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 </w:t>
      </w:r>
    </w:p>
    <w:p>
      <w:pPr>
        <w:pStyle w:val="TextBody"/>
        <w:bidi w:val="0"/>
        <w:spacing w:before="240" w:after="0"/>
        <w:jc w:val="both"/>
        <w:rPr>
          <w:rFonts w:ascii="Times New Roman" w:hAnsi="Times New Roman"/>
          <w:sz w:val="24"/>
        </w:rPr>
      </w:pPr>
      <w:r>
        <w:rPr>
          <w:rFonts w:ascii="Times New Roman" w:hAnsi="Times New Roman"/>
          <w:sz w:val="24"/>
        </w:rPr>
        <w:t xml:space="preserve">(c) Notwithstanding the foregoing, with respect to any global Security, nothing herein shall prevent the Company, the Trustee, or any agent of the Company or the Trustee,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 </w:t>
      </w:r>
    </w:p>
    <w:p>
      <w:pPr>
        <w:pStyle w:val="TextBody"/>
        <w:bidi w:val="0"/>
        <w:spacing w:before="240" w:after="0"/>
        <w:jc w:val="both"/>
        <w:rPr>
          <w:rFonts w:ascii="Times New Roman" w:hAnsi="Times New Roman"/>
          <w:b/>
          <w:sz w:val="24"/>
        </w:rPr>
      </w:pPr>
      <w:bookmarkStart w:id="72" w:name="ex99_1toc528636_83"/>
      <w:bookmarkEnd w:id="72"/>
      <w:r>
        <w:rPr>
          <w:rFonts w:ascii="Times New Roman" w:hAnsi="Times New Roman"/>
          <w:b/>
          <w:sz w:val="24"/>
        </w:rPr>
        <w:t xml:space="preserve">SECTION 309. Cancellation. </w:t>
      </w:r>
    </w:p>
    <w:p>
      <w:pPr>
        <w:pStyle w:val="TextBody"/>
        <w:bidi w:val="0"/>
        <w:spacing w:before="240" w:after="0"/>
        <w:jc w:val="both"/>
        <w:rPr>
          <w:rFonts w:ascii="Times New Roman" w:hAnsi="Times New Roman"/>
          <w:sz w:val="24"/>
        </w:rPr>
      </w:pPr>
      <w:r>
        <w:rPr>
          <w:rFonts w:ascii="Times New Roman" w:hAnsi="Times New Roman"/>
          <w:sz w:val="24"/>
        </w:rPr>
        <w:t xml:space="preserve">All Securities surrendered for payment, redemption, repayment at the option of the Holder, registration of transfer or exchange or for credit against any current or future sinking fund payment (if applicable) shall, if surrendered to any Person other than the Trustee, be delivered to the Trustee. All Securities so delivered to the Trustee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All cancelled Securities held by the Trustee shall be disposed of by the Trustee in accordance with its customary procedures and evidence of their disposal delivered to the Company.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- 35 - </w:t>
      </w:r>
    </w:p>
    <w:p>
      <w:pPr>
        <w:pStyle w:val="TextBody"/>
        <w:bidi w:val="0"/>
        <w:spacing w:before="0" w:after="0"/>
        <w:jc w:val="left"/>
        <w:rPr/>
      </w:pPr>
      <w:r>
        <w:rPr/>
        <w:t> </w:t>
      </w:r>
    </w:p>
    <w:p>
      <w:pPr>
        <w:pStyle w:val="TextBody"/>
        <w:bidi w:val="0"/>
        <w:spacing w:before="0" w:after="0"/>
        <w:jc w:val="both"/>
        <w:rPr>
          <w:rFonts w:ascii="Times New Roman" w:hAnsi="Times New Roman"/>
          <w:b/>
          <w:sz w:val="24"/>
        </w:rPr>
      </w:pPr>
      <w:bookmarkStart w:id="73" w:name="ex99_1toc528636_84"/>
      <w:bookmarkEnd w:id="73"/>
      <w:r>
        <w:rPr>
          <w:rFonts w:ascii="Times New Roman" w:hAnsi="Times New Roman"/>
          <w:b/>
          <w:sz w:val="24"/>
        </w:rPr>
        <w:t xml:space="preserve">SECTION 310. Computation of Interest. </w:t>
      </w:r>
    </w:p>
    <w:p>
      <w:pPr>
        <w:pStyle w:val="TextBody"/>
        <w:bidi w:val="0"/>
        <w:spacing w:before="240" w:after="0"/>
        <w:jc w:val="both"/>
        <w:rPr>
          <w:rFonts w:ascii="Times New Roman" w:hAnsi="Times New Roman"/>
          <w:sz w:val="24"/>
        </w:rPr>
      </w:pPr>
      <w:r>
        <w:rPr>
          <w:rFonts w:ascii="Times New Roman" w:hAnsi="Times New Roman"/>
          <w:sz w:val="24"/>
        </w:rPr>
        <w:t xml:space="preserve">Except as otherwise specified as contemplated by Section 301 with respect to any Securities, interest, if any, on the Securities of each series shall be computed on the basis of a 360-day year of twelve 30-day months. </w:t>
      </w:r>
    </w:p>
    <w:p>
      <w:pPr>
        <w:pStyle w:val="TextBody"/>
        <w:bidi w:val="0"/>
        <w:spacing w:before="240" w:after="0"/>
        <w:jc w:val="both"/>
        <w:rPr>
          <w:rFonts w:ascii="Times New Roman" w:hAnsi="Times New Roman"/>
          <w:b/>
          <w:sz w:val="24"/>
        </w:rPr>
      </w:pPr>
      <w:bookmarkStart w:id="74" w:name="ex99_1toc528636_85"/>
      <w:bookmarkEnd w:id="74"/>
      <w:r>
        <w:rPr>
          <w:rFonts w:ascii="Times New Roman" w:hAnsi="Times New Roman"/>
          <w:b/>
          <w:sz w:val="24"/>
        </w:rPr>
        <w:t xml:space="preserve">SECTION 311. Appointment and Resignation of Successor Exchange Rate Agent. </w:t>
      </w:r>
    </w:p>
    <w:p>
      <w:pPr>
        <w:pStyle w:val="TextBody"/>
        <w:bidi w:val="0"/>
        <w:spacing w:before="240" w:after="0"/>
        <w:jc w:val="both"/>
        <w:rPr>
          <w:rFonts w:ascii="Times New Roman" w:hAnsi="Times New Roman"/>
          <w:sz w:val="24"/>
        </w:rPr>
      </w:pPr>
      <w:r>
        <w:rPr>
          <w:rFonts w:ascii="Times New Roman" w:hAnsi="Times New Roman"/>
          <w:sz w:val="24"/>
        </w:rPr>
        <w:t xml:space="preserve">(a) Unless otherwise specified pursuant to Section 301, if and so long as the Securities of any series (i) are denominated in a Currency other than Dollars or (ii) may be payable in a Currency other than Dollars,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Market Exchange Rate and, if applicable, for the purpose of converting the issued Currency into the applicable payment Currency for the payment of principal (and premium, if any) and interest, if any. </w:t>
      </w:r>
    </w:p>
    <w:p>
      <w:pPr>
        <w:pStyle w:val="TextBody"/>
        <w:bidi w:val="0"/>
        <w:spacing w:before="240" w:after="0"/>
        <w:jc w:val="both"/>
        <w:rPr>
          <w:rFonts w:ascii="Times New Roman" w:hAnsi="Times New Roman"/>
          <w:sz w:val="24"/>
        </w:rPr>
      </w:pPr>
      <w:r>
        <w:rPr>
          <w:rFonts w:ascii="Times New Roman" w:hAnsi="Times New Roman"/>
          <w:sz w:val="24"/>
        </w:rPr>
        <w:t xml:space="preserve">(b) No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accepting such appointment executed by the successor Exchange Rate Agent. </w:t>
      </w:r>
    </w:p>
    <w:p>
      <w:pPr>
        <w:pStyle w:val="TextBody"/>
        <w:bidi w:val="0"/>
        <w:spacing w:before="240" w:after="0"/>
        <w:jc w:val="both"/>
        <w:rPr>
          <w:rFonts w:ascii="Times New Roman" w:hAnsi="Times New Roman"/>
          <w:sz w:val="24"/>
        </w:rPr>
      </w:pPr>
      <w:r>
        <w:rPr>
          <w:rFonts w:ascii="Times New Roman" w:hAnsi="Times New Roman"/>
          <w:sz w:val="24"/>
        </w:rPr>
        <w:t xml:space="preserve">(c) If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FOUR </w:t>
      </w:r>
    </w:p>
    <w:p>
      <w:pPr>
        <w:pStyle w:val="TextBody"/>
        <w:bidi w:val="0"/>
        <w:spacing w:before="240" w:after="0"/>
        <w:jc w:val="center"/>
        <w:rPr>
          <w:rFonts w:ascii="Times New Roman" w:hAnsi="Times New Roman"/>
          <w:b/>
          <w:sz w:val="24"/>
        </w:rPr>
      </w:pPr>
      <w:r>
        <w:rPr>
          <w:rFonts w:ascii="Times New Roman" w:hAnsi="Times New Roman"/>
          <w:b/>
          <w:sz w:val="24"/>
        </w:rPr>
        <w:t xml:space="preserve">SATISFACTION AND DISCHARGE </w:t>
      </w:r>
    </w:p>
    <w:p>
      <w:pPr>
        <w:pStyle w:val="TextBody"/>
        <w:bidi w:val="0"/>
        <w:spacing w:before="240" w:after="0"/>
        <w:jc w:val="both"/>
        <w:rPr>
          <w:rFonts w:ascii="Times New Roman" w:hAnsi="Times New Roman"/>
          <w:b/>
          <w:sz w:val="24"/>
        </w:rPr>
      </w:pPr>
      <w:bookmarkStart w:id="75" w:name="ex99_1toc528636_89"/>
      <w:bookmarkEnd w:id="75"/>
      <w:r>
        <w:rPr>
          <w:rFonts w:ascii="Times New Roman" w:hAnsi="Times New Roman"/>
          <w:b/>
          <w:sz w:val="24"/>
        </w:rPr>
        <w:t xml:space="preserve">SECTION 401. Satisfaction and Discharge of Indenture. </w:t>
      </w:r>
    </w:p>
    <w:p>
      <w:pPr>
        <w:pStyle w:val="TextBody"/>
        <w:bidi w:val="0"/>
        <w:spacing w:before="240" w:after="0"/>
        <w:jc w:val="both"/>
        <w:rPr>
          <w:rFonts w:ascii="Times New Roman" w:hAnsi="Times New Roman"/>
          <w:sz w:val="24"/>
        </w:rPr>
      </w:pPr>
      <w:r>
        <w:rPr>
          <w:rFonts w:ascii="Times New Roman" w:hAnsi="Times New Roman"/>
          <w:sz w:val="24"/>
        </w:rPr>
        <w:t xml:space="preserve">(a) This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and any right to receive Additional Amounts as contemplated by Section 1005) and the Trustee, at the expense of the Company, shall execute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- 36 -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proper instruments acknowledging satisfaction and discharge of this Indenture as to such series when: </w:t>
      </w:r>
    </w:p>
    <w:p>
      <w:pPr>
        <w:pStyle w:val="TextBody"/>
        <w:bidi w:val="0"/>
        <w:spacing w:before="240" w:after="0"/>
        <w:jc w:val="both"/>
        <w:rPr>
          <w:rFonts w:ascii="Times New Roman" w:hAnsi="Times New Roman"/>
          <w:sz w:val="24"/>
        </w:rPr>
      </w:pPr>
      <w:r>
        <w:rPr>
          <w:rFonts w:ascii="Times New Roman" w:hAnsi="Times New Roman"/>
          <w:sz w:val="24"/>
        </w:rPr>
        <w:t xml:space="preserve">(1) either </w:t>
      </w:r>
    </w:p>
    <w:p>
      <w:pPr>
        <w:pStyle w:val="TextBody"/>
        <w:bidi w:val="0"/>
        <w:spacing w:before="240" w:after="0"/>
        <w:jc w:val="both"/>
        <w:rPr>
          <w:rFonts w:ascii="Times New Roman" w:hAnsi="Times New Roman"/>
          <w:sz w:val="24"/>
        </w:rPr>
      </w:pPr>
      <w:r>
        <w:rPr>
          <w:rFonts w:ascii="Times New Roman" w:hAnsi="Times New Roman"/>
          <w:sz w:val="24"/>
        </w:rPr>
        <w:t xml:space="preserve">(A) all Securities of such series theretofore authenticated and delivered, (other than (i) Securities of such series which have been destroyed, lost or stolen and which have been replaced or paid as provided in Section 306, and (ii) Securities of such series for whose payment money has theretofore been deposited in trust with the Trustee or any Paying Agent or segregated and held in trust by the Company and thereafter repaid to the Company, as provided in Section 1003) have been delivered to the Trustee for cancellation; or </w:t>
      </w:r>
    </w:p>
    <w:p>
      <w:pPr>
        <w:pStyle w:val="TextBody"/>
        <w:bidi w:val="0"/>
        <w:spacing w:before="240" w:after="0"/>
        <w:jc w:val="both"/>
        <w:rPr>
          <w:rFonts w:ascii="Times New Roman" w:hAnsi="Times New Roman"/>
          <w:sz w:val="24"/>
        </w:rPr>
      </w:pPr>
      <w:r>
        <w:rPr>
          <w:rFonts w:ascii="Times New Roman" w:hAnsi="Times New Roman"/>
          <w:sz w:val="24"/>
        </w:rPr>
        <w:t xml:space="preserve">(B) all Securities of such series </w:t>
      </w:r>
    </w:p>
    <w:p>
      <w:pPr>
        <w:pStyle w:val="TextBody"/>
        <w:bidi w:val="0"/>
        <w:spacing w:before="240" w:after="0"/>
        <w:jc w:val="both"/>
        <w:rPr>
          <w:rFonts w:ascii="Times New Roman" w:hAnsi="Times New Roman"/>
          <w:sz w:val="24"/>
        </w:rPr>
      </w:pPr>
      <w:r>
        <w:rPr>
          <w:rFonts w:ascii="Times New Roman" w:hAnsi="Times New Roman"/>
          <w:sz w:val="24"/>
        </w:rPr>
        <w:t xml:space="preserve">(i)  have become due and payable, or </w:t>
      </w:r>
    </w:p>
    <w:p>
      <w:pPr>
        <w:pStyle w:val="TextBody"/>
        <w:bidi w:val="0"/>
        <w:spacing w:before="240" w:after="0"/>
        <w:jc w:val="both"/>
        <w:rPr>
          <w:rFonts w:ascii="Times New Roman" w:hAnsi="Times New Roman"/>
          <w:sz w:val="24"/>
        </w:rPr>
      </w:pPr>
      <w:r>
        <w:rPr>
          <w:rFonts w:ascii="Times New Roman" w:hAnsi="Times New Roman"/>
          <w:sz w:val="24"/>
        </w:rPr>
        <w:t xml:space="preserve">(ii)  will become due and payable at their Stated Maturity within one year, or </w:t>
      </w:r>
    </w:p>
    <w:p>
      <w:pPr>
        <w:pStyle w:val="TextBody"/>
        <w:bidi w:val="0"/>
        <w:spacing w:before="240" w:after="0"/>
        <w:jc w:val="both"/>
        <w:rPr>
          <w:rFonts w:ascii="Times New Roman" w:hAnsi="Times New Roman"/>
          <w:sz w:val="24"/>
        </w:rPr>
      </w:pPr>
      <w:r>
        <w:rPr>
          <w:rFonts w:ascii="Times New Roman" w:hAnsi="Times New Roman"/>
          <w:sz w:val="24"/>
        </w:rPr>
        <w:t xml:space="preserve">(iii) if redeemable at the option of the Company, are to be called for redemption within one year under arrangements satisfactory to the Trustee for the giving of notice of redemption by the Trustee in the name, and at the expense, of the Company, </w:t>
      </w:r>
    </w:p>
    <w:p>
      <w:pPr>
        <w:pStyle w:val="TextBody"/>
        <w:bidi w:val="0"/>
        <w:spacing w:before="240" w:after="0"/>
        <w:jc w:val="both"/>
        <w:rPr>
          <w:rFonts w:ascii="Times New Roman" w:hAnsi="Times New Roman"/>
          <w:sz w:val="24"/>
        </w:rPr>
      </w:pPr>
      <w:r>
        <w:rPr>
          <w:rFonts w:ascii="Times New Roman" w:hAnsi="Times New Roman"/>
          <w:sz w:val="24"/>
        </w:rPr>
        <w:t xml:space="preserve">and the Company, in the case of (i), (ii) or (iii) above, has irrevocably deposited or caused to be deposited with the Trustee as trust funds in trust for such purpose (1) an amount in the Currency in which the Securities of such series are payable, (2) Government Obligations in such Currency in which the Securities of such series are payable or (3) a combination thereof,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 </w:t>
      </w:r>
    </w:p>
    <w:p>
      <w:pPr>
        <w:pStyle w:val="TextBody"/>
        <w:bidi w:val="0"/>
        <w:spacing w:before="240" w:after="0"/>
        <w:jc w:val="both"/>
        <w:rPr>
          <w:rFonts w:ascii="Times New Roman" w:hAnsi="Times New Roman"/>
          <w:sz w:val="24"/>
        </w:rPr>
      </w:pPr>
      <w:r>
        <w:rPr>
          <w:rFonts w:ascii="Times New Roman" w:hAnsi="Times New Roman"/>
          <w:sz w:val="24"/>
        </w:rPr>
        <w:t xml:space="preserve">(2) the Company has paid or caused to be paid all other sums payable with respect to the Securities of such series hereunder by the Company; and </w:t>
      </w:r>
    </w:p>
    <w:p>
      <w:pPr>
        <w:pStyle w:val="TextBody"/>
        <w:bidi w:val="0"/>
        <w:spacing w:before="240" w:after="0"/>
        <w:jc w:val="both"/>
        <w:rPr>
          <w:rFonts w:ascii="Times New Roman" w:hAnsi="Times New Roman"/>
          <w:sz w:val="24"/>
        </w:rPr>
      </w:pPr>
      <w:r>
        <w:rPr>
          <w:rFonts w:ascii="Times New Roman" w:hAnsi="Times New Roman"/>
          <w:sz w:val="24"/>
        </w:rPr>
        <w:t xml:space="preserve">(3) the Company has delivered to the Trustee an Officer’s Certificate and an Opinion of Counsel, each stating that all conditions precedent herein provided for relating to the satisfaction and discharge of this Indenture as to such series have been complied with. </w:t>
      </w:r>
    </w:p>
    <w:p>
      <w:pPr>
        <w:pStyle w:val="TextBody"/>
        <w:bidi w:val="0"/>
        <w:spacing w:before="240" w:after="0"/>
        <w:jc w:val="both"/>
        <w:rPr>
          <w:rFonts w:ascii="Times New Roman" w:hAnsi="Times New Roman"/>
          <w:sz w:val="24"/>
        </w:rPr>
      </w:pPr>
      <w:r>
        <w:rPr>
          <w:rFonts w:ascii="Times New Roman" w:hAnsi="Times New Roman"/>
          <w:sz w:val="24"/>
        </w:rPr>
        <w:t xml:space="preserve">(b) Notwithstanding the satisfaction and discharge of this Indenture, the obligations of the Company to the Trustee under Section 605, the obligations of the Trustee to any Authenticating Agent under Section 611 and, if money shall have been deposited with the Trustee pursuant to subclause (B) of clause (1) of this Section, the obligations of the Trustee under Section 402 and the last paragraph of Section 1003 shall survive.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- 37 - </w:t>
      </w:r>
    </w:p>
    <w:p>
      <w:pPr>
        <w:pStyle w:val="TextBody"/>
        <w:bidi w:val="0"/>
        <w:spacing w:before="0" w:after="0"/>
        <w:jc w:val="left"/>
        <w:rPr/>
      </w:pPr>
      <w:r>
        <w:rPr/>
        <w:t> </w:t>
      </w:r>
    </w:p>
    <w:p>
      <w:pPr>
        <w:pStyle w:val="TextBody"/>
        <w:bidi w:val="0"/>
        <w:spacing w:before="0" w:after="0"/>
        <w:jc w:val="both"/>
        <w:rPr>
          <w:rFonts w:ascii="Times New Roman" w:hAnsi="Times New Roman"/>
          <w:b/>
          <w:sz w:val="24"/>
        </w:rPr>
      </w:pPr>
      <w:bookmarkStart w:id="76" w:name="ex99_1toc528636_90"/>
      <w:bookmarkEnd w:id="76"/>
      <w:r>
        <w:rPr>
          <w:rFonts w:ascii="Times New Roman" w:hAnsi="Times New Roman"/>
          <w:b/>
          <w:sz w:val="24"/>
        </w:rPr>
        <w:t xml:space="preserve">SECTION 402. Application of Trust Money. </w:t>
      </w:r>
    </w:p>
    <w:p>
      <w:pPr>
        <w:pStyle w:val="TextBody"/>
        <w:bidi w:val="0"/>
        <w:spacing w:before="240" w:after="0"/>
        <w:jc w:val="both"/>
        <w:rPr>
          <w:rFonts w:ascii="Times New Roman" w:hAnsi="Times New Roman"/>
          <w:sz w:val="24"/>
        </w:rPr>
      </w:pPr>
      <w:r>
        <w:rPr>
          <w:rFonts w:ascii="Times New Roman" w:hAnsi="Times New Roman"/>
          <w:sz w:val="24"/>
        </w:rPr>
        <w:t xml:space="preserve">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the Trustee; but such money need not be segregated from other funds except to the extent required by law.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FIVE </w:t>
      </w:r>
    </w:p>
    <w:p>
      <w:pPr>
        <w:pStyle w:val="TextBody"/>
        <w:bidi w:val="0"/>
        <w:spacing w:before="240" w:after="0"/>
        <w:jc w:val="center"/>
        <w:rPr>
          <w:rFonts w:ascii="Times New Roman" w:hAnsi="Times New Roman"/>
          <w:b/>
          <w:sz w:val="24"/>
        </w:rPr>
      </w:pPr>
      <w:r>
        <w:rPr>
          <w:rFonts w:ascii="Times New Roman" w:hAnsi="Times New Roman"/>
          <w:b/>
          <w:sz w:val="24"/>
        </w:rPr>
        <w:t xml:space="preserve">REMEDIES </w:t>
      </w:r>
    </w:p>
    <w:p>
      <w:pPr>
        <w:pStyle w:val="TextBody"/>
        <w:bidi w:val="0"/>
        <w:spacing w:before="240" w:after="0"/>
        <w:jc w:val="both"/>
        <w:rPr>
          <w:rFonts w:ascii="Times New Roman" w:hAnsi="Times New Roman"/>
          <w:b/>
          <w:sz w:val="24"/>
        </w:rPr>
      </w:pPr>
      <w:bookmarkStart w:id="77" w:name="ex99_1toc528636_94"/>
      <w:bookmarkEnd w:id="77"/>
      <w:r>
        <w:rPr>
          <w:rFonts w:ascii="Times New Roman" w:hAnsi="Times New Roman"/>
          <w:b/>
          <w:sz w:val="24"/>
        </w:rPr>
        <w:t xml:space="preserve">SECTION 501. Events of Default. </w:t>
      </w:r>
    </w:p>
    <w:p>
      <w:pPr>
        <w:pStyle w:val="TextBody"/>
        <w:bidi w:val="0"/>
        <w:spacing w:before="240" w:after="0"/>
        <w:jc w:val="both"/>
        <w:rPr/>
      </w:pPr>
      <w:r>
        <w:rPr/>
        <w:t>“</w:t>
      </w:r>
      <w:r>
        <w:rPr>
          <w:rFonts w:ascii="Times New Roman" w:hAnsi="Times New Roman"/>
          <w:b/>
          <w:sz w:val="24"/>
        </w:rPr>
        <w:t>Event of Default</w:t>
      </w:r>
      <w:r>
        <w:rPr>
          <w:rFonts w:ascii="Times New Roman" w:hAnsi="Times New Roman"/>
          <w:sz w:val="24"/>
        </w:rPr>
        <w:t xml:space="preserve">”, wherever used herein with respect to Securities of any series, except as otherwise provided in Section 301(b)(20) in respect of any series of Securities,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w:t>
      </w:r>
    </w:p>
    <w:p>
      <w:pPr>
        <w:pStyle w:val="TextBody"/>
        <w:bidi w:val="0"/>
        <w:spacing w:before="240" w:after="0"/>
        <w:jc w:val="both"/>
        <w:rPr>
          <w:rFonts w:ascii="Times New Roman" w:hAnsi="Times New Roman"/>
          <w:sz w:val="24"/>
        </w:rPr>
      </w:pPr>
      <w:r>
        <w:rPr>
          <w:rFonts w:ascii="Times New Roman" w:hAnsi="Times New Roman"/>
          <w:sz w:val="24"/>
        </w:rPr>
        <w:t xml:space="preserve">(1) default in the payment of any interest due on any Security of that series when such interest becomes due and payable, and continuance of such default for a period of 30 days; or </w:t>
      </w:r>
    </w:p>
    <w:p>
      <w:pPr>
        <w:pStyle w:val="TextBody"/>
        <w:bidi w:val="0"/>
        <w:spacing w:before="240" w:after="0"/>
        <w:jc w:val="both"/>
        <w:rPr>
          <w:rFonts w:ascii="Times New Roman" w:hAnsi="Times New Roman"/>
          <w:sz w:val="24"/>
        </w:rPr>
      </w:pPr>
      <w:r>
        <w:rPr>
          <w:rFonts w:ascii="Times New Roman" w:hAnsi="Times New Roman"/>
          <w:sz w:val="24"/>
        </w:rPr>
        <w:t xml:space="preserve">(2) default in the payment of the principal of (or premium, if any, on) any Security of that series at its Maturity; or </w:t>
      </w:r>
    </w:p>
    <w:p>
      <w:pPr>
        <w:pStyle w:val="TextBody"/>
        <w:bidi w:val="0"/>
        <w:spacing w:before="240" w:after="0"/>
        <w:jc w:val="both"/>
        <w:rPr>
          <w:rFonts w:ascii="Times New Roman" w:hAnsi="Times New Roman"/>
          <w:sz w:val="24"/>
        </w:rPr>
      </w:pPr>
      <w:r>
        <w:rPr>
          <w:rFonts w:ascii="Times New Roman" w:hAnsi="Times New Roman"/>
          <w:sz w:val="24"/>
        </w:rPr>
        <w:t xml:space="preserve">(3) default in the deposit of any sinking fund or analogous payment when due by the terms of any Security (if applicable); or </w:t>
      </w:r>
    </w:p>
    <w:p>
      <w:pPr>
        <w:pStyle w:val="TextBody"/>
        <w:bidi w:val="0"/>
        <w:spacing w:before="240" w:after="0"/>
        <w:jc w:val="both"/>
        <w:rPr>
          <w:rFonts w:ascii="Times New Roman" w:hAnsi="Times New Roman"/>
          <w:sz w:val="24"/>
        </w:rPr>
      </w:pPr>
      <w:r>
        <w:rPr>
          <w:rFonts w:ascii="Times New Roman" w:hAnsi="Times New Roman"/>
          <w:sz w:val="24"/>
        </w:rPr>
        <w:t>(4) default in the performance, or breach, of any covenant or agreement of the Company or any Subsidiary Guarantor in this Indenture, and continuance of such default or breach for a period of 60 days after there has been given, by registered or certified mail, to the Company by the Trustee or to the Company and the Trustee by the Holders of at least 25% in principal amount of all Outstanding Securities of that series a written notice specifying such default or breach and requiring it to be remedied and stating that such notice is a “</w:t>
      </w:r>
      <w:r>
        <w:rPr>
          <w:rFonts w:ascii="Times New Roman" w:hAnsi="Times New Roman"/>
          <w:b/>
          <w:sz w:val="24"/>
        </w:rPr>
        <w:t>Notice of Default</w:t>
      </w:r>
      <w:r>
        <w:rPr>
          <w:rFonts w:ascii="Times New Roman" w:hAnsi="Times New Roman"/>
          <w:sz w:val="24"/>
        </w:rPr>
        <w:t xml:space="preserve">” hereunder; or </w:t>
      </w:r>
    </w:p>
    <w:p>
      <w:pPr>
        <w:pStyle w:val="TextBody"/>
        <w:bidi w:val="0"/>
        <w:spacing w:before="240" w:after="0"/>
        <w:jc w:val="both"/>
        <w:rPr>
          <w:rFonts w:ascii="Times New Roman" w:hAnsi="Times New Roman"/>
          <w:sz w:val="24"/>
        </w:rPr>
      </w:pPr>
      <w:r>
        <w:rPr>
          <w:rFonts w:ascii="Times New Roman" w:hAnsi="Times New Roman"/>
          <w:sz w:val="24"/>
        </w:rPr>
        <w:t xml:space="preserve">(5) the entry of a decree or order by a court having jurisdiction in the premises adjudging the Company or any Subsidiary Guarantor a bankrupt or insolvent, or approving as properly filed a petition seeking reorganization, arrangement, adjustment or composition of or in respect of the Company or any Subsidiary Guarantor under or subject to the </w:t>
      </w:r>
      <w:r>
        <w:rPr>
          <w:rFonts w:ascii="Times New Roman" w:hAnsi="Times New Roman"/>
          <w:i/>
          <w:sz w:val="24"/>
        </w:rPr>
        <w:t>Bankruptcy and Insolvency Act</w:t>
      </w:r>
      <w:r>
        <w:rPr>
          <w:rFonts w:ascii="Times New Roman" w:hAnsi="Times New Roman"/>
          <w:sz w:val="24"/>
        </w:rPr>
        <w:t xml:space="preserve"> (Canada), the </w:t>
      </w:r>
      <w:r>
        <w:rPr>
          <w:rFonts w:ascii="Times New Roman" w:hAnsi="Times New Roman"/>
          <w:i/>
          <w:sz w:val="24"/>
        </w:rPr>
        <w:t>Companies</w:t>
      </w:r>
      <w:r>
        <w:rPr>
          <w:rFonts w:ascii="Times New Roman" w:hAnsi="Times New Roman"/>
          <w:sz w:val="24"/>
        </w:rPr>
        <w:t xml:space="preserve">’ </w:t>
      </w:r>
      <w:r>
        <w:rPr>
          <w:rFonts w:ascii="Times New Roman" w:hAnsi="Times New Roman"/>
          <w:i/>
          <w:sz w:val="24"/>
        </w:rPr>
        <w:t>Creditors Arrangement Act</w:t>
      </w:r>
      <w:r>
        <w:rPr>
          <w:rFonts w:ascii="Times New Roman" w:hAnsi="Times New Roman"/>
          <w:sz w:val="24"/>
        </w:rPr>
        <w:t xml:space="preserve"> (Canada) or other analogous bankruptcy or insolvency laws in the United States, or the issuance of a sequestration order or the appointment of a receiver, liquidator, assignee, trustee, sequestrator (or other similar official) of the Company or any Subsidiary Guarantor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- 38 -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or in receipt of any substantial part of the property of the Company or any Subsidiary Guarantor, and any such decree, order or appointment continues unstayed and in effect for a period of 90 consecutive days; or </w:t>
      </w:r>
    </w:p>
    <w:p>
      <w:pPr>
        <w:pStyle w:val="TextBody"/>
        <w:bidi w:val="0"/>
        <w:spacing w:before="240" w:after="0"/>
        <w:jc w:val="both"/>
        <w:rPr>
          <w:rFonts w:ascii="Times New Roman" w:hAnsi="Times New Roman"/>
          <w:sz w:val="24"/>
        </w:rPr>
      </w:pPr>
      <w:r>
        <w:rPr>
          <w:rFonts w:ascii="Times New Roman" w:hAnsi="Times New Roman"/>
          <w:sz w:val="24"/>
        </w:rPr>
        <w:t xml:space="preserve">(6) the institution by the Company or any Subsidiary Guarantor of proceedings to be adjudicated a bankrupt or insolvent, or the consent by the Company or any Subsidiary Guarantor to the institution of bankruptcy or insolvency proceedings against it, or the filing by the Company or any Subsidiary Guarantor of a petition or answer or consent seeking reorganization or relief from creditors in respect of it or its property under or subject to the </w:t>
      </w:r>
      <w:r>
        <w:rPr>
          <w:rFonts w:ascii="Times New Roman" w:hAnsi="Times New Roman"/>
          <w:i/>
          <w:sz w:val="24"/>
        </w:rPr>
        <w:t>Bankruptcy and Insolvency Act</w:t>
      </w:r>
      <w:r>
        <w:rPr>
          <w:rFonts w:ascii="Times New Roman" w:hAnsi="Times New Roman"/>
          <w:sz w:val="24"/>
        </w:rPr>
        <w:t xml:space="preserve"> (Canada), the </w:t>
      </w:r>
      <w:r>
        <w:rPr>
          <w:rFonts w:ascii="Times New Roman" w:hAnsi="Times New Roman"/>
          <w:i/>
          <w:sz w:val="24"/>
        </w:rPr>
        <w:t>Companies</w:t>
      </w:r>
      <w:r>
        <w:rPr>
          <w:rFonts w:ascii="Times New Roman" w:hAnsi="Times New Roman"/>
          <w:sz w:val="24"/>
        </w:rPr>
        <w:t xml:space="preserve">’ </w:t>
      </w:r>
      <w:r>
        <w:rPr>
          <w:rFonts w:ascii="Times New Roman" w:hAnsi="Times New Roman"/>
          <w:i/>
          <w:sz w:val="24"/>
        </w:rPr>
        <w:t>Creditors Arrangement Act</w:t>
      </w:r>
      <w:r>
        <w:rPr>
          <w:rFonts w:ascii="Times New Roman" w:hAnsi="Times New Roman"/>
          <w:sz w:val="24"/>
        </w:rPr>
        <w:t xml:space="preserve"> (Canada) or other analogous bankruptcy or insolvency laws in the United States or the consent by the Company or any Subsidiary Guarantor to the filing of any such petition or to the appointment of a receiver, liquidator, assignee, trustee, sequestrator (or other similar official) of the Company or such Subsidiary Guarantor, respectively, or of any substantial part of its property, or the making by the Company or any Subsidiary Guarantor of a general assignment for the benefit of creditors, or the admission by the Company or any Subsidiary Guarantor in writing of its inability to pay its debts generally as they become due or the taking by it of corporate action in furtherance of any of the aforesaid purposes; or </w:t>
      </w:r>
    </w:p>
    <w:p>
      <w:pPr>
        <w:pStyle w:val="TextBody"/>
        <w:bidi w:val="0"/>
        <w:spacing w:before="240" w:after="0"/>
        <w:jc w:val="both"/>
        <w:rPr>
          <w:rFonts w:ascii="Times New Roman" w:hAnsi="Times New Roman"/>
          <w:sz w:val="24"/>
        </w:rPr>
      </w:pPr>
      <w:r>
        <w:rPr>
          <w:rFonts w:ascii="Times New Roman" w:hAnsi="Times New Roman"/>
          <w:sz w:val="24"/>
        </w:rPr>
        <w:t xml:space="preserve">(7) any other Event of Default provided with respect to Securities of that series; or </w:t>
      </w:r>
    </w:p>
    <w:p>
      <w:pPr>
        <w:pStyle w:val="TextBody"/>
        <w:bidi w:val="0"/>
        <w:spacing w:before="240" w:after="0"/>
        <w:jc w:val="both"/>
        <w:rPr>
          <w:rFonts w:ascii="Times New Roman" w:hAnsi="Times New Roman"/>
          <w:sz w:val="24"/>
        </w:rPr>
      </w:pPr>
      <w:r>
        <w:rPr>
          <w:rFonts w:ascii="Times New Roman" w:hAnsi="Times New Roman"/>
          <w:sz w:val="24"/>
        </w:rPr>
        <w:t xml:space="preserve">(8) any Guarantee ceasing to be, or asserted by any Subsidiary Guarantor as not being, in full force and effect, enforceable according to its terms, except to the extent contemplated by this Indenture, including without limitation the release of any Guarantee in accordance with the terms of this Indenture. </w:t>
      </w:r>
    </w:p>
    <w:p>
      <w:pPr>
        <w:pStyle w:val="TextBody"/>
        <w:bidi w:val="0"/>
        <w:spacing w:before="240" w:after="0"/>
        <w:jc w:val="both"/>
        <w:rPr>
          <w:rFonts w:ascii="Times New Roman" w:hAnsi="Times New Roman"/>
          <w:b/>
          <w:sz w:val="24"/>
        </w:rPr>
      </w:pPr>
      <w:bookmarkStart w:id="78" w:name="ex99_1toc528636_95"/>
      <w:bookmarkEnd w:id="78"/>
      <w:r>
        <w:rPr>
          <w:rFonts w:ascii="Times New Roman" w:hAnsi="Times New Roman"/>
          <w:b/>
          <w:sz w:val="24"/>
        </w:rPr>
        <w:t xml:space="preserve">SECTION 502. Notice of Defaults. </w:t>
      </w:r>
    </w:p>
    <w:p>
      <w:pPr>
        <w:pStyle w:val="TextBody"/>
        <w:bidi w:val="0"/>
        <w:spacing w:before="240" w:after="0"/>
        <w:jc w:val="both"/>
        <w:rPr>
          <w:rFonts w:ascii="Times New Roman" w:hAnsi="Times New Roman"/>
          <w:sz w:val="24"/>
        </w:rPr>
      </w:pPr>
      <w:r>
        <w:rPr>
          <w:rFonts w:ascii="Times New Roman" w:hAnsi="Times New Roman"/>
          <w:sz w:val="24"/>
        </w:rPr>
        <w:t xml:space="preserve">(a) If an Event of Default with respect to the Securities of any series shall occur and be continuing, the Trustee shall, within 90 days after the Trustee becomes aware of the occurrence of such Event of Default, give notice of such Event of Default to the Holders of that series, and may, notwithstanding that no Default has occurred with respect to the Securities of any other series, give notice to the Holders of the Securities of such other series in the manner and to the extent provided in Trust Indenture Legislation, unless such Default shall have been cured or waived;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except in the case of a Default in the payment of the principal of (or premium, if any) or interest, if any, on any Security of such series or in the payment of any sinking fund installment with respect to Securities of such series (if applicable), the Trustee shall be protected in withholding such notice if and so long as a Responsible Officer of the Trustee in good faith determines that the withholding of such notice is in the best interest of the Holders of such series; and </w:t>
      </w:r>
      <w:r>
        <w:rPr>
          <w:rFonts w:ascii="Times New Roman" w:hAnsi="Times New Roman"/>
          <w:sz w:val="24"/>
          <w:u w:val="single"/>
        </w:rPr>
        <w:t>provided further</w:t>
      </w:r>
      <w:r>
        <w:rPr>
          <w:rFonts w:ascii="Times New Roman" w:hAnsi="Times New Roman"/>
          <w:sz w:val="24"/>
        </w:rPr>
        <w:t xml:space="preserve"> that in the case of any Default of the character specified in Section 501(4) with respect to Securities of such series, no such notice to Holders shall be given until at least 30 days after the occurrence thereof. </w:t>
      </w:r>
    </w:p>
    <w:p>
      <w:pPr>
        <w:pStyle w:val="TextBody"/>
        <w:bidi w:val="0"/>
        <w:spacing w:before="240" w:after="0"/>
        <w:jc w:val="both"/>
        <w:rPr>
          <w:rFonts w:ascii="Times New Roman" w:hAnsi="Times New Roman"/>
          <w:sz w:val="24"/>
        </w:rPr>
      </w:pPr>
      <w:r>
        <w:rPr>
          <w:rFonts w:ascii="Times New Roman" w:hAnsi="Times New Roman"/>
          <w:sz w:val="24"/>
        </w:rPr>
        <w:t xml:space="preserve">(b) If notice of an Event of Default has been given to Holders and such Event of Default is thereafter remedied or cured prior to the acceleration of the indebtedness of the Company and the Subsidiary Guarantors hereunder pursuant to Section 503, notice that such Event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- 39 -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of Default is no longer continuing shall be given by the Trustee to the Persons to whom notice of such Event of Default was given pursuant to this Section, such notice to be given within a reasonable time, not to exceed 30 days, after the Trustee becomes aware that such Event of Default has been remedied or cured during such period of time. </w:t>
      </w:r>
    </w:p>
    <w:p>
      <w:pPr>
        <w:pStyle w:val="TextBody"/>
        <w:bidi w:val="0"/>
        <w:spacing w:before="240" w:after="0"/>
        <w:jc w:val="both"/>
        <w:rPr>
          <w:rFonts w:ascii="Times New Roman" w:hAnsi="Times New Roman"/>
          <w:b/>
          <w:sz w:val="24"/>
        </w:rPr>
      </w:pPr>
      <w:bookmarkStart w:id="79" w:name="ex99_1toc528636_96"/>
      <w:bookmarkEnd w:id="79"/>
      <w:r>
        <w:rPr>
          <w:rFonts w:ascii="Times New Roman" w:hAnsi="Times New Roman"/>
          <w:b/>
          <w:sz w:val="24"/>
        </w:rPr>
        <w:t xml:space="preserve">SECTION 503. Acceleration of Maturity; Rescission and Annulment. </w:t>
      </w:r>
    </w:p>
    <w:p>
      <w:pPr>
        <w:pStyle w:val="TextBody"/>
        <w:bidi w:val="0"/>
        <w:spacing w:before="240" w:after="0"/>
        <w:jc w:val="both"/>
        <w:rPr>
          <w:rFonts w:ascii="Times New Roman" w:hAnsi="Times New Roman"/>
          <w:sz w:val="24"/>
        </w:rPr>
      </w:pPr>
      <w:r>
        <w:rPr>
          <w:rFonts w:ascii="Times New Roman" w:hAnsi="Times New Roman"/>
          <w:sz w:val="24"/>
        </w:rPr>
        <w:t xml:space="preserve">(a) If an Event of Default described in clause (1), (2), (3), (4), (7) or (8) of Section 501 with respect to Securities of any series at the time Outstanding occurs and is continuing, then in every such case the Trustee, acting on written direction of Holders of not less than 25% in principal amount of the Outstanding Securities of that series may declare the principal amount (or, if the Securities of that series are Original Issue Discount Securities or Indexed Securities, such portion of the principal amount as may be specified in the terms of that series) of all of the Securities of that series to be due and payable immediately, by a notice in writing to the Company (and to the Trustee if given by Holders), and upon any such declaration such principal amount (or specified portion thereof) shall become immediately due and payable. If an Event of Default described in clause (5) or (6) of Section 501 occurs and is continuing, then in every such case the Trustee, acting on written direction of Holders of not less than 25% in principal amount of all the Securities then Outstanding may declare the principal amount (or, if any such Securities are Original Issue Discount Securities or Indexed Securities, such portion of the principal amount as may be specified in the terms of that series) of all of the Outstanding Securities to be due and payable immediately, by a notice in writing to the Company (and to the Trustee if given by the Holders) and upon any such declaration such principal amount (or specified portion thereof) shall become immediately due and payable. </w:t>
      </w:r>
    </w:p>
    <w:p>
      <w:pPr>
        <w:pStyle w:val="TextBody"/>
        <w:bidi w:val="0"/>
        <w:spacing w:before="240" w:after="0"/>
        <w:jc w:val="both"/>
        <w:rPr>
          <w:rFonts w:ascii="Times New Roman" w:hAnsi="Times New Roman"/>
          <w:sz w:val="24"/>
        </w:rPr>
      </w:pPr>
      <w:r>
        <w:rPr>
          <w:rFonts w:ascii="Times New Roman" w:hAnsi="Times New Roman"/>
          <w:sz w:val="24"/>
        </w:rPr>
        <w:t xml:space="preserve">(b) At any time after such a declaration of acceleration with respect to Securities of any series (or of all series, as the case may be) has been made and before a judgment or decree for payment of the money due has been obtained by the Trustee as hereinafter provided in this Article, the Holders of a majority in principal amount of the Outstanding Securities of that series (or of all series, as the case may be), by written notice to the Company, the Subsidiary Guarantors and the Trustee, may rescind and annul such declaration and its consequences if: </w:t>
      </w:r>
    </w:p>
    <w:p>
      <w:pPr>
        <w:pStyle w:val="TextBody"/>
        <w:bidi w:val="0"/>
        <w:spacing w:before="240" w:after="0"/>
        <w:jc w:val="both"/>
        <w:rPr>
          <w:rFonts w:ascii="Times New Roman" w:hAnsi="Times New Roman"/>
          <w:sz w:val="24"/>
        </w:rPr>
      </w:pPr>
      <w:r>
        <w:rPr>
          <w:rFonts w:ascii="Times New Roman" w:hAnsi="Times New Roman"/>
          <w:sz w:val="24"/>
        </w:rPr>
        <w:t xml:space="preserve">(1) the Company or a Subsidiary Guarantor has paid or deposited with the Trustee a sum sufficient to pay in the Currency in which the Securities of such series are payable (except as otherwise specified pursuant to Section 301 for the Securities of such series), </w:t>
      </w:r>
    </w:p>
    <w:p>
      <w:pPr>
        <w:pStyle w:val="TextBody"/>
        <w:bidi w:val="0"/>
        <w:spacing w:before="240" w:after="0"/>
        <w:jc w:val="both"/>
        <w:rPr>
          <w:rFonts w:ascii="Times New Roman" w:hAnsi="Times New Roman"/>
          <w:sz w:val="24"/>
        </w:rPr>
      </w:pPr>
      <w:r>
        <w:rPr>
          <w:rFonts w:ascii="Times New Roman" w:hAnsi="Times New Roman"/>
          <w:sz w:val="24"/>
        </w:rPr>
        <w:t xml:space="preserve">(A) all overdue interest, if any, on all Outstanding Securities of that series (or of all series, as the case may be), </w:t>
      </w:r>
    </w:p>
    <w:p>
      <w:pPr>
        <w:pStyle w:val="TextBody"/>
        <w:bidi w:val="0"/>
        <w:spacing w:before="240" w:after="0"/>
        <w:jc w:val="both"/>
        <w:rPr>
          <w:rFonts w:ascii="Times New Roman" w:hAnsi="Times New Roman"/>
          <w:sz w:val="24"/>
        </w:rPr>
      </w:pPr>
      <w:r>
        <w:rPr>
          <w:rFonts w:ascii="Times New Roman" w:hAnsi="Times New Roman"/>
          <w:sz w:val="24"/>
        </w:rPr>
        <w:t xml:space="preserve">(B) all unpaid principal of (and premium, if any, on) any Outstanding Securities of that series (or of all series, as the case may be) which has become due otherwise than by such declaration of acceleration, and interest on such unpaid principal at the rate or rates prescribed therefor in such Securities, </w:t>
      </w:r>
    </w:p>
    <w:p>
      <w:pPr>
        <w:pStyle w:val="TextBody"/>
        <w:bidi w:val="0"/>
        <w:spacing w:before="240" w:after="0"/>
        <w:jc w:val="both"/>
        <w:rPr>
          <w:rFonts w:ascii="Times New Roman" w:hAnsi="Times New Roman"/>
          <w:sz w:val="24"/>
        </w:rPr>
      </w:pPr>
      <w:r>
        <w:rPr>
          <w:rFonts w:ascii="Times New Roman" w:hAnsi="Times New Roman"/>
          <w:sz w:val="24"/>
        </w:rPr>
        <w:t xml:space="preserve">(C) to the extent that payment of such interest is lawful, interest upon overdue interest at the rate or rates prescribed therefor in such Securities, and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- 40 -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(D) all sums paid or advanced by the Trustee hereunder and the reasonable compensation, expenses, disbursements and advances of the Trustee, its agents and counsel; and </w:t>
      </w:r>
    </w:p>
    <w:p>
      <w:pPr>
        <w:pStyle w:val="TextBody"/>
        <w:bidi w:val="0"/>
        <w:spacing w:before="240" w:after="0"/>
        <w:jc w:val="both"/>
        <w:rPr>
          <w:rFonts w:ascii="Times New Roman" w:hAnsi="Times New Roman"/>
          <w:sz w:val="24"/>
        </w:rPr>
      </w:pPr>
      <w:r>
        <w:rPr>
          <w:rFonts w:ascii="Times New Roman" w:hAnsi="Times New Roman"/>
          <w:sz w:val="24"/>
        </w:rPr>
        <w:t xml:space="preserve">(2) all Events of Default with respect to Securities of that series (or of all series, as the case may be), other than the non-payment of amounts of principal of (or premium, if any, on) or interest on Securities of that series (or of all series, as the case may be) which have become due solely by such declaration of acceleration, have been cured or waived as provided in Section 514. </w:t>
      </w:r>
    </w:p>
    <w:p>
      <w:pPr>
        <w:pStyle w:val="TextBody"/>
        <w:bidi w:val="0"/>
        <w:spacing w:before="240" w:after="0"/>
        <w:jc w:val="both"/>
        <w:rPr>
          <w:rFonts w:ascii="Times New Roman" w:hAnsi="Times New Roman"/>
          <w:sz w:val="24"/>
        </w:rPr>
      </w:pPr>
      <w:r>
        <w:rPr>
          <w:rFonts w:ascii="Times New Roman" w:hAnsi="Times New Roman"/>
          <w:sz w:val="24"/>
        </w:rPr>
        <w:t xml:space="preserve">(c) No such rescission shall affect any subsequent default or impair any right consequent thereon. </w:t>
      </w:r>
    </w:p>
    <w:p>
      <w:pPr>
        <w:pStyle w:val="TextBody"/>
        <w:bidi w:val="0"/>
        <w:spacing w:before="240" w:after="0"/>
        <w:jc w:val="both"/>
        <w:rPr>
          <w:rFonts w:ascii="Times New Roman" w:hAnsi="Times New Roman"/>
          <w:b/>
          <w:sz w:val="24"/>
        </w:rPr>
      </w:pPr>
      <w:bookmarkStart w:id="80" w:name="ex99_1toc528636_97"/>
      <w:bookmarkEnd w:id="80"/>
      <w:r>
        <w:rPr>
          <w:rFonts w:ascii="Times New Roman" w:hAnsi="Times New Roman"/>
          <w:b/>
          <w:sz w:val="24"/>
        </w:rPr>
        <w:t xml:space="preserve">SECTION 504. Collection of Debt and Suits for Enforcement by Trustee. </w:t>
      </w:r>
    </w:p>
    <w:p>
      <w:pPr>
        <w:pStyle w:val="TextBody"/>
        <w:bidi w:val="0"/>
        <w:spacing w:before="240" w:after="0"/>
        <w:jc w:val="both"/>
        <w:rPr>
          <w:rFonts w:ascii="Times New Roman" w:hAnsi="Times New Roman"/>
          <w:sz w:val="24"/>
        </w:rPr>
      </w:pPr>
      <w:r>
        <w:rPr>
          <w:rFonts w:ascii="Times New Roman" w:hAnsi="Times New Roman"/>
          <w:sz w:val="24"/>
        </w:rPr>
        <w:t xml:space="preserve">(a) Each of the Company and the Subsidiary Guarantors covenants that if </w:t>
      </w:r>
    </w:p>
    <w:p>
      <w:pPr>
        <w:pStyle w:val="TextBody"/>
        <w:bidi w:val="0"/>
        <w:spacing w:before="240" w:after="0"/>
        <w:jc w:val="both"/>
        <w:rPr>
          <w:rFonts w:ascii="Times New Roman" w:hAnsi="Times New Roman"/>
          <w:sz w:val="24"/>
        </w:rPr>
      </w:pPr>
      <w:r>
        <w:rPr>
          <w:rFonts w:ascii="Times New Roman" w:hAnsi="Times New Roman"/>
          <w:sz w:val="24"/>
        </w:rPr>
        <w:t xml:space="preserve">(1) default is made in the payment of any installment of interest on any Security when such interest becomes due and payable and such default continues for a period of 30 days, or </w:t>
      </w:r>
    </w:p>
    <w:p>
      <w:pPr>
        <w:pStyle w:val="TextBody"/>
        <w:bidi w:val="0"/>
        <w:spacing w:before="240" w:after="0"/>
        <w:jc w:val="both"/>
        <w:rPr>
          <w:rFonts w:ascii="Times New Roman" w:hAnsi="Times New Roman"/>
          <w:sz w:val="24"/>
        </w:rPr>
      </w:pPr>
      <w:r>
        <w:rPr>
          <w:rFonts w:ascii="Times New Roman" w:hAnsi="Times New Roman"/>
          <w:sz w:val="24"/>
        </w:rPr>
        <w:t xml:space="preserve">(2) default is made in the payment of the principal of (or premium, if any, on) any Security at the Maturity thereof, </w:t>
      </w:r>
    </w:p>
    <w:p>
      <w:pPr>
        <w:pStyle w:val="TextBody"/>
        <w:bidi w:val="0"/>
        <w:spacing w:before="240" w:after="0"/>
        <w:jc w:val="both"/>
        <w:rPr>
          <w:rFonts w:ascii="Times New Roman" w:hAnsi="Times New Roman"/>
          <w:sz w:val="24"/>
        </w:rPr>
      </w:pPr>
      <w:r>
        <w:rPr>
          <w:rFonts w:ascii="Times New Roman" w:hAnsi="Times New Roman"/>
          <w:sz w:val="24"/>
        </w:rPr>
        <w:t xml:space="preserve">then the Company or the Subsidiary Guarantors will, upon demand of the Trustee, pay to the Trustee for the benefit of the Holders of such Securities, the whole amount then due and payable on such Securities for principal (and premium, if any) and interest, if any, and interest on any overdue principal (and premium, if any) and, to the extent that payment of such interest shall be legally enforceable,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w:t>
      </w:r>
    </w:p>
    <w:p>
      <w:pPr>
        <w:pStyle w:val="TextBody"/>
        <w:bidi w:val="0"/>
        <w:spacing w:before="240" w:after="0"/>
        <w:jc w:val="both"/>
        <w:rPr>
          <w:rFonts w:ascii="Times New Roman" w:hAnsi="Times New Roman"/>
          <w:sz w:val="24"/>
        </w:rPr>
      </w:pPr>
      <w:r>
        <w:rPr>
          <w:rFonts w:ascii="Times New Roman" w:hAnsi="Times New Roman"/>
          <w:sz w:val="24"/>
        </w:rPr>
        <w:t xml:space="preserve">(b) If the Company and the Subsidiary Guarantors fail to pay such amounts forthwith upon such demand, the Trustee, upon receipt of a notice in writing to the Trustee by the Holders of not less than 25% in principal amount of the Outstanding Securities of that series and upon being sufficiently indemnified, secured and funded to its reasonable satisfaction against all costs, expenses and liabilities to be incurred, may, in its name as Trustee hereunder institute a judicial proceeding for the collection of the sums so due and unpaid, may prosecute such proceeding to judgment or final decree and may enforce the same against the Company, the Subsidiary Guarantors or any other obligor upon such Securities and collect the moneys adjudged or decreed to be payable in the manner provided by law out of the property of the Company, the Subsidiary Guarantors or any other obligor upon such Securities, wherever situated. </w:t>
      </w:r>
    </w:p>
    <w:p>
      <w:pPr>
        <w:pStyle w:val="TextBody"/>
        <w:bidi w:val="0"/>
        <w:spacing w:before="240" w:after="0"/>
        <w:jc w:val="both"/>
        <w:rPr>
          <w:rFonts w:ascii="Times New Roman" w:hAnsi="Times New Roman"/>
          <w:sz w:val="24"/>
        </w:rPr>
      </w:pPr>
      <w:r>
        <w:rPr>
          <w:rFonts w:ascii="Times New Roman" w:hAnsi="Times New Roman"/>
          <w:sz w:val="24"/>
        </w:rPr>
        <w:t xml:space="preserve">(c) If an Event of Default with respect to Securities of any series (or of all series, as the case may be) occurs and is continuing, the Trustee may in its discretion proceed to protect and enforce its rights and the rights of the Holders of Securities of such series (or of all series, as the case may be) by such appropriate judicial proceedings as the Trustee shall deem most effectual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- 41 -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both"/>
        <w:rPr>
          <w:rFonts w:ascii="Times New Roman" w:hAnsi="Times New Roman"/>
          <w:b/>
          <w:sz w:val="24"/>
        </w:rPr>
      </w:pPr>
      <w:bookmarkStart w:id="81" w:name="ex99_1toc528636_98"/>
      <w:bookmarkEnd w:id="81"/>
      <w:r>
        <w:rPr>
          <w:rFonts w:ascii="Times New Roman" w:hAnsi="Times New Roman"/>
          <w:b/>
          <w:sz w:val="24"/>
        </w:rPr>
        <w:t xml:space="preserve">SECTION 505. Trustee May File Proofs of Claim. </w:t>
      </w:r>
    </w:p>
    <w:p>
      <w:pPr>
        <w:pStyle w:val="TextBody"/>
        <w:bidi w:val="0"/>
        <w:spacing w:before="240" w:after="0"/>
        <w:jc w:val="both"/>
        <w:rPr>
          <w:rFonts w:ascii="Times New Roman" w:hAnsi="Times New Roman"/>
          <w:sz w:val="24"/>
        </w:rPr>
      </w:pPr>
      <w:r>
        <w:rPr>
          <w:rFonts w:ascii="Times New Roman" w:hAnsi="Times New Roman"/>
          <w:sz w:val="24"/>
        </w:rPr>
        <w:t xml:space="preserve">(a) In case of the pendency of any receivership, insolvency, liquidation, bankruptcy, reorganization, arrangement, adjustment, composition or other judicial proceeding relative to the Company, the Subsidiary Guarantors or any other obligor upon the Securities or the property of the Company, the Subsidiary Guarantors or of such other obligor or their creditors, the Trustee (irrespective of whether the principal of the Securities shall then be due and payable as therein expressed or by declaration or otherwise and irrespective of whether the Trustee shall have made any demand on the Company or the Subsidiary Guarantors for the payment of overdue principal, premium, if any, or interest) shall be entitled and empowered, by intervention in such proceeding or otherwise, </w:t>
      </w:r>
    </w:p>
    <w:p>
      <w:pPr>
        <w:pStyle w:val="TextBody"/>
        <w:bidi w:val="0"/>
        <w:spacing w:before="240" w:after="0"/>
        <w:jc w:val="both"/>
        <w:rPr>
          <w:rFonts w:ascii="Times New Roman" w:hAnsi="Times New Roman"/>
          <w:sz w:val="24"/>
        </w:rPr>
      </w:pPr>
      <w:r>
        <w:rPr>
          <w:rFonts w:ascii="Times New Roman" w:hAnsi="Times New Roman"/>
          <w:sz w:val="24"/>
        </w:rPr>
        <w:t xml:space="preserve">(1) to file and prove a claim for the whole amount of principal (and premium, if any), or such portion of the principal amount of any series of Original Issue Discount Securities or Indexed Securities as may be specified in the terms of such series, and interest, if any,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w:t>
      </w:r>
    </w:p>
    <w:p>
      <w:pPr>
        <w:pStyle w:val="TextBody"/>
        <w:bidi w:val="0"/>
        <w:spacing w:before="240" w:after="0"/>
        <w:jc w:val="both"/>
        <w:rPr>
          <w:rFonts w:ascii="Times New Roman" w:hAnsi="Times New Roman"/>
          <w:sz w:val="24"/>
        </w:rPr>
      </w:pPr>
      <w:r>
        <w:rPr>
          <w:rFonts w:ascii="Times New Roman" w:hAnsi="Times New Roman"/>
          <w:sz w:val="24"/>
        </w:rPr>
        <w:t xml:space="preserve">(2) to collect and receive any moneys or other property payable or deliverable on any such claims and to distribute the same; </w:t>
      </w:r>
    </w:p>
    <w:p>
      <w:pPr>
        <w:pStyle w:val="TextBody"/>
        <w:bidi w:val="0"/>
        <w:spacing w:before="240" w:after="0"/>
        <w:jc w:val="both"/>
        <w:rPr>
          <w:rFonts w:ascii="Times New Roman" w:hAnsi="Times New Roman"/>
          <w:sz w:val="24"/>
        </w:rPr>
      </w:pPr>
      <w:r>
        <w:rPr>
          <w:rFonts w:ascii="Times New Roman" w:hAnsi="Times New Roman"/>
          <w:sz w:val="24"/>
        </w:rPr>
        <w:t xml:space="preserve">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605. </w:t>
      </w:r>
    </w:p>
    <w:p>
      <w:pPr>
        <w:pStyle w:val="TextBody"/>
        <w:bidi w:val="0"/>
        <w:spacing w:before="240" w:after="0"/>
        <w:jc w:val="both"/>
        <w:rPr>
          <w:rFonts w:ascii="Times New Roman" w:hAnsi="Times New Roman"/>
          <w:sz w:val="24"/>
        </w:rPr>
      </w:pPr>
      <w:r>
        <w:rPr>
          <w:rFonts w:ascii="Times New Roman" w:hAnsi="Times New Roman"/>
          <w:sz w:val="24"/>
        </w:rPr>
        <w:t xml:space="preserve">(b) Nothing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except as aforesaid, for the electing of a trustee in bankruptcy or other person performing similar functions. </w:t>
      </w:r>
    </w:p>
    <w:p>
      <w:pPr>
        <w:pStyle w:val="TextBody"/>
        <w:bidi w:val="0"/>
        <w:spacing w:before="240" w:after="0"/>
        <w:jc w:val="both"/>
        <w:rPr>
          <w:rFonts w:ascii="Times New Roman" w:hAnsi="Times New Roman"/>
          <w:b/>
          <w:sz w:val="24"/>
        </w:rPr>
      </w:pPr>
      <w:bookmarkStart w:id="82" w:name="ex99_1toc528636_99"/>
      <w:bookmarkEnd w:id="82"/>
      <w:r>
        <w:rPr>
          <w:rFonts w:ascii="Times New Roman" w:hAnsi="Times New Roman"/>
          <w:b/>
          <w:sz w:val="24"/>
        </w:rPr>
        <w:t xml:space="preserve">SECTION 506. Trustee May Enforce Claims Without Possession of Securities. </w:t>
      </w:r>
    </w:p>
    <w:p>
      <w:pPr>
        <w:pStyle w:val="TextBody"/>
        <w:bidi w:val="0"/>
        <w:spacing w:before="240" w:after="0"/>
        <w:jc w:val="both"/>
        <w:rPr>
          <w:rFonts w:ascii="Times New Roman" w:hAnsi="Times New Roman"/>
          <w:sz w:val="24"/>
        </w:rPr>
      </w:pPr>
      <w:r>
        <w:rPr>
          <w:rFonts w:ascii="Times New Roman" w:hAnsi="Times New Roman"/>
          <w:sz w:val="24"/>
        </w:rPr>
        <w:t xml:space="preserve">All rights of action and claims under this Indenture or with respect to the Securities may be prosecuted and enforced by the Trustee without the possession of any of the Securities or the production thereof in any proceeding relating thereto, and any such proceeding instituted by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- 42 -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w:t>
      </w:r>
    </w:p>
    <w:p>
      <w:pPr>
        <w:pStyle w:val="TextBody"/>
        <w:bidi w:val="0"/>
        <w:spacing w:before="240" w:after="0"/>
        <w:jc w:val="both"/>
        <w:rPr>
          <w:rFonts w:ascii="Times New Roman" w:hAnsi="Times New Roman"/>
          <w:b/>
          <w:sz w:val="24"/>
        </w:rPr>
      </w:pPr>
      <w:bookmarkStart w:id="83" w:name="ex99_1toc528636_100"/>
      <w:bookmarkEnd w:id="83"/>
      <w:r>
        <w:rPr>
          <w:rFonts w:ascii="Times New Roman" w:hAnsi="Times New Roman"/>
          <w:b/>
          <w:sz w:val="24"/>
        </w:rPr>
        <w:t xml:space="preserve">SECTION 507. Application of Money Collected. </w:t>
      </w:r>
    </w:p>
    <w:p>
      <w:pPr>
        <w:pStyle w:val="TextBody"/>
        <w:bidi w:val="0"/>
        <w:spacing w:before="240" w:after="0"/>
        <w:jc w:val="both"/>
        <w:rPr>
          <w:rFonts w:ascii="Times New Roman" w:hAnsi="Times New Roman"/>
          <w:sz w:val="24"/>
        </w:rPr>
      </w:pPr>
      <w:r>
        <w:rPr>
          <w:rFonts w:ascii="Times New Roman" w:hAnsi="Times New Roman"/>
          <w:sz w:val="24"/>
        </w:rPr>
        <w:t xml:space="preserve">Any money collected by the Trustee pursuant to this Article with respect to the Securities shall be applied in the following order, at the date or dates fixed by the Trustee and, in case of the distribution of such money on account of principal (or premium, if any) or interest, if any, upon presentation of the Securities and the notation thereon of the payment if only partially paid and upon surrender thereof if fully paid: </w:t>
      </w:r>
    </w:p>
    <w:p>
      <w:pPr>
        <w:pStyle w:val="TextBody"/>
        <w:bidi w:val="0"/>
        <w:spacing w:before="240" w:after="0"/>
        <w:jc w:val="both"/>
        <w:rPr>
          <w:rFonts w:ascii="Times New Roman" w:hAnsi="Times New Roman"/>
          <w:sz w:val="24"/>
        </w:rPr>
      </w:pPr>
      <w:r>
        <w:rPr>
          <w:rFonts w:ascii="Times New Roman" w:hAnsi="Times New Roman"/>
          <w:sz w:val="24"/>
          <w:u w:val="single"/>
        </w:rPr>
        <w:t>First</w:t>
      </w:r>
      <w:r>
        <w:rPr>
          <w:rFonts w:ascii="Times New Roman" w:hAnsi="Times New Roman"/>
          <w:sz w:val="24"/>
        </w:rPr>
        <w:t xml:space="preserve">: To the payment of all amounts due to the Trustee in all of its capacities under this Indenture; </w:t>
      </w:r>
    </w:p>
    <w:p>
      <w:pPr>
        <w:pStyle w:val="TextBody"/>
        <w:bidi w:val="0"/>
        <w:spacing w:before="240" w:after="0"/>
        <w:jc w:val="both"/>
        <w:rPr>
          <w:rFonts w:ascii="Times New Roman" w:hAnsi="Times New Roman"/>
          <w:sz w:val="24"/>
        </w:rPr>
      </w:pPr>
      <w:r>
        <w:rPr>
          <w:rFonts w:ascii="Times New Roman" w:hAnsi="Times New Roman"/>
          <w:sz w:val="24"/>
          <w:u w:val="single"/>
        </w:rPr>
        <w:t>Second</w:t>
      </w:r>
      <w:r>
        <w:rPr>
          <w:rFonts w:ascii="Times New Roman" w:hAnsi="Times New Roman"/>
          <w:sz w:val="24"/>
        </w:rPr>
        <w:t xml:space="preserve">: To the payment of the amounts then due and unpaid for principal of (and premium, if any) and interest, if any, on the Securities in respect of which or for the benefit of which such money has been collected, ratably, without preference or priority of any kind, according to the amounts due and payable on such Securities for principal (and premium, if any) and interest, if any, respectively; and </w:t>
      </w:r>
    </w:p>
    <w:p>
      <w:pPr>
        <w:pStyle w:val="TextBody"/>
        <w:bidi w:val="0"/>
        <w:spacing w:before="240" w:after="0"/>
        <w:jc w:val="both"/>
        <w:rPr>
          <w:rFonts w:ascii="Times New Roman" w:hAnsi="Times New Roman"/>
          <w:sz w:val="24"/>
        </w:rPr>
      </w:pPr>
      <w:r>
        <w:rPr>
          <w:rFonts w:ascii="Times New Roman" w:hAnsi="Times New Roman"/>
          <w:sz w:val="24"/>
          <w:u w:val="single"/>
        </w:rPr>
        <w:t>Third</w:t>
      </w:r>
      <w:r>
        <w:rPr>
          <w:rFonts w:ascii="Times New Roman" w:hAnsi="Times New Roman"/>
          <w:sz w:val="24"/>
        </w:rPr>
        <w:t xml:space="preserve">: The balance, if any, to the Company, the Subsidiary Guarantors or any other Person or Persons entitled thereto. </w:t>
      </w:r>
    </w:p>
    <w:p>
      <w:pPr>
        <w:pStyle w:val="TextBody"/>
        <w:bidi w:val="0"/>
        <w:spacing w:before="240" w:after="0"/>
        <w:jc w:val="both"/>
        <w:rPr>
          <w:rFonts w:ascii="Times New Roman" w:hAnsi="Times New Roman"/>
          <w:b/>
          <w:sz w:val="24"/>
        </w:rPr>
      </w:pPr>
      <w:bookmarkStart w:id="84" w:name="ex99_1toc528636_101"/>
      <w:bookmarkEnd w:id="84"/>
      <w:r>
        <w:rPr>
          <w:rFonts w:ascii="Times New Roman" w:hAnsi="Times New Roman"/>
          <w:b/>
          <w:sz w:val="24"/>
        </w:rPr>
        <w:t xml:space="preserve">SECTION 508. Limitation on Suits. </w:t>
      </w:r>
    </w:p>
    <w:p>
      <w:pPr>
        <w:pStyle w:val="TextBody"/>
        <w:bidi w:val="0"/>
        <w:spacing w:before="240" w:after="0"/>
        <w:jc w:val="both"/>
        <w:rPr>
          <w:rFonts w:ascii="Times New Roman" w:hAnsi="Times New Roman"/>
          <w:sz w:val="24"/>
        </w:rPr>
      </w:pPr>
      <w:r>
        <w:rPr>
          <w:rFonts w:ascii="Times New Roman" w:hAnsi="Times New Roman"/>
          <w:sz w:val="24"/>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bidi w:val="0"/>
        <w:spacing w:before="240" w:after="0"/>
        <w:jc w:val="both"/>
        <w:rPr>
          <w:rFonts w:ascii="Times New Roman" w:hAnsi="Times New Roman"/>
          <w:sz w:val="24"/>
        </w:rPr>
      </w:pPr>
      <w:r>
        <w:rPr>
          <w:rFonts w:ascii="Times New Roman" w:hAnsi="Times New Roman"/>
          <w:sz w:val="24"/>
        </w:rPr>
        <w:t xml:space="preserve">(1) an Event of Default with respect to that series shall have occurred and be continuing and such Holder has previously given written notice to the Trustee of a continuing Event of Default with respect to the Securities of that series; </w:t>
      </w:r>
    </w:p>
    <w:p>
      <w:pPr>
        <w:pStyle w:val="TextBody"/>
        <w:bidi w:val="0"/>
        <w:spacing w:before="240" w:after="0"/>
        <w:jc w:val="both"/>
        <w:rPr>
          <w:rFonts w:ascii="Times New Roman" w:hAnsi="Times New Roman"/>
          <w:sz w:val="24"/>
        </w:rPr>
      </w:pPr>
      <w:r>
        <w:rPr>
          <w:rFonts w:ascii="Times New Roman" w:hAnsi="Times New Roman"/>
          <w:sz w:val="24"/>
        </w:rPr>
        <w:t xml:space="preserve">(2) the Holders of not less than 25% in principal amount of the Outstanding Securities of that series in the case of any Event of Default described in clause (1), (2), (3), (4), (7) or (8) of Section 501, or, in the case of any Event of Default described in clause (5) or (6) of Section 501, the Holders of not less than 25% in principal amount of all Outstanding Securities, shall have made written request to the Trustee to institute proceedings in respect of such Event of Default in its own name as Trustee hereunder; </w:t>
      </w:r>
    </w:p>
    <w:p>
      <w:pPr>
        <w:pStyle w:val="TextBody"/>
        <w:bidi w:val="0"/>
        <w:spacing w:before="240" w:after="0"/>
        <w:jc w:val="both"/>
        <w:rPr>
          <w:rFonts w:ascii="Times New Roman" w:hAnsi="Times New Roman"/>
          <w:sz w:val="24"/>
        </w:rPr>
      </w:pPr>
      <w:r>
        <w:rPr>
          <w:rFonts w:ascii="Times New Roman" w:hAnsi="Times New Roman"/>
          <w:sz w:val="24"/>
        </w:rPr>
        <w:t xml:space="preserve">(3) such Holder or Holders have offered to the Trustee reasonable indemnity, security and funding against the costs, expenses and liabilities to be incurred in compliance with such request; </w:t>
      </w:r>
    </w:p>
    <w:p>
      <w:pPr>
        <w:pStyle w:val="TextBody"/>
        <w:bidi w:val="0"/>
        <w:spacing w:before="240" w:after="0"/>
        <w:jc w:val="both"/>
        <w:rPr>
          <w:rFonts w:ascii="Times New Roman" w:hAnsi="Times New Roman"/>
          <w:sz w:val="24"/>
        </w:rPr>
      </w:pPr>
      <w:r>
        <w:rPr>
          <w:rFonts w:ascii="Times New Roman" w:hAnsi="Times New Roman"/>
          <w:sz w:val="24"/>
        </w:rPr>
        <w:t xml:space="preserve">(4) the Trustee for 60 days after its receipt of such notice, request and offer of indemnity, security and funding has failed to institute any such proceeding; and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- 43 -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(5) no direction inconsistent with such written request has been given to the Trustee during such 60-day period by the Holders of a majority or more in principal amount of the Outstanding Securities of that series in the case of any Event of Default described in clause (1), (2), (3), (4), (7) or (8) of Section 501, or, in the case of any Event of Default described in clause (5) or (6) of Section 501, by the Holders of a majority or more in principal amount of all Outstanding Securities; </w:t>
      </w:r>
    </w:p>
    <w:p>
      <w:pPr>
        <w:pStyle w:val="TextBody"/>
        <w:bidi w:val="0"/>
        <w:spacing w:before="240" w:after="0"/>
        <w:jc w:val="both"/>
        <w:rPr>
          <w:rFonts w:ascii="Times New Roman" w:hAnsi="Times New Roman"/>
          <w:sz w:val="24"/>
        </w:rPr>
      </w:pPr>
      <w:r>
        <w:rPr>
          <w:rFonts w:ascii="Times New Roman" w:hAnsi="Times New Roman"/>
          <w:sz w:val="24"/>
        </w:rPr>
        <w:t xml:space="preserve">it being understood and intended that no one or more of such Holders shall have any right in any manner whatever by virtue of, or by availing of, any provision of this Indenture to affect, disturb or prejudice the rights of any other Holders of Securities of the same series, in the case of any Event of Default described in clause (1), (2), (3), (4), (7) or (8) of Section 501, or of Holders of all Securities in the case of any Event of Default described in clause (5) or (6) of Section 501, or to obtain or to seek to obtain priority or preference over any other of such Holders or to enforce any right under this Indenture, except in the manner herein provided and for the equal and ratable benefit of all Holders of Securities of the same series, in the case of any Event of Default described in clause (1), (2), (3), (4), (7) or (8) of Section 501, or of Holders of all Securities in the case of any Event of Default described in clause (5) or (6) of Section 501. </w:t>
      </w:r>
    </w:p>
    <w:p>
      <w:pPr>
        <w:pStyle w:val="TextBody"/>
        <w:bidi w:val="0"/>
        <w:spacing w:before="240" w:after="0"/>
        <w:jc w:val="both"/>
        <w:rPr>
          <w:rFonts w:ascii="Times New Roman" w:hAnsi="Times New Roman"/>
          <w:b/>
          <w:sz w:val="24"/>
        </w:rPr>
      </w:pPr>
      <w:bookmarkStart w:id="85" w:name="ex99_1toc528636_102"/>
      <w:bookmarkEnd w:id="85"/>
      <w:r>
        <w:rPr>
          <w:rFonts w:ascii="Times New Roman" w:hAnsi="Times New Roman"/>
          <w:b/>
          <w:sz w:val="24"/>
        </w:rPr>
        <w:t xml:space="preserve">SECTION 509. Unconditional Right of Holders to Receive Principal, Premium and Interest. </w:t>
      </w:r>
    </w:p>
    <w:p>
      <w:pPr>
        <w:pStyle w:val="TextBody"/>
        <w:bidi w:val="0"/>
        <w:spacing w:before="240" w:after="0"/>
        <w:jc w:val="both"/>
        <w:rPr>
          <w:rFonts w:ascii="Times New Roman" w:hAnsi="Times New Roman"/>
          <w:sz w:val="24"/>
        </w:rPr>
      </w:pPr>
      <w:r>
        <w:rPr>
          <w:rFonts w:ascii="Times New Roman" w:hAnsi="Times New Roman"/>
          <w:sz w:val="24"/>
        </w:rPr>
        <w:t xml:space="preserve">Notwithstanding any other provision in this Indenture, the Holder of any Security shall have the right, which is absolute and unconditional, to receive payment, as provided herein (including, if applicable, Article Twelve) and in such Security, of the principal of (and premium, if any) and (subject to Section 307) interest, if any, on such Security on the respective Stated Maturities expressed in such Security (or, in the case of redemption, on the Redemption Date) and to institute suit for the enforcement of any such payment, and such rights shall not be impaired without the consent of such Holder. </w:t>
      </w:r>
    </w:p>
    <w:p>
      <w:pPr>
        <w:pStyle w:val="TextBody"/>
        <w:bidi w:val="0"/>
        <w:spacing w:before="240" w:after="0"/>
        <w:jc w:val="both"/>
        <w:rPr>
          <w:rFonts w:ascii="Times New Roman" w:hAnsi="Times New Roman"/>
          <w:b/>
          <w:sz w:val="24"/>
        </w:rPr>
      </w:pPr>
      <w:bookmarkStart w:id="86" w:name="ex99_1toc528636_103"/>
      <w:bookmarkEnd w:id="86"/>
      <w:r>
        <w:rPr>
          <w:rFonts w:ascii="Times New Roman" w:hAnsi="Times New Roman"/>
          <w:b/>
          <w:sz w:val="24"/>
        </w:rPr>
        <w:t xml:space="preserve">SECTION 510. Restoration of Rights and Remedies. </w:t>
      </w:r>
    </w:p>
    <w:p>
      <w:pPr>
        <w:pStyle w:val="TextBody"/>
        <w:bidi w:val="0"/>
        <w:spacing w:before="240" w:after="0"/>
        <w:jc w:val="both"/>
        <w:rPr>
          <w:rFonts w:ascii="Times New Roman" w:hAnsi="Times New Roman"/>
          <w:sz w:val="24"/>
        </w:rPr>
      </w:pPr>
      <w:r>
        <w:rPr>
          <w:rFonts w:ascii="Times New Roman" w:hAnsi="Times New Roman"/>
          <w:sz w:val="24"/>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of Securities shall be restored severally and respectively to their former positions hereunder and thereafter all rights and remedies of the Trustee and the Holders shall continue as though no such proceeding had been instituted. </w:t>
      </w:r>
    </w:p>
    <w:p>
      <w:pPr>
        <w:pStyle w:val="TextBody"/>
        <w:bidi w:val="0"/>
        <w:spacing w:before="240" w:after="0"/>
        <w:jc w:val="both"/>
        <w:rPr>
          <w:rFonts w:ascii="Times New Roman" w:hAnsi="Times New Roman"/>
          <w:b/>
          <w:sz w:val="24"/>
        </w:rPr>
      </w:pPr>
      <w:bookmarkStart w:id="87" w:name="ex99_1toc528636_104"/>
      <w:bookmarkEnd w:id="87"/>
      <w:r>
        <w:rPr>
          <w:rFonts w:ascii="Times New Roman" w:hAnsi="Times New Roman"/>
          <w:b/>
          <w:sz w:val="24"/>
        </w:rPr>
        <w:t xml:space="preserve">SECTION 511. Rights and Remedies Cumulative. </w:t>
      </w:r>
    </w:p>
    <w:p>
      <w:pPr>
        <w:pStyle w:val="TextBody"/>
        <w:bidi w:val="0"/>
        <w:spacing w:before="240" w:after="0"/>
        <w:jc w:val="both"/>
        <w:rPr>
          <w:rFonts w:ascii="Times New Roman" w:hAnsi="Times New Roman"/>
          <w:sz w:val="24"/>
        </w:rPr>
      </w:pPr>
      <w:r>
        <w:rPr>
          <w:rFonts w:ascii="Times New Roman" w:hAnsi="Times New Roman"/>
          <w:sz w:val="24"/>
        </w:rPr>
        <w:t xml:space="preserve">Except as otherwise provided with respect to the replacement or payment of mutilated, destroyed, lost or stolen Securities in the last paragraph of Section 306,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right or remedy hereunder, or otherwise, shall not prevent the concurrent assertion or employment of any other appropriate right or remedy. </w:t>
      </w:r>
    </w:p>
    <w:p>
      <w:pPr>
        <w:pStyle w:val="TextBody"/>
        <w:bidi w:val="0"/>
        <w:spacing w:before="240" w:after="0"/>
        <w:jc w:val="both"/>
        <w:rPr>
          <w:rFonts w:ascii="Times New Roman" w:hAnsi="Times New Roman"/>
          <w:sz w:val="24"/>
        </w:rPr>
      </w:pPr>
      <w:bookmarkStart w:id="88" w:name="ex99_1toc528636_105"/>
      <w:bookmarkEnd w:id="88"/>
      <w:r>
        <w:rPr>
          <w:rFonts w:ascii="Times New Roman" w:hAnsi="Times New Roman"/>
          <w:b/>
          <w:sz w:val="24"/>
        </w:rPr>
        <w:t>SECTION 512. Delay or Omission Not Waiver.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No delay or omission of the Trustee or of any Holder of any Security of any series to exercise any right or remedy accruing upon any Event of Default with respect to the Securities of such series shall impair any such right or remedy or constitute a waiver of any such Event of Default or an acquiescence therein. Every right and remedy given by this Indenture or by law to the Trustee or to the Holders may be exercised from time to time, and as often as may be deemed expedient, by the Trustee or by the Holders, as the case may be. </w:t>
      </w:r>
    </w:p>
    <w:p>
      <w:pPr>
        <w:pStyle w:val="TextBody"/>
        <w:bidi w:val="0"/>
        <w:spacing w:before="240" w:after="0"/>
        <w:jc w:val="both"/>
        <w:rPr>
          <w:rFonts w:ascii="Times New Roman" w:hAnsi="Times New Roman"/>
          <w:sz w:val="24"/>
        </w:rPr>
      </w:pPr>
      <w:bookmarkStart w:id="89" w:name="ex99_1toc528636_106"/>
      <w:bookmarkEnd w:id="89"/>
      <w:r>
        <w:rPr>
          <w:rFonts w:ascii="Times New Roman" w:hAnsi="Times New Roman"/>
          <w:b/>
          <w:sz w:val="24"/>
        </w:rPr>
        <w:t>SECTION 513. Control by Holders.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With respect to the Securities of any series, the Holders of not less than a majority in principal amount of the Outstanding Securities of such series shall have the right to direct the time, method and place of conducting any proceeding for any remedy available to the Trustee, or exercising any trust or power conferred on the Trustee, relating to or arising under clause (1), (2), (3), (4), (7) or (8) of Section 501, and, with respect to all Securities, the Holders of not less than a majority in principal amount of all Outstanding Securities shall have the right to direct the time, method and place of conducting any proceeding for any remedy available to the Trustee, or exercising any trust or power conferred on the Trustee, relating to or arising under clause (5) or (6) of Section 501, </w:t>
      </w:r>
      <w:r>
        <w:rPr>
          <w:rFonts w:ascii="Times New Roman" w:hAnsi="Times New Roman"/>
          <w:sz w:val="24"/>
          <w:u w:val="single"/>
        </w:rPr>
        <w:t>provided</w:t>
      </w:r>
      <w:r>
        <w:rPr>
          <w:rFonts w:ascii="Times New Roman" w:hAnsi="Times New Roman"/>
          <w:sz w:val="24"/>
        </w:rPr>
        <w:t xml:space="preserve"> that in each case </w:t>
      </w:r>
    </w:p>
    <w:p>
      <w:pPr>
        <w:pStyle w:val="TextBody"/>
        <w:bidi w:val="0"/>
        <w:spacing w:before="240" w:after="0"/>
        <w:jc w:val="both"/>
        <w:rPr>
          <w:rFonts w:ascii="Times New Roman" w:hAnsi="Times New Roman"/>
          <w:sz w:val="24"/>
        </w:rPr>
      </w:pPr>
      <w:r>
        <w:rPr>
          <w:rFonts w:ascii="Times New Roman" w:hAnsi="Times New Roman"/>
          <w:sz w:val="24"/>
        </w:rPr>
        <w:t xml:space="preserve">(1) such direction shall not be in conflict with any rule of law or with this Indenture, </w:t>
      </w:r>
    </w:p>
    <w:p>
      <w:pPr>
        <w:pStyle w:val="TextBody"/>
        <w:bidi w:val="0"/>
        <w:spacing w:before="240" w:after="0"/>
        <w:jc w:val="both"/>
        <w:rPr>
          <w:rFonts w:ascii="Times New Roman" w:hAnsi="Times New Roman"/>
          <w:sz w:val="24"/>
        </w:rPr>
      </w:pPr>
      <w:r>
        <w:rPr>
          <w:rFonts w:ascii="Times New Roman" w:hAnsi="Times New Roman"/>
          <w:sz w:val="24"/>
        </w:rPr>
        <w:t xml:space="preserve">(2) the Trustee may take any other action deemed proper by the Trustee which is not inconsistent with such direction, and </w:t>
      </w:r>
    </w:p>
    <w:p>
      <w:pPr>
        <w:pStyle w:val="TextBody"/>
        <w:bidi w:val="0"/>
        <w:spacing w:before="240" w:after="0"/>
        <w:jc w:val="both"/>
        <w:rPr>
          <w:rFonts w:ascii="Times New Roman" w:hAnsi="Times New Roman"/>
          <w:sz w:val="24"/>
        </w:rPr>
      </w:pPr>
      <w:r>
        <w:rPr>
          <w:rFonts w:ascii="Times New Roman" w:hAnsi="Times New Roman"/>
          <w:sz w:val="24"/>
        </w:rPr>
        <w:t xml:space="preserve">(3) the Trustee need not take any action which might involve it in personal liability or be unjustly prejudicial to the Holders of Securities of such series not taking part in such direction. </w:t>
      </w:r>
    </w:p>
    <w:p>
      <w:pPr>
        <w:pStyle w:val="TextBody"/>
        <w:bidi w:val="0"/>
        <w:spacing w:before="240" w:after="0"/>
        <w:jc w:val="both"/>
        <w:rPr>
          <w:rFonts w:ascii="Times New Roman" w:hAnsi="Times New Roman"/>
          <w:b/>
          <w:sz w:val="24"/>
        </w:rPr>
      </w:pPr>
      <w:bookmarkStart w:id="90" w:name="ex99_1toc528636_107"/>
      <w:bookmarkEnd w:id="90"/>
      <w:r>
        <w:rPr>
          <w:rFonts w:ascii="Times New Roman" w:hAnsi="Times New Roman"/>
          <w:b/>
          <w:sz w:val="24"/>
        </w:rPr>
        <w:t xml:space="preserve">SECTION 514. Waiver of Past Defaults. </w:t>
      </w:r>
    </w:p>
    <w:p>
      <w:pPr>
        <w:pStyle w:val="TextBody"/>
        <w:bidi w:val="0"/>
        <w:spacing w:before="240" w:after="0"/>
        <w:jc w:val="both"/>
        <w:rPr>
          <w:rFonts w:ascii="Times New Roman" w:hAnsi="Times New Roman"/>
          <w:sz w:val="24"/>
        </w:rPr>
      </w:pPr>
      <w:r>
        <w:rPr>
          <w:rFonts w:ascii="Times New Roman" w:hAnsi="Times New Roman"/>
          <w:sz w:val="24"/>
        </w:rPr>
        <w:t xml:space="preserve">(a) Subject to Section 503, the Holders of not less than a majority in principal amount of the Outstanding Securities of any series may on behalf of the Holders of all the Securities of such series waive any past default described in clause (1), (2), (3), (4), (7) or (8) of Section 501 (or, in the case of a default described in clause (5) or (6) of Section 501, the Holders of not less than a majority in principal amount of all Outstanding Securities may waive any such past default), and its consequences, except a default </w:t>
      </w:r>
    </w:p>
    <w:p>
      <w:pPr>
        <w:pStyle w:val="TextBody"/>
        <w:bidi w:val="0"/>
        <w:spacing w:before="240" w:after="0"/>
        <w:jc w:val="both"/>
        <w:rPr>
          <w:rFonts w:ascii="Times New Roman" w:hAnsi="Times New Roman"/>
          <w:sz w:val="24"/>
        </w:rPr>
      </w:pPr>
      <w:r>
        <w:rPr>
          <w:rFonts w:ascii="Times New Roman" w:hAnsi="Times New Roman"/>
          <w:sz w:val="24"/>
        </w:rPr>
        <w:t xml:space="preserve">(1) in respect of the payment of the principal of (or premium, if any) or interest, if any, on any Security, or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- 45 -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(2) in respect of a covenant or provision hereof which under Article Nine cannot be modified or amended without the consent of the Holder of each Outstanding Security of such series affected. </w:t>
      </w:r>
    </w:p>
    <w:p>
      <w:pPr>
        <w:pStyle w:val="TextBody"/>
        <w:bidi w:val="0"/>
        <w:spacing w:before="240" w:after="0"/>
        <w:jc w:val="both"/>
        <w:rPr>
          <w:rFonts w:ascii="Times New Roman" w:hAnsi="Times New Roman"/>
          <w:sz w:val="24"/>
        </w:rPr>
      </w:pPr>
      <w:r>
        <w:rPr>
          <w:rFonts w:ascii="Times New Roman" w:hAnsi="Times New Roman"/>
          <w:sz w:val="24"/>
        </w:rPr>
        <w:t xml:space="preserve">(b) Upon any such waiver, any such default shall cease to exist, and any Event of Default arising therefrom shall be deemed to have been cured, for every purpose of this Indenture; but no such waiver shall extend to any subsequent or other default or Event of Default or impair any right consequent thereon. </w:t>
      </w:r>
    </w:p>
    <w:p>
      <w:pPr>
        <w:pStyle w:val="TextBody"/>
        <w:bidi w:val="0"/>
        <w:spacing w:before="240" w:after="0"/>
        <w:jc w:val="both"/>
        <w:rPr>
          <w:rFonts w:ascii="Times New Roman" w:hAnsi="Times New Roman"/>
          <w:sz w:val="24"/>
        </w:rPr>
      </w:pPr>
      <w:bookmarkStart w:id="91" w:name="ex99_1toc528636_108"/>
      <w:bookmarkEnd w:id="91"/>
      <w:r>
        <w:rPr>
          <w:rFonts w:ascii="Times New Roman" w:hAnsi="Times New Roman"/>
          <w:b/>
          <w:sz w:val="24"/>
        </w:rPr>
        <w:t>SECTION 515.  Waiver of Stay or Extension Laws.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Each of the Company and each Subsidiary Guarantor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each of the Company and each Subsidiary Guarantor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SIX </w:t>
      </w:r>
    </w:p>
    <w:p>
      <w:pPr>
        <w:pStyle w:val="TextBody"/>
        <w:bidi w:val="0"/>
        <w:spacing w:before="240" w:after="0"/>
        <w:jc w:val="center"/>
        <w:rPr>
          <w:rFonts w:ascii="Times New Roman" w:hAnsi="Times New Roman"/>
          <w:b/>
          <w:sz w:val="24"/>
        </w:rPr>
      </w:pPr>
      <w:r>
        <w:rPr>
          <w:rFonts w:ascii="Times New Roman" w:hAnsi="Times New Roman"/>
          <w:b/>
          <w:sz w:val="24"/>
        </w:rPr>
        <w:t xml:space="preserve">THE TRUSTEE </w:t>
      </w:r>
    </w:p>
    <w:p>
      <w:pPr>
        <w:pStyle w:val="TextBody"/>
        <w:bidi w:val="0"/>
        <w:spacing w:before="240" w:after="0"/>
        <w:jc w:val="both"/>
        <w:rPr>
          <w:rFonts w:ascii="Times New Roman" w:hAnsi="Times New Roman"/>
          <w:sz w:val="24"/>
        </w:rPr>
      </w:pPr>
      <w:bookmarkStart w:id="92" w:name="ex99_1toc528636_112"/>
      <w:bookmarkEnd w:id="92"/>
      <w:r>
        <w:rPr>
          <w:rFonts w:ascii="Times New Roman" w:hAnsi="Times New Roman"/>
          <w:b/>
          <w:sz w:val="24"/>
        </w:rPr>
        <w:t>SECTION 601.  Certain Duties, Rights and Responsibilities of Trustee.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Trustee shall undertake to perform such duties and only such duties, as are specifically set forth in this Indenture, and no implied covenants shall be read into this Indenture against the Trustee. </w:t>
      </w:r>
    </w:p>
    <w:p>
      <w:pPr>
        <w:pStyle w:val="TextBody"/>
        <w:bidi w:val="0"/>
        <w:spacing w:before="240" w:after="0"/>
        <w:jc w:val="both"/>
        <w:rPr>
          <w:rFonts w:ascii="Times New Roman" w:hAnsi="Times New Roman"/>
          <w:sz w:val="24"/>
        </w:rPr>
      </w:pPr>
      <w:r>
        <w:rPr>
          <w:rFonts w:ascii="Times New Roman" w:hAnsi="Times New Roman"/>
          <w:sz w:val="24"/>
        </w:rPr>
        <w:t xml:space="preserve">(b) In the exercise of the rights, powers, and duties prescribed or conferred by the terms hereunder, the Trustee shall honestly and in good faith with a view to the best interests of the Holders and exercise that degree of care, diligence and skill of a reasonably prudent trustee acting in such capacity. </w:t>
      </w:r>
    </w:p>
    <w:p>
      <w:pPr>
        <w:pStyle w:val="TextBody"/>
        <w:bidi w:val="0"/>
        <w:spacing w:before="240" w:after="0"/>
        <w:jc w:val="both"/>
        <w:rPr>
          <w:rFonts w:ascii="Times New Roman" w:hAnsi="Times New Roman"/>
          <w:sz w:val="24"/>
        </w:rPr>
      </w:pPr>
      <w:r>
        <w:rPr>
          <w:rFonts w:ascii="Times New Roman" w:hAnsi="Times New Roman"/>
          <w:sz w:val="24"/>
        </w:rPr>
        <w:t xml:space="preserve">(c) In the absence of bad faith on the part of the Trustee, the Trustee may conclusively rely and act,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 </w:t>
      </w:r>
    </w:p>
    <w:p>
      <w:pPr>
        <w:pStyle w:val="TextBody"/>
        <w:bidi w:val="0"/>
        <w:spacing w:before="240" w:after="0"/>
        <w:jc w:val="both"/>
        <w:rPr>
          <w:rFonts w:ascii="Times New Roman" w:hAnsi="Times New Roman"/>
          <w:sz w:val="24"/>
        </w:rPr>
      </w:pPr>
      <w:r>
        <w:rPr>
          <w:rFonts w:ascii="Times New Roman" w:hAnsi="Times New Roman"/>
          <w:sz w:val="24"/>
        </w:rPr>
        <w:t xml:space="preserve">(d) No provision of this Indenture shall be construed to relieve the Trustee from liability for its own negligence or its own willful misconduct, except that: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- 46 -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(i) this subsection shall not be construed to limit the effect of Sections 601(a), (b) or (c); </w:t>
      </w:r>
    </w:p>
    <w:p>
      <w:pPr>
        <w:pStyle w:val="TextBody"/>
        <w:bidi w:val="0"/>
        <w:spacing w:before="240" w:after="0"/>
        <w:jc w:val="both"/>
        <w:rPr>
          <w:rFonts w:ascii="Times New Roman" w:hAnsi="Times New Roman"/>
          <w:sz w:val="24"/>
        </w:rPr>
      </w:pPr>
      <w:r>
        <w:rPr>
          <w:rFonts w:ascii="Times New Roman" w:hAnsi="Times New Roman"/>
          <w:sz w:val="24"/>
        </w:rPr>
        <w:t xml:space="preserve">(ii) the Trustee shall not be liable for any error of judgment made in good faith by a Responsible Officer of the Trustee, unless it shall be proved that the Trustee was negligent in ascertaining the pertinent facts; </w:t>
      </w:r>
    </w:p>
    <w:p>
      <w:pPr>
        <w:pStyle w:val="TextBody"/>
        <w:bidi w:val="0"/>
        <w:spacing w:before="240" w:after="0"/>
        <w:jc w:val="both"/>
        <w:rPr>
          <w:rFonts w:ascii="Times New Roman" w:hAnsi="Times New Roman"/>
          <w:sz w:val="24"/>
        </w:rPr>
      </w:pPr>
      <w:r>
        <w:rPr>
          <w:rFonts w:ascii="Times New Roman" w:hAnsi="Times New Roman"/>
          <w:sz w:val="24"/>
        </w:rPr>
        <w:t xml:space="preserve">(iii) the Trustee shall not be liable with respect to any action taken or omitted to be taken by it in good faith in accordance with the direction of the Holders of not less than a majority in principal amount of the Securities at the time Outstanding (or such lower threshold as may be applicable under this Indenture) relating to the time, method and place of conducting any proceeding for any remedy available to the Trustee, or exercising any trust or power conferred upon the Trustee under this Indenture; </w:t>
      </w:r>
    </w:p>
    <w:p>
      <w:pPr>
        <w:pStyle w:val="TextBody"/>
        <w:bidi w:val="0"/>
        <w:spacing w:before="240" w:after="0"/>
        <w:jc w:val="both"/>
        <w:rPr>
          <w:rFonts w:ascii="Times New Roman" w:hAnsi="Times New Roman"/>
          <w:sz w:val="24"/>
        </w:rPr>
      </w:pPr>
      <w:r>
        <w:rPr>
          <w:rFonts w:ascii="Times New Roman" w:hAnsi="Times New Roman"/>
          <w:sz w:val="24"/>
        </w:rPr>
        <w:t xml:space="preserve">(iv) no provision contained in this Indenture shall require the Trustee to expend or risk its own funds or otherwise incur any financial liability in the performance of any of its duties or in the exercise of any of its rights or powers; </w:t>
      </w:r>
    </w:p>
    <w:p>
      <w:pPr>
        <w:pStyle w:val="TextBody"/>
        <w:bidi w:val="0"/>
        <w:spacing w:before="240" w:after="0"/>
        <w:jc w:val="both"/>
        <w:rPr>
          <w:rFonts w:ascii="Times New Roman" w:hAnsi="Times New Roman"/>
          <w:sz w:val="24"/>
        </w:rPr>
      </w:pPr>
      <w:r>
        <w:rPr>
          <w:rFonts w:ascii="Times New Roman" w:hAnsi="Times New Roman"/>
          <w:sz w:val="24"/>
        </w:rPr>
        <w:t xml:space="preserve">(v) it shall not be the duty of the Trustee to see that any duties or obligations imposed herein upon the Company or other persons are performed, and the Trustee shall not be liable or responsible for the failure of the Company or such other persons to perform any act required of them by this Indenture; </w:t>
      </w:r>
    </w:p>
    <w:p>
      <w:pPr>
        <w:pStyle w:val="TextBody"/>
        <w:bidi w:val="0"/>
        <w:spacing w:before="240" w:after="0"/>
        <w:jc w:val="both"/>
        <w:rPr>
          <w:rFonts w:ascii="Times New Roman" w:hAnsi="Times New Roman"/>
          <w:sz w:val="24"/>
        </w:rPr>
      </w:pPr>
      <w:r>
        <w:rPr>
          <w:rFonts w:ascii="Times New Roman" w:hAnsi="Times New Roman"/>
          <w:sz w:val="24"/>
        </w:rPr>
        <w:t xml:space="preserve">(vi) the Trustee shall not be required to give any bond or surety in respect of the performance of its powers and duties hereunder; and </w:t>
      </w:r>
    </w:p>
    <w:p>
      <w:pPr>
        <w:pStyle w:val="TextBody"/>
        <w:bidi w:val="0"/>
        <w:spacing w:before="240" w:after="0"/>
        <w:jc w:val="both"/>
        <w:rPr>
          <w:rFonts w:ascii="Times New Roman" w:hAnsi="Times New Roman"/>
          <w:sz w:val="24"/>
        </w:rPr>
      </w:pPr>
      <w:r>
        <w:rPr>
          <w:rFonts w:ascii="Times New Roman" w:hAnsi="Times New Roman"/>
          <w:sz w:val="24"/>
        </w:rPr>
        <w:t xml:space="preserve">(vii) in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240" w:after="0"/>
        <w:jc w:val="both"/>
        <w:rPr>
          <w:rFonts w:ascii="Times New Roman" w:hAnsi="Times New Roman"/>
          <w:sz w:val="24"/>
        </w:rPr>
      </w:pPr>
      <w:r>
        <w:rPr>
          <w:rFonts w:ascii="Times New Roman" w:hAnsi="Times New Roman"/>
          <w:sz w:val="24"/>
        </w:rPr>
        <w:t xml:space="preserve">(e) No provision of this Indenture shall be construed to relieve the Trustee from its duties, except to the extent permitted by Trust Indenture Legislation and provided that: </w:t>
      </w:r>
    </w:p>
    <w:p>
      <w:pPr>
        <w:pStyle w:val="TextBody"/>
        <w:bidi w:val="0"/>
        <w:spacing w:before="240" w:after="0"/>
        <w:jc w:val="both"/>
        <w:rPr>
          <w:rFonts w:ascii="Times New Roman" w:hAnsi="Times New Roman"/>
          <w:sz w:val="24"/>
        </w:rPr>
      </w:pPr>
      <w:r>
        <w:rPr>
          <w:rFonts w:ascii="Times New Roman" w:hAnsi="Times New Roman"/>
          <w:sz w:val="24"/>
        </w:rPr>
        <w:t xml:space="preserve">(i) any request or direction of the Company mentioned herein shall be sufficiently evidenced by a Company Request or Company Order and any resolution of the Board of Directors may be sufficiently evidenced by a Board Resolution; </w:t>
      </w:r>
    </w:p>
    <w:p>
      <w:pPr>
        <w:pStyle w:val="TextBody"/>
        <w:bidi w:val="0"/>
        <w:spacing w:before="240" w:after="0"/>
        <w:jc w:val="both"/>
        <w:rPr>
          <w:rFonts w:ascii="Times New Roman" w:hAnsi="Times New Roman"/>
          <w:sz w:val="24"/>
        </w:rPr>
      </w:pPr>
      <w:r>
        <w:rPr>
          <w:rFonts w:ascii="Times New Roman" w:hAnsi="Times New Roman"/>
          <w:sz w:val="24"/>
        </w:rPr>
        <w:t xml:space="preserve">(ii) whenever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- 47 -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(iii) the Trustee may employ such experts, advisers or agents as it may reasonably require for the purpose of discharging its duties hereunder and shall not be responsible for the negligent actions or misconduct or such parties or any of them; </w:t>
      </w:r>
    </w:p>
    <w:p>
      <w:pPr>
        <w:pStyle w:val="TextBody"/>
        <w:bidi w:val="0"/>
        <w:spacing w:before="240" w:after="0"/>
        <w:jc w:val="both"/>
        <w:rPr>
          <w:rFonts w:ascii="Times New Roman" w:hAnsi="Times New Roman"/>
          <w:sz w:val="24"/>
        </w:rPr>
      </w:pPr>
      <w:r>
        <w:rPr>
          <w:rFonts w:ascii="Times New Roman" w:hAnsi="Times New Roman"/>
          <w:sz w:val="24"/>
        </w:rPr>
        <w:t xml:space="preserve">(iv) the Trustee may consult with counsel of its selection and the advice of such counsel or any Opinion of Counsel shall be full and complete authorization and protection in respect of any action taken, suffered or omitted by it hereunder in good faith and in reliance thereon (the cost of such services shall be added to and be part of the Trustee’s expenses to be paid by the Company hereunder); </w:t>
      </w:r>
    </w:p>
    <w:p>
      <w:pPr>
        <w:pStyle w:val="TextBody"/>
        <w:bidi w:val="0"/>
        <w:spacing w:before="240" w:after="0"/>
        <w:jc w:val="both"/>
        <w:rPr>
          <w:rFonts w:ascii="Times New Roman" w:hAnsi="Times New Roman"/>
          <w:sz w:val="24"/>
        </w:rPr>
      </w:pPr>
      <w:r>
        <w:rPr>
          <w:rFonts w:ascii="Times New Roman" w:hAnsi="Times New Roman"/>
          <w:sz w:val="24"/>
        </w:rPr>
        <w:t xml:space="preserve">(v) subject to Section 601(c),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 </w:t>
      </w:r>
    </w:p>
    <w:p>
      <w:pPr>
        <w:pStyle w:val="TextBody"/>
        <w:bidi w:val="0"/>
        <w:spacing w:before="240" w:after="0"/>
        <w:jc w:val="both"/>
        <w:rPr>
          <w:rFonts w:ascii="Times New Roman" w:hAnsi="Times New Roman"/>
          <w:sz w:val="24"/>
        </w:rPr>
      </w:pPr>
      <w:r>
        <w:rPr>
          <w:rFonts w:ascii="Times New Roman" w:hAnsi="Times New Roman"/>
          <w:sz w:val="24"/>
        </w:rPr>
        <w:t xml:space="preserve">(vi) the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both"/>
        <w:rPr>
          <w:rFonts w:ascii="Times New Roman" w:hAnsi="Times New Roman"/>
          <w:sz w:val="24"/>
        </w:rPr>
      </w:pPr>
      <w:r>
        <w:rPr>
          <w:rFonts w:ascii="Times New Roman" w:hAnsi="Times New Roman"/>
          <w:sz w:val="24"/>
        </w:rPr>
        <w:t xml:space="preserve">(vii) the Trustee shall not be liable for any action taken, suffered or omitted by it in good faith and believed by it to be authorized or within the discretion or rights or powers conferred upon it by this Indenture; </w:t>
      </w:r>
    </w:p>
    <w:p>
      <w:pPr>
        <w:pStyle w:val="TextBody"/>
        <w:bidi w:val="0"/>
        <w:spacing w:before="240" w:after="0"/>
        <w:jc w:val="both"/>
        <w:rPr>
          <w:rFonts w:ascii="Times New Roman" w:hAnsi="Times New Roman"/>
          <w:sz w:val="24"/>
        </w:rPr>
      </w:pPr>
      <w:r>
        <w:rPr>
          <w:rFonts w:ascii="Times New Roman" w:hAnsi="Times New Roman"/>
          <w:sz w:val="24"/>
        </w:rPr>
        <w:t xml:space="preserve">(viii) the Trustee will disburse monies according to this Indenture only to the extent that monies have been deposited with it; </w:t>
      </w:r>
    </w:p>
    <w:p>
      <w:pPr>
        <w:pStyle w:val="TextBody"/>
        <w:bidi w:val="0"/>
        <w:spacing w:before="240" w:after="0"/>
        <w:jc w:val="both"/>
        <w:rPr>
          <w:rFonts w:ascii="Times New Roman" w:hAnsi="Times New Roman"/>
          <w:sz w:val="24"/>
        </w:rPr>
      </w:pPr>
      <w:r>
        <w:rPr>
          <w:rFonts w:ascii="Times New Roman" w:hAnsi="Times New Roman"/>
          <w:sz w:val="24"/>
        </w:rPr>
        <w:t xml:space="preserve">(ix) the Trustee shall not be deemed to have notice of any Default or Event of Default unless written notice of any event which is in fact such a Default is received by a Responsible Officer of the Trustee at the Corporate Trust Office of the Trustee, and such notice references the Securities and this Indenture; </w:t>
      </w:r>
    </w:p>
    <w:p>
      <w:pPr>
        <w:pStyle w:val="TextBody"/>
        <w:bidi w:val="0"/>
        <w:spacing w:before="240" w:after="0"/>
        <w:jc w:val="both"/>
        <w:rPr>
          <w:rFonts w:ascii="Times New Roman" w:hAnsi="Times New Roman"/>
          <w:sz w:val="24"/>
        </w:rPr>
      </w:pPr>
      <w:r>
        <w:rPr>
          <w:rFonts w:ascii="Times New Roman" w:hAnsi="Times New Roman"/>
          <w:sz w:val="24"/>
        </w:rPr>
        <w:t xml:space="preserve">(x) the permissive rights of the Trustee enumerated in this Indenture shall not be construed as duties; </w:t>
      </w:r>
    </w:p>
    <w:p>
      <w:pPr>
        <w:pStyle w:val="TextBody"/>
        <w:bidi w:val="0"/>
        <w:spacing w:before="240" w:after="0"/>
        <w:jc w:val="both"/>
        <w:rPr>
          <w:rFonts w:ascii="Times New Roman" w:hAnsi="Times New Roman"/>
          <w:sz w:val="24"/>
        </w:rPr>
      </w:pPr>
      <w:r>
        <w:rPr>
          <w:rFonts w:ascii="Times New Roman" w:hAnsi="Times New Roman"/>
          <w:sz w:val="24"/>
        </w:rPr>
        <w:t xml:space="preserve">(xi)  before taking any action hereunder at the request or direction of the beneficial owners or Holders, the Trustee may require that security, indemnity and funding satisfactory to it be furnished to it for the reimbursement of its fees, costs, liabilities and all expenses (including reasonable attorneys’ fees and expenses) which it may incur and to protect it against all liability, except liability which may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- 48 -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result from its negligence or willful misconduct, by reason of any action so taken; and </w:t>
      </w:r>
    </w:p>
    <w:p>
      <w:pPr>
        <w:pStyle w:val="TextBody"/>
        <w:bidi w:val="0"/>
        <w:spacing w:before="240" w:after="0"/>
        <w:jc w:val="both"/>
        <w:rPr>
          <w:rFonts w:ascii="Times New Roman" w:hAnsi="Times New Roman"/>
          <w:sz w:val="24"/>
        </w:rPr>
      </w:pPr>
      <w:r>
        <w:rPr>
          <w:rFonts w:ascii="Times New Roman" w:hAnsi="Times New Roman"/>
          <w:sz w:val="24"/>
        </w:rPr>
        <w:t xml:space="preserve">(xii) the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p>
    <w:p>
      <w:pPr>
        <w:pStyle w:val="TextBody"/>
        <w:bidi w:val="0"/>
        <w:spacing w:before="240" w:after="0"/>
        <w:jc w:val="both"/>
        <w:rPr>
          <w:rFonts w:ascii="Times New Roman" w:hAnsi="Times New Roman"/>
          <w:sz w:val="24"/>
        </w:rPr>
      </w:pPr>
      <w:r>
        <w:rPr>
          <w:rFonts w:ascii="Times New Roman" w:hAnsi="Times New Roman"/>
          <w:sz w:val="24"/>
        </w:rPr>
        <w:t xml:space="preserve">(f) Whether or not therein and expressly so provided, except to the extent expressly provided herein to the contrary, every provision of this Indenture relating to the conduct or effecting the liability or affording protection to the Trustee shall be subject to the provisions of this Section 601. </w:t>
      </w:r>
    </w:p>
    <w:p>
      <w:pPr>
        <w:pStyle w:val="TextBody"/>
        <w:bidi w:val="0"/>
        <w:spacing w:before="240" w:after="0"/>
        <w:jc w:val="both"/>
        <w:rPr>
          <w:rFonts w:ascii="Times New Roman" w:hAnsi="Times New Roman"/>
          <w:b/>
          <w:sz w:val="24"/>
        </w:rPr>
      </w:pPr>
      <w:bookmarkStart w:id="93" w:name="ex99_1toc528636_113"/>
      <w:bookmarkEnd w:id="93"/>
      <w:r>
        <w:rPr>
          <w:rFonts w:ascii="Times New Roman" w:hAnsi="Times New Roman"/>
          <w:b/>
          <w:sz w:val="24"/>
        </w:rPr>
        <w:t xml:space="preserve">SECTION 602.  Trustee Not Responsible for Recitals or Issuance of Securities. </w:t>
      </w:r>
    </w:p>
    <w:p>
      <w:pPr>
        <w:pStyle w:val="TextBody"/>
        <w:bidi w:val="0"/>
        <w:spacing w:before="240" w:after="0"/>
        <w:jc w:val="both"/>
        <w:rPr>
          <w:rFonts w:ascii="Times New Roman" w:hAnsi="Times New Roman"/>
          <w:sz w:val="24"/>
        </w:rPr>
      </w:pPr>
      <w:r>
        <w:rPr>
          <w:rFonts w:ascii="Times New Roman" w:hAnsi="Times New Roman"/>
          <w:sz w:val="24"/>
        </w:rPr>
        <w:t xml:space="preserve">The recitals contained herein and in the Securities, except for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 </w:t>
      </w:r>
    </w:p>
    <w:p>
      <w:pPr>
        <w:pStyle w:val="TextBody"/>
        <w:bidi w:val="0"/>
        <w:spacing w:before="240" w:after="0"/>
        <w:jc w:val="both"/>
        <w:rPr>
          <w:rFonts w:ascii="Times New Roman" w:hAnsi="Times New Roman"/>
          <w:b/>
          <w:sz w:val="24"/>
        </w:rPr>
      </w:pPr>
      <w:bookmarkStart w:id="94" w:name="ex99_1toc528636_114"/>
      <w:bookmarkEnd w:id="94"/>
      <w:r>
        <w:rPr>
          <w:rFonts w:ascii="Times New Roman" w:hAnsi="Times New Roman"/>
          <w:b/>
          <w:sz w:val="24"/>
        </w:rPr>
        <w:t xml:space="preserve">SECTION 603.  May Hold Securities. </w:t>
      </w:r>
    </w:p>
    <w:p>
      <w:pPr>
        <w:pStyle w:val="TextBody"/>
        <w:bidi w:val="0"/>
        <w:spacing w:before="240" w:after="0"/>
        <w:jc w:val="both"/>
        <w:rPr>
          <w:rFonts w:ascii="Times New Roman" w:hAnsi="Times New Roman"/>
          <w:sz w:val="24"/>
        </w:rPr>
      </w:pPr>
      <w:r>
        <w:rPr>
          <w:rFonts w:ascii="Times New Roman" w:hAnsi="Times New Roman"/>
          <w:sz w:val="24"/>
        </w:rPr>
        <w:t xml:space="preserve">The Trustee, any Authenticating Agent, any Paying Agent, any Security Registrar or any other agent of the Company or of the Trustee, in its individual or any other capacity, may become the owner or pledgee of Securities and, subject to Trust Indenture Legislation, may otherwise deal with the Company with the same rights it would have if it were not Trustee, Authenticating Agent, Paying Agent, Security Registrar or such other agent. </w:t>
      </w:r>
    </w:p>
    <w:p>
      <w:pPr>
        <w:pStyle w:val="TextBody"/>
        <w:bidi w:val="0"/>
        <w:spacing w:before="240" w:after="0"/>
        <w:jc w:val="both"/>
        <w:rPr>
          <w:rFonts w:ascii="Times New Roman" w:hAnsi="Times New Roman"/>
          <w:b/>
          <w:sz w:val="24"/>
        </w:rPr>
      </w:pPr>
      <w:bookmarkStart w:id="95" w:name="ex99_1toc528636_115"/>
      <w:bookmarkEnd w:id="95"/>
      <w:r>
        <w:rPr>
          <w:rFonts w:ascii="Times New Roman" w:hAnsi="Times New Roman"/>
          <w:b/>
          <w:sz w:val="24"/>
        </w:rPr>
        <w:t xml:space="preserve">SECTION 604.  Money Held in Trust. </w:t>
      </w:r>
    </w:p>
    <w:p>
      <w:pPr>
        <w:pStyle w:val="TextBody"/>
        <w:bidi w:val="0"/>
        <w:spacing w:before="240" w:after="0"/>
        <w:jc w:val="both"/>
        <w:rPr>
          <w:rFonts w:ascii="Times New Roman" w:hAnsi="Times New Roman"/>
          <w:sz w:val="24"/>
        </w:rPr>
      </w:pPr>
      <w:r>
        <w:rPr>
          <w:rFonts w:ascii="Times New Roman" w:hAnsi="Times New Roman"/>
          <w:sz w:val="24"/>
        </w:rPr>
        <w:t xml:space="preserve">Money held by the Trustee in trust hereunder need not be segregated from other funds except to the extent required by law. The Trustee shall be under no liability for interest on any money received by it hereunder except as otherwise agreed with the Company. </w:t>
      </w:r>
    </w:p>
    <w:p>
      <w:pPr>
        <w:pStyle w:val="TextBody"/>
        <w:bidi w:val="0"/>
        <w:spacing w:before="240" w:after="0"/>
        <w:jc w:val="both"/>
        <w:rPr>
          <w:rFonts w:ascii="Times New Roman" w:hAnsi="Times New Roman"/>
          <w:b/>
          <w:sz w:val="24"/>
        </w:rPr>
      </w:pPr>
      <w:bookmarkStart w:id="96" w:name="ex99_1toc528636_116"/>
      <w:bookmarkEnd w:id="96"/>
      <w:r>
        <w:rPr>
          <w:rFonts w:ascii="Times New Roman" w:hAnsi="Times New Roman"/>
          <w:b/>
          <w:sz w:val="24"/>
        </w:rPr>
        <w:t xml:space="preserve">SECTION 605.  Compensation and Reimbursement. </w:t>
      </w:r>
    </w:p>
    <w:p>
      <w:pPr>
        <w:pStyle w:val="TextBody"/>
        <w:bidi w:val="0"/>
        <w:spacing w:before="240" w:after="0"/>
        <w:jc w:val="both"/>
        <w:rPr>
          <w:rFonts w:ascii="Times New Roman" w:hAnsi="Times New Roman"/>
          <w:sz w:val="24"/>
        </w:rPr>
      </w:pPr>
      <w:r>
        <w:rPr>
          <w:rFonts w:ascii="Times New Roman" w:hAnsi="Times New Roman"/>
          <w:sz w:val="24"/>
        </w:rPr>
        <w:t xml:space="preserve">(a) The Company agrees, both before any default hereunder and thereafter until all the duties of the Trustee shall be firmly and fully performed, except any such expense, disbursement, or advance as may arise from its negligence or willful misconduct: </w:t>
      </w:r>
    </w:p>
    <w:p>
      <w:pPr>
        <w:pStyle w:val="TextBody"/>
        <w:bidi w:val="0"/>
        <w:spacing w:before="240" w:after="0"/>
        <w:jc w:val="both"/>
        <w:rPr>
          <w:rFonts w:ascii="Times New Roman" w:hAnsi="Times New Roman"/>
          <w:sz w:val="24"/>
        </w:rPr>
      </w:pPr>
      <w:r>
        <w:rPr>
          <w:rFonts w:ascii="Times New Roman" w:hAnsi="Times New Roman"/>
          <w:sz w:val="24"/>
        </w:rPr>
        <w:t xml:space="preserve">(1) to pay to the Trustee from time to time reasonable compensation for all services rendered by it hereunder (which compensation shall not be limited by any provision of law in regard to the compensation of a trustee of an express trust);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- 49 -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(2) except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 </w:t>
      </w:r>
    </w:p>
    <w:p>
      <w:pPr>
        <w:pStyle w:val="TextBody"/>
        <w:bidi w:val="0"/>
        <w:spacing w:before="240" w:after="0"/>
        <w:jc w:val="both"/>
        <w:rPr>
          <w:rFonts w:ascii="Times New Roman" w:hAnsi="Times New Roman"/>
          <w:sz w:val="24"/>
        </w:rPr>
      </w:pPr>
      <w:r>
        <w:rPr>
          <w:rFonts w:ascii="Times New Roman" w:hAnsi="Times New Roman"/>
          <w:sz w:val="24"/>
        </w:rPr>
        <w:t xml:space="preserve">(3) to indemnify the Trustee and its affiliates, their successors, assigns and each of their directors, officers, employees and agents, for, and to hold it harmless against, any claim, demands, assessments, interest, penalties, suits, actions, proceedings, losses, liabilities, damages, costs or expenses (including expert consultant and legal fees and disbursements on a solicitor and client basis) incurred without negligence or bad faith on its part, whatsoever arising out of or in connection with the acceptance or administration of the trust or trusts hereunder, including the costs and expenses of enforcing this provision and of defending itself against any claim or liability in connection with the exercise or performance of any of its powers or duties hereunder. </w:t>
      </w:r>
    </w:p>
    <w:p>
      <w:pPr>
        <w:pStyle w:val="TextBody"/>
        <w:bidi w:val="0"/>
        <w:spacing w:before="240" w:after="0"/>
        <w:jc w:val="both"/>
        <w:rPr>
          <w:rFonts w:ascii="Times New Roman" w:hAnsi="Times New Roman"/>
          <w:sz w:val="24"/>
        </w:rPr>
      </w:pPr>
      <w:r>
        <w:rPr>
          <w:rFonts w:ascii="Times New Roman" w:hAnsi="Times New Roman"/>
          <w:sz w:val="24"/>
        </w:rPr>
        <w:t xml:space="preserve">(b) The obligations of the Company under this Section to compensate the Trustee, to pay or reimburse the Trustee for expenses, disbursements and advances and to indemnify and hold harmless the Trustee shall constitute additional indebtedness hereunder and shall survive the satisfaction and discharge of this Indenture. As security for the performance of such obligations of the Company, the Trustee shall have a claim prior to the Securities upon all property and funds held or collected by the Trustee as such, except funds held in trust for the payment of principal of (or premium, if any) or interest, if any, on particular Securities. </w:t>
      </w:r>
    </w:p>
    <w:p>
      <w:pPr>
        <w:pStyle w:val="TextBody"/>
        <w:bidi w:val="0"/>
        <w:spacing w:before="240" w:after="0"/>
        <w:jc w:val="both"/>
        <w:rPr>
          <w:rFonts w:ascii="Times New Roman" w:hAnsi="Times New Roman"/>
          <w:sz w:val="24"/>
        </w:rPr>
      </w:pPr>
      <w:r>
        <w:rPr>
          <w:rFonts w:ascii="Times New Roman" w:hAnsi="Times New Roman"/>
          <w:sz w:val="24"/>
        </w:rPr>
        <w:t xml:space="preserve">(c) When the Trustee incurs expenses or renders services in connection with an Event of Default specified in Section 501(5) or Section 501(6), the expenses (including reasonable charges and expense of its counsel) of and the compensation for such services are intended to constitute expenses of administration under any applicable U.S. or Canadian federal, state or provincial bankruptcy, insolvency or other similar law. </w:t>
      </w:r>
    </w:p>
    <w:p>
      <w:pPr>
        <w:pStyle w:val="TextBody"/>
        <w:bidi w:val="0"/>
        <w:spacing w:before="240" w:after="0"/>
        <w:jc w:val="both"/>
        <w:rPr>
          <w:rFonts w:ascii="Times New Roman" w:hAnsi="Times New Roman"/>
          <w:sz w:val="24"/>
        </w:rPr>
      </w:pPr>
      <w:r>
        <w:rPr>
          <w:rFonts w:ascii="Times New Roman" w:hAnsi="Times New Roman"/>
          <w:sz w:val="24"/>
        </w:rPr>
        <w:t xml:space="preserve">(d) The provisions of this Section shall survive the termination of this Indenture or the resignation or removal of the Trustee. Any amount due under this Section 605 and unpaid 30 days after request for such payment shall bear interest at the then current rate for overdue amounts charged by the Trustee. </w:t>
      </w:r>
    </w:p>
    <w:p>
      <w:pPr>
        <w:pStyle w:val="TextBody"/>
        <w:bidi w:val="0"/>
        <w:spacing w:before="240" w:after="0"/>
        <w:jc w:val="both"/>
        <w:rPr>
          <w:rFonts w:ascii="Times New Roman" w:hAnsi="Times New Roman"/>
          <w:sz w:val="24"/>
        </w:rPr>
      </w:pPr>
      <w:r>
        <w:rPr>
          <w:rFonts w:ascii="Times New Roman" w:hAnsi="Times New Roman"/>
          <w:sz w:val="24"/>
        </w:rPr>
        <w:t xml:space="preserve">(e) The remuneration of the Trustee hereunder shall continue to be payable until the trusts hereof shall be finally wound up, whether or not the trusts of this Indenture shall be in course of administration by or under the direction of any court. </w:t>
      </w:r>
    </w:p>
    <w:p>
      <w:pPr>
        <w:pStyle w:val="TextBody"/>
        <w:bidi w:val="0"/>
        <w:spacing w:before="240" w:after="0"/>
        <w:jc w:val="both"/>
        <w:rPr>
          <w:rFonts w:ascii="Times New Roman" w:hAnsi="Times New Roman"/>
          <w:sz w:val="24"/>
        </w:rPr>
      </w:pPr>
      <w:r>
        <w:rPr>
          <w:rFonts w:ascii="Times New Roman" w:hAnsi="Times New Roman"/>
          <w:b/>
          <w:sz w:val="24"/>
        </w:rPr>
        <w:t>SECTION 606.  Conflict of Interest.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(a) Each of the Trustees represents to the Company that, to the best of its knowledge, at the time of the execution and delivery hereof no material conflict of interest exists between the Trustee’s role as a fiduciary hereunder and the Trustee’s role in any other capacity and agrees that in the event of a material conflict of interest arising hereafter it will, within 90 days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- 50 -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after becoming aware that a material conflict of interest exists, either eliminate the same or resign its trust hereunder. </w:t>
      </w:r>
    </w:p>
    <w:p>
      <w:pPr>
        <w:pStyle w:val="TextBody"/>
        <w:bidi w:val="0"/>
        <w:spacing w:before="240" w:after="0"/>
        <w:jc w:val="both"/>
        <w:rPr>
          <w:rFonts w:ascii="Times New Roman" w:hAnsi="Times New Roman"/>
          <w:sz w:val="24"/>
        </w:rPr>
      </w:pPr>
      <w:r>
        <w:rPr>
          <w:rFonts w:ascii="Times New Roman" w:hAnsi="Times New Roman"/>
          <w:sz w:val="24"/>
        </w:rPr>
        <w:t xml:space="preserve">(b) If, notwithstanding Section 606(a), any Trustee has a material conflict of interest, the validity and enforceability of this Indenture, of the Security Interest (if any) constituted by or under this Indenture and of the Securities of any series issued hereunder shall not be affected in any manner whatsoever by reason only of the existence of such material conflict of interest. </w:t>
      </w:r>
    </w:p>
    <w:p>
      <w:pPr>
        <w:pStyle w:val="TextBody"/>
        <w:bidi w:val="0"/>
        <w:spacing w:before="240" w:after="0"/>
        <w:jc w:val="both"/>
        <w:rPr>
          <w:rFonts w:ascii="Times New Roman" w:hAnsi="Times New Roman"/>
          <w:sz w:val="24"/>
        </w:rPr>
      </w:pPr>
      <w:r>
        <w:rPr>
          <w:rFonts w:ascii="Times New Roman" w:hAnsi="Times New Roman"/>
          <w:sz w:val="24"/>
        </w:rPr>
        <w:t xml:space="preserve">(c) If any Trustee contravenes Section 606(a), the Company or the Holders of not less than 25% in aggregate principal amount of the Securities of any series affected thereby may apply to the Ontario Superior Court of Justice with respect to the Canadian Trustee or the U.S. federal or New York State court with respect to the U.S. Trustee for an order that the Trustee be replaced, and such court may make an order on such terms as it thinks fit. </w:t>
      </w:r>
    </w:p>
    <w:p>
      <w:pPr>
        <w:pStyle w:val="TextBody"/>
        <w:bidi w:val="0"/>
        <w:spacing w:before="240" w:after="0"/>
        <w:jc w:val="both"/>
        <w:rPr>
          <w:rFonts w:ascii="Times New Roman" w:hAnsi="Times New Roman"/>
          <w:sz w:val="24"/>
        </w:rPr>
      </w:pPr>
      <w:r>
        <w:rPr>
          <w:rFonts w:ascii="Times New Roman" w:hAnsi="Times New Roman"/>
          <w:b/>
          <w:sz w:val="24"/>
        </w:rPr>
        <w:t>SECTION 607.  Corporate Trustee Required; Eligibility.</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For as long as required by Trust Indenture Legislation, there shall be at all times a Trustee hereunder with respect to the Securities of each series which may be the Trustee hereunder for Securities of one or more series. Each Trustee shall be a Person which shall be eligible to act as Trustee under Trust Indenture Legislation and shall have a combined capital and surplus of at least $50,000,000 or such other amount required by Trust Indenture Legislation. For so long as required by the Trust Indenture Legislation, there shall be a Canadian Trustee under this Indenture. The Canadian Trustee shall at all times be a corporation organized under the laws of Canada or province thereof and authorized under such laws and the laws of the Province of Ontario to carry on trust business therein and be subject to supervision or examination pursuant to the </w:t>
      </w:r>
      <w:r>
        <w:rPr>
          <w:rFonts w:ascii="Times New Roman" w:hAnsi="Times New Roman"/>
          <w:i/>
          <w:sz w:val="24"/>
        </w:rPr>
        <w:t>Trust and Loan Companies Act</w:t>
      </w:r>
      <w:r>
        <w:rPr>
          <w:rFonts w:ascii="Times New Roman" w:hAnsi="Times New Roman"/>
          <w:sz w:val="24"/>
        </w:rPr>
        <w:t xml:space="preserve"> (Canada). A Trustee acting as Trustee in respect of Securities of any series offered solely in the United States and not concurrently in Canada or offered concurrently in the United States and Canada shall at all times satisfy the requirements of Sections 310(a)(1), 310(a)(2) and 310(b) of the Trust Indenture Act. If at any time the Trustee with respect to the Securities of any series shall cease to be eligible in accordance with the provisions of this Section, it shall resign immediately in the manner and with the effect hereinafter specified in this Article. </w:t>
      </w:r>
    </w:p>
    <w:p>
      <w:pPr>
        <w:pStyle w:val="TextBody"/>
        <w:bidi w:val="0"/>
        <w:spacing w:before="240" w:after="0"/>
        <w:jc w:val="both"/>
        <w:rPr>
          <w:rFonts w:ascii="Times New Roman" w:hAnsi="Times New Roman"/>
          <w:sz w:val="24"/>
        </w:rPr>
      </w:pPr>
      <w:r>
        <w:rPr>
          <w:rFonts w:ascii="Times New Roman" w:hAnsi="Times New Roman"/>
          <w:b/>
          <w:sz w:val="24"/>
        </w:rPr>
        <w:t>SECTION 608.  Resignation and Removal; Appointment of Successor.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(a) No resignation or removal of a Trustee and no appointment of a successor Trustee pursuant to this Article shall become effective until the acceptance of appointment by the successor Trustee in accordance with the applicable requirements of Section 609. </w:t>
      </w:r>
    </w:p>
    <w:p>
      <w:pPr>
        <w:pStyle w:val="TextBody"/>
        <w:bidi w:val="0"/>
        <w:spacing w:before="240" w:after="0"/>
        <w:jc w:val="both"/>
        <w:rPr>
          <w:rFonts w:ascii="Times New Roman" w:hAnsi="Times New Roman"/>
          <w:sz w:val="24"/>
        </w:rPr>
      </w:pPr>
      <w:r>
        <w:rPr>
          <w:rFonts w:ascii="Times New Roman" w:hAnsi="Times New Roman"/>
          <w:sz w:val="24"/>
        </w:rPr>
        <w:t xml:space="preserve">(b) A Trustee may resign at any time with respect to the Securities of one or more series by giving written notice thereof to the Company and the Subsidiary Guarantors upon three months’ notice or such shorter period as agreed to by the Company and the Subsidiary Guarantors. If the instrument of acceptance by a successor Trustee required by Section 609 shall not have been delivered to the Trustee within 30 days after the giving of such notice of resignation, the resigning Trustee may petition any court of competent jurisdiction for the appointment of a successor Trustee with respect to the Securities of such series.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- 51 -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(c) A Trustee may be removed at any time with respect to the Securities of any series by Act of the Holders of not less than a majority in principal amount of the Outstanding Securities of such series, delivered to the Trustee and to the Company. </w:t>
      </w:r>
    </w:p>
    <w:p>
      <w:pPr>
        <w:pStyle w:val="TextBody"/>
        <w:bidi w:val="0"/>
        <w:spacing w:before="240" w:after="0"/>
        <w:jc w:val="both"/>
        <w:rPr>
          <w:rFonts w:ascii="Times New Roman" w:hAnsi="Times New Roman"/>
          <w:sz w:val="24"/>
        </w:rPr>
      </w:pPr>
      <w:r>
        <w:rPr>
          <w:rFonts w:ascii="Times New Roman" w:hAnsi="Times New Roman"/>
          <w:sz w:val="24"/>
        </w:rPr>
        <w:t xml:space="preserve">(d) If at any time: </w:t>
      </w:r>
    </w:p>
    <w:p>
      <w:pPr>
        <w:pStyle w:val="TextBody"/>
        <w:bidi w:val="0"/>
        <w:spacing w:before="240" w:after="0"/>
        <w:jc w:val="both"/>
        <w:rPr>
          <w:rFonts w:ascii="Times New Roman" w:hAnsi="Times New Roman"/>
          <w:sz w:val="24"/>
        </w:rPr>
      </w:pPr>
      <w:r>
        <w:rPr>
          <w:rFonts w:ascii="Times New Roman" w:hAnsi="Times New Roman"/>
          <w:sz w:val="24"/>
        </w:rPr>
        <w:t xml:space="preserve">(1) a Trustee shall fail to comply with the provisions of Trust Indenture Legislation or Section 606 after written request therefor by the Company or by any Holder who has been a bona fide Holder of a Security for at least six months, or </w:t>
      </w:r>
    </w:p>
    <w:p>
      <w:pPr>
        <w:pStyle w:val="TextBody"/>
        <w:bidi w:val="0"/>
        <w:spacing w:before="240" w:after="0"/>
        <w:jc w:val="both"/>
        <w:rPr>
          <w:rFonts w:ascii="Times New Roman" w:hAnsi="Times New Roman"/>
          <w:sz w:val="24"/>
        </w:rPr>
      </w:pPr>
      <w:r>
        <w:rPr>
          <w:rFonts w:ascii="Times New Roman" w:hAnsi="Times New Roman"/>
          <w:sz w:val="24"/>
        </w:rPr>
        <w:t xml:space="preserve">(2) a Trustee shall cease to be eligible under Section 607 and shall fail to resign after written request therefor by the Company or by any Holder who has been a bona fide Holder of a Security for at least six months, or </w:t>
      </w:r>
    </w:p>
    <w:p>
      <w:pPr>
        <w:pStyle w:val="TextBody"/>
        <w:bidi w:val="0"/>
        <w:spacing w:before="240" w:after="0"/>
        <w:jc w:val="both"/>
        <w:rPr>
          <w:rFonts w:ascii="Times New Roman" w:hAnsi="Times New Roman"/>
          <w:sz w:val="24"/>
        </w:rPr>
      </w:pPr>
      <w:r>
        <w:rPr>
          <w:rFonts w:ascii="Times New Roman" w:hAnsi="Times New Roman"/>
          <w:sz w:val="24"/>
        </w:rPr>
        <w:t xml:space="preserve">(3) a Trustee shall become incapable of acting or shall be adjudged a bankrupt or insolvent or a receiver of such Trustee or of its property shall be appointed or any public officer shall take charge or control of such Trustee or of its property or affairs for the purpose of rehabilitation, conservation or liquidation, </w:t>
      </w:r>
    </w:p>
    <w:p>
      <w:pPr>
        <w:pStyle w:val="TextBody"/>
        <w:bidi w:val="0"/>
        <w:spacing w:before="240" w:after="0"/>
        <w:jc w:val="both"/>
        <w:rPr>
          <w:rFonts w:ascii="Times New Roman" w:hAnsi="Times New Roman"/>
          <w:sz w:val="24"/>
        </w:rPr>
      </w:pPr>
      <w:r>
        <w:rPr>
          <w:rFonts w:ascii="Times New Roman" w:hAnsi="Times New Roman"/>
          <w:sz w:val="24"/>
        </w:rPr>
        <w:t xml:space="preserve">then, in any such case, (i) the Company, by a Board Resolution, may remove such Trustee with respect to all Securities, or (ii) subject to Trust Indenture Legislation, any Holder who has been a bona fide Holder of a Security for at least six months may, on behalf of himself and all others similarly situated, petition any court of competent jurisdiction for the removal of such Trustee with respect to all Securities and the appointment of a successor Trustee or Trustees. </w:t>
      </w:r>
    </w:p>
    <w:p>
      <w:pPr>
        <w:pStyle w:val="TextBody"/>
        <w:bidi w:val="0"/>
        <w:spacing w:before="240" w:after="0"/>
        <w:jc w:val="both"/>
        <w:rPr>
          <w:rFonts w:ascii="Times New Roman" w:hAnsi="Times New Roman"/>
          <w:sz w:val="24"/>
        </w:rPr>
      </w:pPr>
      <w:r>
        <w:rPr>
          <w:rFonts w:ascii="Times New Roman" w:hAnsi="Times New Roman"/>
          <w:sz w:val="24"/>
        </w:rPr>
        <w:t xml:space="preserve">(e) If a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hereinafter provided,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 </w:t>
      </w:r>
    </w:p>
    <w:p>
      <w:pPr>
        <w:pStyle w:val="TextBody"/>
        <w:bidi w:val="0"/>
        <w:spacing w:before="240" w:after="0"/>
        <w:jc w:val="both"/>
        <w:rPr>
          <w:rFonts w:ascii="Times New Roman" w:hAnsi="Times New Roman"/>
          <w:sz w:val="24"/>
        </w:rPr>
      </w:pPr>
      <w:r>
        <w:rPr>
          <w:rFonts w:ascii="Times New Roman" w:hAnsi="Times New Roman"/>
          <w:sz w:val="24"/>
        </w:rPr>
        <w:t xml:space="preserve">(f) The Company shall give notice of each resignation and each removal of a Trustee with respect to the Securities of any series and each appointment of a successor Trustee with respect to the Securities of any series to the Holders of Securities of such series in the manner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- 52 -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provided for in Section 106. Each notice shall include the name of the successor Trustee with respect to the Securities of such series and the address of its Corporate Trust Office. </w:t>
      </w:r>
    </w:p>
    <w:p>
      <w:pPr>
        <w:pStyle w:val="TextBody"/>
        <w:bidi w:val="0"/>
        <w:spacing w:before="240" w:after="0"/>
        <w:jc w:val="both"/>
        <w:rPr>
          <w:rFonts w:ascii="Times New Roman" w:hAnsi="Times New Roman"/>
          <w:sz w:val="24"/>
        </w:rPr>
      </w:pPr>
      <w:bookmarkStart w:id="97" w:name="ex99_1toc528636_120"/>
      <w:bookmarkEnd w:id="97"/>
      <w:r>
        <w:rPr>
          <w:rFonts w:ascii="Times New Roman" w:hAnsi="Times New Roman"/>
          <w:b/>
          <w:sz w:val="24"/>
        </w:rPr>
        <w:t>SECTION 609.  Acceptance of Appointment by Successor.</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all amounts due to it under Section 605,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240" w:after="0"/>
        <w:jc w:val="both"/>
        <w:rPr>
          <w:rFonts w:ascii="Times New Roman" w:hAnsi="Times New Roman"/>
          <w:sz w:val="24"/>
        </w:rPr>
      </w:pPr>
      <w:r>
        <w:rPr>
          <w:rFonts w:ascii="Times New Roman" w:hAnsi="Times New Roman"/>
          <w:sz w:val="24"/>
        </w:rPr>
        <w:t xml:space="preserve">(b) In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upon payment of all amounts due to it under Section 605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“Indenture” and “Securities” shall have the meanings specified in the provisos to the respective definitions of those terms in Section 101 which contemplate such situation.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- 53 -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(c) Upon request of any such successor Trustee, the Company shall execute any and all instruments for more fully and certainly vesting in and confirming to such successor Trustee all rights, powers and trusts referred to in paragraph (a) or (b) of this Section, as the case may be. </w:t>
      </w:r>
    </w:p>
    <w:p>
      <w:pPr>
        <w:pStyle w:val="TextBody"/>
        <w:bidi w:val="0"/>
        <w:spacing w:before="240" w:after="0"/>
        <w:jc w:val="both"/>
        <w:rPr>
          <w:rFonts w:ascii="Times New Roman" w:hAnsi="Times New Roman"/>
          <w:sz w:val="24"/>
        </w:rPr>
      </w:pPr>
      <w:r>
        <w:rPr>
          <w:rFonts w:ascii="Times New Roman" w:hAnsi="Times New Roman"/>
          <w:sz w:val="24"/>
        </w:rPr>
        <w:t xml:space="preserve">(d) No successor Trustee shall accept its appointment unless at the time of such acceptance such successor Trustee shall be qualified and eligible under this Article. </w:t>
      </w:r>
    </w:p>
    <w:p>
      <w:pPr>
        <w:pStyle w:val="TextBody"/>
        <w:bidi w:val="0"/>
        <w:spacing w:before="240" w:after="0"/>
        <w:jc w:val="both"/>
        <w:rPr>
          <w:rFonts w:ascii="Times New Roman" w:hAnsi="Times New Roman"/>
          <w:sz w:val="24"/>
        </w:rPr>
      </w:pPr>
      <w:bookmarkStart w:id="98" w:name="ex99_1toc528636_121"/>
      <w:bookmarkEnd w:id="98"/>
      <w:r>
        <w:rPr>
          <w:rFonts w:ascii="Times New Roman" w:hAnsi="Times New Roman"/>
          <w:b/>
          <w:sz w:val="24"/>
        </w:rPr>
        <w:t>SECTION 610.  Merger, Conversion, Consolidation or Succession to Business.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Any corporation into which a Trustee may be merged or converted or with which it may be consolidated, or any corporation resulting from any merger, conversion or consolidation to which a Trustee shall be a party, or any corporation succeeding to all or substantially all the corporate trust business of a Trustee, shall be the successor of such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a Trustee or the Authenticating Agent then in office, any successor by merger, conversion or consolidation to such authenticating Trustee or any successor Authenticating Agent, as the case may be, may adopt such authentication and deliver the Securities so authenticated with the same effect as if such successor Trustee or successor Authenticating Agent, as the case may be, had itself authenticated such Securities. In case any of the Securities shall not have been authenticated by such predecessor Trustee, any successor Trustee or any successor Authenticating Agent, as the case may be, may authenticate such Securities either in the name of any predecessor hereunder or in the name of the successor Trustee. In all such cases such certificates shall have the full force and effect which this Indenture provides for the certificate of authentication of the Trustee or the Authenticating Agent;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right to adopt the certificate of authentication of any predecessor Trustee or to authenticate Securities in the name of any predecessor Trustee shall apply only to its successor or successors by merger, conversion or consolidation. </w:t>
      </w:r>
    </w:p>
    <w:p>
      <w:pPr>
        <w:pStyle w:val="TextBody"/>
        <w:bidi w:val="0"/>
        <w:spacing w:before="240" w:after="0"/>
        <w:jc w:val="both"/>
        <w:rPr>
          <w:rFonts w:ascii="Times New Roman" w:hAnsi="Times New Roman"/>
          <w:sz w:val="24"/>
        </w:rPr>
      </w:pPr>
      <w:bookmarkStart w:id="99" w:name="ex99_1toc528636_122"/>
      <w:bookmarkEnd w:id="99"/>
      <w:r>
        <w:rPr>
          <w:rFonts w:ascii="Times New Roman" w:hAnsi="Times New Roman"/>
          <w:b/>
          <w:sz w:val="24"/>
        </w:rPr>
        <w:t>SECTION 611.  Appointment of Authenticating Agent.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(a) At any time when any of the Securities remain Outstanding, the Trustee may appoint an Authenticating Agent or Agents with respect to one or more series of Securities which shall be authorized to act on behalf of the Trustee to authenticate Securities of such series and the Trustee shall give written notice of such appointment to all Holders of Securities of the series with respect to which such Authenticating Agent will serve, in the manner provided for in Section 106.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and a copy of such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or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- 54 -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the laws of Canada or any province thereof, authorized under such laws to act as Authenticating Agent, having a combined capital and surplus of not less than $50,000,000 and subject to supervision or examination by U.S. federal or state or Canadian federal or provincial authority.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Section, it shall resign immediately in the manner and with the effect specified in this Section. </w:t>
      </w:r>
    </w:p>
    <w:p>
      <w:pPr>
        <w:pStyle w:val="TextBody"/>
        <w:bidi w:val="0"/>
        <w:spacing w:before="240" w:after="0"/>
        <w:jc w:val="both"/>
        <w:rPr>
          <w:rFonts w:ascii="Times New Roman" w:hAnsi="Times New Roman"/>
          <w:sz w:val="24"/>
        </w:rPr>
      </w:pPr>
      <w:r>
        <w:rPr>
          <w:rFonts w:ascii="Times New Roman" w:hAnsi="Times New Roman"/>
          <w:sz w:val="24"/>
        </w:rPr>
        <w:t xml:space="preserve">(b) Any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 </w:t>
      </w:r>
    </w:p>
    <w:p>
      <w:pPr>
        <w:pStyle w:val="TextBody"/>
        <w:bidi w:val="0"/>
        <w:spacing w:before="240" w:after="0"/>
        <w:jc w:val="both"/>
        <w:rPr>
          <w:rFonts w:ascii="Times New Roman" w:hAnsi="Times New Roman"/>
          <w:sz w:val="24"/>
        </w:rPr>
      </w:pPr>
      <w:r>
        <w:rPr>
          <w:rFonts w:ascii="Times New Roman" w:hAnsi="Times New Roman"/>
          <w:sz w:val="24"/>
        </w:rPr>
        <w:t xml:space="preserve">(c) An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written notice of such appointment to all Holders of Securities of the series with respect to which such Authenticating Agent will serve, in the manner provided for in Section 106.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w:t>
      </w:r>
    </w:p>
    <w:p>
      <w:pPr>
        <w:pStyle w:val="TextBody"/>
        <w:bidi w:val="0"/>
        <w:spacing w:before="240" w:after="0"/>
        <w:jc w:val="both"/>
        <w:rPr>
          <w:rFonts w:ascii="Times New Roman" w:hAnsi="Times New Roman"/>
          <w:sz w:val="24"/>
        </w:rPr>
      </w:pPr>
      <w:r>
        <w:rPr>
          <w:rFonts w:ascii="Times New Roman" w:hAnsi="Times New Roman"/>
          <w:sz w:val="24"/>
        </w:rPr>
        <w:t xml:space="preserve">(d) The Company agrees to pay to each Authenticating Agent from time to time reasonable compensation for its services under this Section. </w:t>
      </w:r>
    </w:p>
    <w:p>
      <w:pPr>
        <w:pStyle w:val="TextBody"/>
        <w:bidi w:val="0"/>
        <w:spacing w:before="240" w:after="0"/>
        <w:jc w:val="both"/>
        <w:rPr>
          <w:rFonts w:ascii="Times New Roman" w:hAnsi="Times New Roman"/>
          <w:sz w:val="24"/>
        </w:rPr>
      </w:pPr>
      <w:r>
        <w:rPr>
          <w:rFonts w:ascii="Times New Roman" w:hAnsi="Times New Roman"/>
          <w:sz w:val="24"/>
        </w:rPr>
        <w:t xml:space="preserve">(e) If an appointment with respect to one or more series is made pursuant to this Section, the Securities of such series may have endorsed thereon, in addition to the Trustee’s certificate of authentication, an alternate certificate of authentication in the following form: </w:t>
      </w:r>
    </w:p>
    <w:p>
      <w:pPr>
        <w:pStyle w:val="TextBody"/>
        <w:bidi w:val="0"/>
        <w:spacing w:before="240" w:after="0"/>
        <w:jc w:val="both"/>
        <w:rPr>
          <w:rFonts w:ascii="Times New Roman" w:hAnsi="Times New Roman"/>
          <w:sz w:val="24"/>
        </w:rPr>
      </w:pPr>
      <w:r>
        <w:rPr>
          <w:rFonts w:ascii="Times New Roman" w:hAnsi="Times New Roman"/>
          <w:sz w:val="24"/>
        </w:rPr>
        <w:t xml:space="preserve">Dated: </w:t>
      </w:r>
      <w:r>
        <w:rPr>
          <w:rFonts w:ascii="Times New Roman" w:hAnsi="Times New Roman"/>
          <w:sz w:val="24"/>
          <w:u w:val="single"/>
        </w:rPr>
        <w:t>          </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This is one of the Securities of the series designated, and issued under the Indenture described herein.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- 55 -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18"/>
        <w:gridCol w:w="60"/>
        <w:gridCol w:w="3604"/>
      </w:tblGrid>
      <w:tr>
        <w:trPr/>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0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right"/>
              <w:rPr>
                <w:b/>
              </w:rPr>
            </w:pPr>
            <w:r>
              <w:rPr>
                <w:b/>
              </w:rPr>
              <w:t xml:space="preserve">[  ],       </w:t>
              <w:br/>
              <w:t>as Authenticating</w:t>
              <w:br/>
              <w:t>Agent     </w:t>
            </w:r>
          </w:p>
        </w:tc>
      </w:tr>
      <w:tr>
        <w:trPr>
          <w:trHeight w:val="240" w:hRule="atLeast"/>
        </w:trPr>
        <w:tc>
          <w:tcPr>
            <w:tcW w:w="418" w:type="dxa"/>
            <w:tcBorders/>
            <w:vAlign w:val="center"/>
          </w:tcPr>
          <w:p>
            <w:pPr>
              <w:pStyle w:val="TableContents"/>
              <w:bidi w:val="0"/>
              <w:spacing w:before="0" w:after="283"/>
              <w:jc w:val="left"/>
              <w:rPr>
                <w:sz w:val="4"/>
                <w:szCs w:val="4"/>
              </w:rPr>
            </w:pPr>
            <w:r>
              <w:rPr>
                <w:sz w:val="4"/>
                <w:szCs w:val="4"/>
              </w:rPr>
            </w:r>
          </w:p>
        </w:tc>
        <w:tc>
          <w:tcPr>
            <w:tcW w:w="3664" w:type="dxa"/>
            <w:gridSpan w:val="2"/>
            <w:tcBorders/>
            <w:vAlign w:val="center"/>
          </w:tcPr>
          <w:p>
            <w:pPr>
              <w:pStyle w:val="TableContents"/>
              <w:bidi w:val="0"/>
              <w:spacing w:before="0" w:after="283"/>
              <w:jc w:val="left"/>
              <w:rPr>
                <w:sz w:val="4"/>
                <w:szCs w:val="4"/>
              </w:rPr>
            </w:pPr>
            <w:r>
              <w:rPr>
                <w:sz w:val="4"/>
                <w:szCs w:val="4"/>
              </w:rPr>
            </w:r>
          </w:p>
        </w:tc>
      </w:tr>
      <w:tr>
        <w:trPr/>
        <w:tc>
          <w:tcPr>
            <w:tcW w:w="41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04" w:type="dxa"/>
            <w:tcBorders>
              <w:bottom w:val="single" w:sz="2" w:space="0" w:color="000000"/>
            </w:tcBorders>
            <w:tcMar>
              <w:bottom w:w="28" w:type="dxa"/>
            </w:tcMar>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04" w:type="dxa"/>
            <w:tcBorders/>
            <w:vAlign w:val="bottom"/>
          </w:tcPr>
          <w:p>
            <w:pPr>
              <w:pStyle w:val="TableContents"/>
              <w:bidi w:val="0"/>
              <w:spacing w:before="0" w:after="283"/>
              <w:jc w:val="left"/>
              <w:rPr/>
            </w:pPr>
            <w:r>
              <w:rPr/>
              <w:t>as Authenticating Agent</w:t>
            </w:r>
          </w:p>
        </w:tc>
      </w:tr>
      <w:tr>
        <w:trPr>
          <w:trHeight w:val="240" w:hRule="atLeast"/>
        </w:trPr>
        <w:tc>
          <w:tcPr>
            <w:tcW w:w="418" w:type="dxa"/>
            <w:tcBorders/>
            <w:vAlign w:val="center"/>
          </w:tcPr>
          <w:p>
            <w:pPr>
              <w:pStyle w:val="TableContents"/>
              <w:bidi w:val="0"/>
              <w:spacing w:before="0" w:after="283"/>
              <w:jc w:val="left"/>
              <w:rPr>
                <w:sz w:val="4"/>
                <w:szCs w:val="4"/>
              </w:rPr>
            </w:pPr>
            <w:r>
              <w:rPr>
                <w:sz w:val="4"/>
                <w:szCs w:val="4"/>
              </w:rPr>
            </w:r>
          </w:p>
        </w:tc>
        <w:tc>
          <w:tcPr>
            <w:tcW w:w="3664" w:type="dxa"/>
            <w:gridSpan w:val="2"/>
            <w:tcBorders/>
            <w:vAlign w:val="center"/>
          </w:tcPr>
          <w:p>
            <w:pPr>
              <w:pStyle w:val="TableContents"/>
              <w:bidi w:val="0"/>
              <w:spacing w:before="0" w:after="283"/>
              <w:jc w:val="left"/>
              <w:rPr>
                <w:sz w:val="4"/>
                <w:szCs w:val="4"/>
              </w:rPr>
            </w:pPr>
            <w:r>
              <w:rPr>
                <w:sz w:val="4"/>
                <w:szCs w:val="4"/>
              </w:rPr>
            </w:r>
          </w:p>
        </w:tc>
      </w:tr>
      <w:tr>
        <w:trPr/>
        <w:tc>
          <w:tcPr>
            <w:tcW w:w="41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04" w:type="dxa"/>
            <w:tcBorders>
              <w:bottom w:val="single" w:sz="2" w:space="0" w:color="000000"/>
            </w:tcBorders>
            <w:tcMar>
              <w:bottom w:w="28" w:type="dxa"/>
            </w:tcMar>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04" w:type="dxa"/>
            <w:tcBorders/>
            <w:vAlign w:val="bottom"/>
          </w:tcPr>
          <w:p>
            <w:pPr>
              <w:pStyle w:val="TableContents"/>
              <w:bidi w:val="0"/>
              <w:spacing w:before="0" w:after="283"/>
              <w:jc w:val="left"/>
              <w:rPr/>
            </w:pPr>
            <w:r>
              <w:rPr/>
              <w:t>authorized signatory</w:t>
            </w:r>
          </w:p>
        </w:tc>
      </w:tr>
    </w:tbl>
    <w:p>
      <w:pPr>
        <w:pStyle w:val="TextBody"/>
        <w:bidi w:val="0"/>
        <w:spacing w:before="240" w:after="0"/>
        <w:jc w:val="both"/>
        <w:rPr>
          <w:rFonts w:ascii="Times New Roman" w:hAnsi="Times New Roman"/>
          <w:sz w:val="24"/>
        </w:rPr>
      </w:pPr>
      <w:bookmarkStart w:id="100" w:name="ex99_1toc528636_123"/>
      <w:bookmarkEnd w:id="100"/>
      <w:r>
        <w:rPr>
          <w:rFonts w:ascii="Times New Roman" w:hAnsi="Times New Roman"/>
          <w:b/>
          <w:sz w:val="24"/>
        </w:rPr>
        <w:t>SECTION 612.  Acceptance of Trust.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Each Trustee hereby accepts the trusts in this Indenture declared and provided for and agrees to perform the same upon the terms and conditions set forth in this Indenture and in trust for the Holders from time to time, subject to the terms and conditions of this Indenture. </w:t>
      </w:r>
    </w:p>
    <w:p>
      <w:pPr>
        <w:pStyle w:val="TextBody"/>
        <w:bidi w:val="0"/>
        <w:spacing w:before="240" w:after="0"/>
        <w:jc w:val="both"/>
        <w:rPr>
          <w:rFonts w:ascii="Times New Roman" w:hAnsi="Times New Roman"/>
          <w:sz w:val="24"/>
        </w:rPr>
      </w:pPr>
      <w:bookmarkStart w:id="101" w:name="ex99_1toc528636_124"/>
      <w:bookmarkEnd w:id="101"/>
      <w:r>
        <w:rPr>
          <w:rFonts w:ascii="Times New Roman" w:hAnsi="Times New Roman"/>
          <w:b/>
          <w:sz w:val="24"/>
        </w:rPr>
        <w:t>SECTION 613.  Trustee Not Required to Give Security.</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The Trustee shall not be required to give any bond or security in respect of the execution of the trusts and powers of this Indenture or otherwise in respect of this Indenture. </w:t>
      </w:r>
    </w:p>
    <w:p>
      <w:pPr>
        <w:pStyle w:val="TextBody"/>
        <w:bidi w:val="0"/>
        <w:spacing w:before="240" w:after="0"/>
        <w:jc w:val="both"/>
        <w:rPr>
          <w:rFonts w:ascii="Times New Roman" w:hAnsi="Times New Roman"/>
          <w:sz w:val="24"/>
        </w:rPr>
      </w:pPr>
      <w:bookmarkStart w:id="102" w:name="ex99_1toc528636_125"/>
      <w:bookmarkEnd w:id="102"/>
      <w:r>
        <w:rPr>
          <w:rFonts w:ascii="Times New Roman" w:hAnsi="Times New Roman"/>
          <w:b/>
          <w:sz w:val="24"/>
        </w:rPr>
        <w:t>SECTION 614.  Trustee Not Required to Possess Securities.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All rights of action under this Indenture may be enforced by the Trustee without the possession of any of the Securities or the production thereof on any trial or other proceedings relative thereto. </w:t>
      </w:r>
    </w:p>
    <w:p>
      <w:pPr>
        <w:pStyle w:val="TextBody"/>
        <w:bidi w:val="0"/>
        <w:spacing w:before="240" w:after="0"/>
        <w:jc w:val="both"/>
        <w:rPr>
          <w:rFonts w:ascii="Times New Roman" w:hAnsi="Times New Roman"/>
          <w:sz w:val="24"/>
        </w:rPr>
      </w:pPr>
      <w:bookmarkStart w:id="103" w:name="ex99_1toc528636_126"/>
      <w:bookmarkEnd w:id="103"/>
      <w:r>
        <w:rPr>
          <w:rFonts w:ascii="Times New Roman" w:hAnsi="Times New Roman"/>
          <w:b/>
          <w:sz w:val="24"/>
        </w:rPr>
        <w:t>SECTION 615.  Protection of Trustee.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Trustee shall not incur any liability or responsibility whatsoever or in any way be responsible for the consequence of any breach on the part of the Company or the Subsidiary Guarantors of any of the covenants contained in this Indenture or in any Securities or of any acts of the agents or employees of the Company. </w:t>
      </w:r>
    </w:p>
    <w:p>
      <w:pPr>
        <w:pStyle w:val="TextBody"/>
        <w:bidi w:val="0"/>
        <w:spacing w:before="240" w:after="0"/>
        <w:jc w:val="both"/>
        <w:rPr>
          <w:rFonts w:ascii="Times New Roman" w:hAnsi="Times New Roman"/>
          <w:sz w:val="24"/>
        </w:rPr>
      </w:pPr>
      <w:r>
        <w:rPr>
          <w:rFonts w:ascii="Times New Roman" w:hAnsi="Times New Roman"/>
          <w:sz w:val="24"/>
        </w:rPr>
        <w:t xml:space="preserve">(b) Neither the Trustee nor any affiliate of the Trustee shall be appointed a receiver or receiver and manager or liquidator of all or any part of the assets or undertaking of the Company or the Subsidiary Guarantors. </w:t>
      </w:r>
    </w:p>
    <w:p>
      <w:pPr>
        <w:pStyle w:val="TextBody"/>
        <w:bidi w:val="0"/>
        <w:spacing w:before="240" w:after="0"/>
        <w:jc w:val="both"/>
        <w:rPr>
          <w:rFonts w:ascii="Times New Roman" w:hAnsi="Times New Roman"/>
          <w:sz w:val="24"/>
        </w:rPr>
      </w:pPr>
      <w:r>
        <w:rPr>
          <w:rFonts w:ascii="Times New Roman" w:hAnsi="Times New Roman"/>
          <w:sz w:val="24"/>
        </w:rPr>
        <w:t xml:space="preserve">(c) Nothing in this Indenture shall impose on the Trustee any obligation to see to, or to require evidence of, the registration or filing (or renewal thereof) of this Indenture or any instrument ancillary or supplemental to this Indenture in any jurisdiction. </w:t>
      </w:r>
    </w:p>
    <w:p>
      <w:pPr>
        <w:pStyle w:val="TextBody"/>
        <w:bidi w:val="0"/>
        <w:spacing w:before="240" w:after="0"/>
        <w:jc w:val="both"/>
        <w:rPr>
          <w:rFonts w:ascii="Times New Roman" w:hAnsi="Times New Roman"/>
          <w:sz w:val="24"/>
        </w:rPr>
      </w:pPr>
      <w:r>
        <w:rPr>
          <w:rFonts w:ascii="Times New Roman" w:hAnsi="Times New Roman"/>
          <w:sz w:val="24"/>
        </w:rPr>
        <w:t xml:space="preserve">(d) The Trustee shall incur no liability with respect to the delivery or non-delivery of any certificate or certificates whether delivered by hand, mail or any other means.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- 56 -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bookmarkStart w:id="104" w:name="ex99_1toc528636_127"/>
      <w:bookmarkEnd w:id="104"/>
      <w:r>
        <w:rPr>
          <w:rFonts w:ascii="Times New Roman" w:hAnsi="Times New Roman"/>
          <w:b/>
          <w:sz w:val="24"/>
        </w:rPr>
        <w:t>SECTION 616.  Anti-Money Laundering and Anti-Terrorism Legislation Compliance.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Each Trustee shall retain the right not to act and shall not be liable for refusing to act if, due to a lack of information or for any other reason whatsoever, the Trustee, in its sole judgment, determines that such act might cause the Trustee to be in non-compliance with any applicable anti-money laundering, economic sanction or anti-terrorist legislation, regulation or guideline. Further, should a Trustee, in its sole judgment, determine at any time that its acting under this Indenture has resulted in its being in non-compliance with any applicable anti-money laundering, economic sanction or antiterrorist legislation, regulation or guideline, then it shall have the right to resign on 10 Business Days written notice to the Company and the Subsidiary Guarantors, provided that (i) the Trustee’s written notice shall describe the circumstances of such non-compliance; and (ii) if such circumstances are rectified to the Trustee’s satisfaction within such 10 Business Day period, then such resignation shall not be effective. The parties acknowledge that in accordance with Section 326 of the USA Patriot Act, the U.S. Trustee is required to obtain, verify, record and update information that identifies each person or legal entity that establishes a relationship or opens an account with the U.S. Trustee. Each party agrees that it will provide the U.S. Trustee with such information as it may reasonably request in order for the U.S. Trustee to satisfy the requirements of the USA Patriot Act. </w:t>
      </w:r>
    </w:p>
    <w:p>
      <w:pPr>
        <w:pStyle w:val="TextBody"/>
        <w:bidi w:val="0"/>
        <w:spacing w:before="240" w:after="0"/>
        <w:jc w:val="both"/>
        <w:rPr>
          <w:rFonts w:ascii="Times New Roman" w:hAnsi="Times New Roman"/>
          <w:sz w:val="24"/>
        </w:rPr>
      </w:pPr>
      <w:bookmarkStart w:id="105" w:name="ex99_1toc528636_128"/>
      <w:bookmarkEnd w:id="105"/>
      <w:r>
        <w:rPr>
          <w:rFonts w:ascii="Times New Roman" w:hAnsi="Times New Roman"/>
          <w:b/>
          <w:sz w:val="24"/>
        </w:rPr>
        <w:t>SECTION 617.  Third Party Interests.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The Company and the Subsidiary Guarantors hereby represent to the Trustees that any account to be opened by, or interest to be held by, the Trustees in connection with this Indenture, for or to the credit of the Company, either (i) is not intended to be used by or on behalf of any third party; or (ii) is intended to be used by or on behalf of a third party, in which case the Company hereby agrees to complete, execute and deliver forthwith to the applicable Trustee a declaration, in such Trustee’s prescribed form or in such other form as may be satisfactory to it, as to the particulars of such third party. </w:t>
      </w:r>
    </w:p>
    <w:p>
      <w:pPr>
        <w:pStyle w:val="TextBody"/>
        <w:bidi w:val="0"/>
        <w:spacing w:before="240" w:after="0"/>
        <w:jc w:val="both"/>
        <w:rPr>
          <w:rFonts w:ascii="Times New Roman" w:hAnsi="Times New Roman"/>
          <w:sz w:val="24"/>
        </w:rPr>
      </w:pPr>
      <w:bookmarkStart w:id="106" w:name="ex99_1toc528636_129"/>
      <w:bookmarkEnd w:id="106"/>
      <w:r>
        <w:rPr>
          <w:rFonts w:ascii="Times New Roman" w:hAnsi="Times New Roman"/>
          <w:b/>
          <w:sz w:val="24"/>
        </w:rPr>
        <w:t>SECTION 618.  Privacy Laws.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The parties acknowledge that federal and/or provincial legislation that addresses the protection of individuals’ personal information (collectively, “</w:t>
      </w:r>
      <w:r>
        <w:rPr>
          <w:rFonts w:ascii="Times New Roman" w:hAnsi="Times New Roman"/>
          <w:b/>
          <w:sz w:val="24"/>
        </w:rPr>
        <w:t>Privacy Laws</w:t>
      </w:r>
      <w:r>
        <w:rPr>
          <w:rFonts w:ascii="Times New Roman" w:hAnsi="Times New Roman"/>
          <w:sz w:val="24"/>
        </w:rPr>
        <w:t xml:space="preserve">”) applies to obligations and activities under this Indenture. Despite any other provision of this Indenture, neither party shall take or direct any action that would contravene, or cause the other to contravene, applicable Privacy Laws. The Company shall, prior to transferring or causing to be transferred personal information to the Trustees, obtain and retain required consents of the relevant individuals to the collection, use and disclosure of their personal information, or shall have determined that such consents either have previously been given upon which the parties can rely or are not required under the Privacy Laws. Each Trustee shall use commercially reasonable efforts to ensure that its services hereunder comply with Privacy Laws. Specifically, each Trustee agrees: (a) to have a designated chief privacy officer; (b) to maintain policies and procedures to protect personal information and to receive and respond to any privacy compliant or inquiry; (c) to use personal information solely for the purposes of providing its services under or ancillary to this Indenture and not to use it for any other purpose except with the consent of or direction from the Company or the individual involved; (d) not to sell or otherwise improperly disclose personal information to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- 57 -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any third party; and (e) to employ administrative, physical and technological safeguards to reasonably secure and protect personal information against loss, theft, or unauthorized access, use or modification. </w:t>
      </w:r>
    </w:p>
    <w:p>
      <w:pPr>
        <w:pStyle w:val="TextBody"/>
        <w:bidi w:val="0"/>
        <w:spacing w:before="240" w:after="0"/>
        <w:jc w:val="both"/>
        <w:rPr>
          <w:rFonts w:ascii="Times New Roman" w:hAnsi="Times New Roman"/>
          <w:sz w:val="24"/>
        </w:rPr>
      </w:pPr>
      <w:bookmarkStart w:id="107" w:name="ex99_1toc528636_130"/>
      <w:bookmarkEnd w:id="107"/>
      <w:r>
        <w:rPr>
          <w:rFonts w:ascii="Times New Roman" w:hAnsi="Times New Roman"/>
          <w:b/>
          <w:sz w:val="24"/>
        </w:rPr>
        <w:t>SECTION 619.  Force Majeure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In no event shall the Trustees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pandemics, epidemics, recognized public emergencies, quarantine restrictions, nuclear or natural catastrophes or acts of God, interruptions, loss or malfunctions of utilities, communications or computer (software and hardware) services; it being understood that the Trustees shall use reasonable efforts that are consistent with accepted practices in the banking industry to resume performance as soon as practicable under the circumstances.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SEVEN </w:t>
      </w:r>
    </w:p>
    <w:p>
      <w:pPr>
        <w:pStyle w:val="TextBody"/>
        <w:bidi w:val="0"/>
        <w:spacing w:before="240" w:after="0"/>
        <w:jc w:val="center"/>
        <w:rPr>
          <w:rFonts w:ascii="Times New Roman" w:hAnsi="Times New Roman"/>
          <w:b/>
          <w:sz w:val="24"/>
        </w:rPr>
      </w:pPr>
      <w:r>
        <w:rPr>
          <w:rFonts w:ascii="Times New Roman" w:hAnsi="Times New Roman"/>
          <w:b/>
          <w:sz w:val="24"/>
        </w:rPr>
        <w:t xml:space="preserve">HOLDERS’ LISTS AND REPORTS BY TRUSTEES AND COMPANY </w:t>
      </w:r>
    </w:p>
    <w:p>
      <w:pPr>
        <w:pStyle w:val="TextBody"/>
        <w:bidi w:val="0"/>
        <w:spacing w:before="240" w:after="0"/>
        <w:jc w:val="both"/>
        <w:rPr>
          <w:rFonts w:ascii="Times New Roman" w:hAnsi="Times New Roman"/>
          <w:sz w:val="24"/>
        </w:rPr>
      </w:pPr>
      <w:bookmarkStart w:id="108" w:name="ex99_1toc528636_134"/>
      <w:bookmarkEnd w:id="108"/>
      <w:r>
        <w:rPr>
          <w:rFonts w:ascii="Times New Roman" w:hAnsi="Times New Roman"/>
          <w:b/>
          <w:sz w:val="24"/>
        </w:rPr>
        <w:t>SECTION 701.  Disclosure of Names and Addresses of Holders.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(a) A Holder may, upon payment to either Trustee of a reasonable fee and subject to compliance with any applicable requirement of Trust Indenture Legislation, require such Trustee to furnish within 15 days after receiving the statutory declaration referred to below, a list setting out (i) the name and address of every registered Holder, (ii) the aggregate principal amount of Securities owned by each registered Holder, and (iii) the aggregate principal amount of Outstanding Securities, each as shown on the records of such Trustee on the day that the statutory declaration is delivered to such Trustee. The statutory declaration shall contain (i) the name and address of the Holder, (ii) where the Holder is a corporation, its name and address for service, and (iii) a statement that the list will not be used except in connection with an effort to influence the voting of the Holders, an offer to acquire Securities, or any other matter relating to the Securities or the affairs of the Company. Where the Holder is a corporation, the affidavit or statutory declaration shall be made by a director or officer of the corporation. </w:t>
      </w:r>
    </w:p>
    <w:p>
      <w:pPr>
        <w:pStyle w:val="TextBody"/>
        <w:bidi w:val="0"/>
        <w:spacing w:before="240" w:after="0"/>
        <w:jc w:val="both"/>
        <w:rPr>
          <w:rFonts w:ascii="Times New Roman" w:hAnsi="Times New Roman"/>
          <w:sz w:val="24"/>
        </w:rPr>
      </w:pPr>
      <w:r>
        <w:rPr>
          <w:rFonts w:ascii="Times New Roman" w:hAnsi="Times New Roman"/>
          <w:sz w:val="24"/>
        </w:rPr>
        <w:t xml:space="preserve">(b) Every Holder of Securities, by receiving and holding the same, agrees with the Company and the Trustee that none of the Company nor any Subsidiary Guarantor nor the Trustee or any agent of either of them shall be held accountable by reason of the disclosure of such list of the names and addresses of the Holders, regardless of the source from which such information was derived, and that the Trustees shall not be held accountable by reason of mailing any material pursuant to a request made under Trust Indenture Legislation. </w:t>
      </w:r>
    </w:p>
    <w:p>
      <w:pPr>
        <w:pStyle w:val="TextBody"/>
        <w:bidi w:val="0"/>
        <w:spacing w:before="240" w:after="0"/>
        <w:jc w:val="both"/>
        <w:rPr>
          <w:rFonts w:ascii="Times New Roman" w:hAnsi="Times New Roman"/>
          <w:sz w:val="24"/>
        </w:rPr>
      </w:pPr>
      <w:bookmarkStart w:id="109" w:name="ex99_1toc528636_135"/>
      <w:bookmarkEnd w:id="109"/>
      <w:r>
        <w:rPr>
          <w:rFonts w:ascii="Times New Roman" w:hAnsi="Times New Roman"/>
          <w:b/>
          <w:sz w:val="24"/>
        </w:rPr>
        <w:t>SECTION 702.  Reports by the Company.</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Company shall file with the Trustee such information, documents and other reports, and such summaries thereof, as may be required pursuant to the Trust Indenture Legislation at the times and in the manner provided pursuant to Trust Indenture Legislation. Any such information, documents or reports required to be filed with the Commission pursuant to Section 13 or 15(d) of the Exchange Act shall be filed with the Trustee, upon written request.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- 58 -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(b) In the event that the Company is not subject to the reporting requirements of Section 13 or 15(d) of the Exchange Act or otherwise does not file on an annual and quarterly basis on forms provided for such annual and quarterly reporting pursuant to the applicable rules and regulations promulgated by the Commission, the Company shall provide the Trustee: </w:t>
      </w:r>
    </w:p>
    <w:p>
      <w:pPr>
        <w:pStyle w:val="TextBody"/>
        <w:bidi w:val="0"/>
        <w:spacing w:before="240" w:after="0"/>
        <w:jc w:val="both"/>
        <w:rPr>
          <w:rFonts w:ascii="Times New Roman" w:hAnsi="Times New Roman"/>
          <w:sz w:val="24"/>
        </w:rPr>
      </w:pPr>
      <w:r>
        <w:rPr>
          <w:rFonts w:ascii="Times New Roman" w:hAnsi="Times New Roman"/>
          <w:sz w:val="24"/>
        </w:rPr>
        <w:t xml:space="preserve">(i) within 140 days after the end of each fiscal year, the information required to be contained in the Company’s annual information form required to be provided under the laws of Canada or any province thereof to security holders of a company with securities listed on The Toronto Stock Exchange whether or not the Company has securities so listed; and </w:t>
      </w:r>
    </w:p>
    <w:p>
      <w:pPr>
        <w:pStyle w:val="TextBody"/>
        <w:bidi w:val="0"/>
        <w:spacing w:before="240" w:after="0"/>
        <w:jc w:val="both"/>
        <w:rPr>
          <w:rFonts w:ascii="Times New Roman" w:hAnsi="Times New Roman"/>
          <w:sz w:val="24"/>
        </w:rPr>
      </w:pPr>
      <w:r>
        <w:rPr>
          <w:rFonts w:ascii="Times New Roman" w:hAnsi="Times New Roman"/>
          <w:sz w:val="24"/>
        </w:rPr>
        <w:t xml:space="preserve">(ii) within 60 days after the end of each of the first three fiscal quarters of each fiscal year, the information required to be contained in reports in the Company’s quarterly reports required to be provided under the laws of Canada or any province thereof to security holders of a company with securities listed on The Toronto Stock Exchange, whether or not the Company has any of its securities so listed. </w:t>
      </w:r>
    </w:p>
    <w:p>
      <w:pPr>
        <w:pStyle w:val="TextBody"/>
        <w:bidi w:val="0"/>
        <w:spacing w:before="240" w:after="0"/>
        <w:jc w:val="both"/>
        <w:rPr>
          <w:rFonts w:ascii="Times New Roman" w:hAnsi="Times New Roman"/>
          <w:sz w:val="24"/>
        </w:rPr>
      </w:pPr>
      <w:r>
        <w:rPr>
          <w:rFonts w:ascii="Times New Roman" w:hAnsi="Times New Roman"/>
          <w:sz w:val="24"/>
        </w:rPr>
        <w:t xml:space="preserve">Such information will be prepared in accordance with U.S. or Canadian disclosure requirements, as applicable, and GAAP. Notwithstanding the foregoing, such forms and information shall be deemed provided to the Trustee pursuant to this clause (b) if such forms and information have been filed by the Company with the Commission or applicable Canadian securities regulatory authorities and are publicly available. Upon receipt of such reports, the Trustee shall, while such reports are current, maintain custody of same and make same available for inspection by Holders on their reasonable request. No obligation shall rest with the Trustee to analyze such reports or evaluate the performance of the Company as indicated therein, in any manner whatsoever. </w:t>
      </w:r>
    </w:p>
    <w:p>
      <w:pPr>
        <w:pStyle w:val="TextBody"/>
        <w:bidi w:val="0"/>
        <w:spacing w:before="240" w:after="0"/>
        <w:jc w:val="both"/>
        <w:rPr>
          <w:rFonts w:ascii="Times New Roman" w:hAnsi="Times New Roman"/>
          <w:sz w:val="24"/>
        </w:rPr>
      </w:pPr>
      <w:r>
        <w:rPr>
          <w:rFonts w:ascii="Times New Roman" w:hAnsi="Times New Roman"/>
          <w:sz w:val="24"/>
        </w:rPr>
        <w:t xml:space="preserve">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EIGHT </w:t>
      </w:r>
    </w:p>
    <w:p>
      <w:pPr>
        <w:pStyle w:val="TextBody"/>
        <w:bidi w:val="0"/>
        <w:spacing w:before="240" w:after="0"/>
        <w:jc w:val="center"/>
        <w:rPr>
          <w:rFonts w:ascii="Times New Roman" w:hAnsi="Times New Roman"/>
          <w:b/>
          <w:sz w:val="24"/>
        </w:rPr>
      </w:pPr>
      <w:r>
        <w:rPr>
          <w:rFonts w:ascii="Times New Roman" w:hAnsi="Times New Roman"/>
          <w:b/>
          <w:sz w:val="24"/>
        </w:rPr>
        <w:t xml:space="preserve">CONSOLIDATION, MERGER, CONVEYANCE, TRANSFER OR LEASE </w:t>
      </w:r>
    </w:p>
    <w:p>
      <w:pPr>
        <w:pStyle w:val="TextBody"/>
        <w:bidi w:val="0"/>
        <w:spacing w:before="240" w:after="0"/>
        <w:jc w:val="both"/>
        <w:rPr>
          <w:rFonts w:ascii="Times New Roman" w:hAnsi="Times New Roman"/>
          <w:sz w:val="24"/>
        </w:rPr>
      </w:pPr>
      <w:bookmarkStart w:id="110" w:name="ex99_1toc528636_139"/>
      <w:bookmarkEnd w:id="110"/>
      <w:r>
        <w:rPr>
          <w:rFonts w:ascii="Times New Roman" w:hAnsi="Times New Roman"/>
          <w:b/>
          <w:sz w:val="24"/>
        </w:rPr>
        <w:t>SECTION 801.  Company May Consolidate, etc., Only on Certain Terms.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The Company shall not amalgamate or consolidate with or merge into any other Person or convey, transfer or lease its properties and assets substantially as an entirety to any Person, unless: </w:t>
      </w:r>
    </w:p>
    <w:p>
      <w:pPr>
        <w:pStyle w:val="TextBody"/>
        <w:bidi w:val="0"/>
        <w:spacing w:before="240" w:after="0"/>
        <w:jc w:val="both"/>
        <w:rPr>
          <w:rFonts w:ascii="Times New Roman" w:hAnsi="Times New Roman"/>
          <w:sz w:val="24"/>
        </w:rPr>
      </w:pPr>
      <w:r>
        <w:rPr>
          <w:rFonts w:ascii="Times New Roman" w:hAnsi="Times New Roman"/>
          <w:sz w:val="24"/>
        </w:rPr>
        <w:t xml:space="preserve">(a) the Person formed by such consolidation or amalgamation or into which the Company is merged or the Person which acquires by conveyance or transfer, or which leases, the properties and assets of the Company as an entirety or substantially as an entirety shall expressly assume, by an indenture supplemental hereto, executed and delivered to the Trustee, in form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- 59 -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satisfactory to the Trustee, the Company’s obligation for the due and punctual payment of the principal of (and premium, if any), including any Redemption Price, and interest on all the Securities and the performance of every covenant of this Indenture on the part of the Company to be performed or observed; </w:t>
      </w:r>
    </w:p>
    <w:p>
      <w:pPr>
        <w:pStyle w:val="TextBody"/>
        <w:bidi w:val="0"/>
        <w:spacing w:before="240" w:after="0"/>
        <w:jc w:val="both"/>
        <w:rPr>
          <w:rFonts w:ascii="Times New Roman" w:hAnsi="Times New Roman"/>
          <w:sz w:val="24"/>
        </w:rPr>
      </w:pPr>
      <w:r>
        <w:rPr>
          <w:rFonts w:ascii="Times New Roman" w:hAnsi="Times New Roman"/>
          <w:sz w:val="24"/>
        </w:rPr>
        <w:t xml:space="preserve">(b) immediately after giving effect to such transaction, no Event of Default, and no event which, after notice or lapse of time or both, would become an Event of Default, shall have happened and be continuing; and </w:t>
      </w:r>
    </w:p>
    <w:p>
      <w:pPr>
        <w:pStyle w:val="TextBody"/>
        <w:bidi w:val="0"/>
        <w:spacing w:before="240" w:after="0"/>
        <w:jc w:val="both"/>
        <w:rPr>
          <w:rFonts w:ascii="Times New Roman" w:hAnsi="Times New Roman"/>
          <w:sz w:val="24"/>
        </w:rPr>
      </w:pPr>
      <w:r>
        <w:rPr>
          <w:rFonts w:ascii="Times New Roman" w:hAnsi="Times New Roman"/>
          <w:sz w:val="24"/>
        </w:rPr>
        <w:t xml:space="preserve">(c) the Company or such Person shall have delivered to the Trustee an Officer’s Certificate and an Opinion of Counsel, each stating that such amalgamation, consolidation, merger, conveyance, transfer or lease and such supplemental indenture comply with this Article and that all conditions precedent herein provided for relating to such transaction have been complied with. </w:t>
      </w:r>
    </w:p>
    <w:p>
      <w:pPr>
        <w:pStyle w:val="TextBody"/>
        <w:bidi w:val="0"/>
        <w:spacing w:before="240" w:after="0"/>
        <w:jc w:val="both"/>
        <w:rPr>
          <w:rFonts w:ascii="Times New Roman" w:hAnsi="Times New Roman"/>
          <w:sz w:val="24"/>
        </w:rPr>
      </w:pPr>
      <w:bookmarkStart w:id="111" w:name="ex99_1toc528636_140"/>
      <w:bookmarkEnd w:id="111"/>
      <w:r>
        <w:rPr>
          <w:rFonts w:ascii="Times New Roman" w:hAnsi="Times New Roman"/>
          <w:b/>
          <w:sz w:val="24"/>
        </w:rPr>
        <w:t>SECTION 802.  Successor Person Substituted.</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Upon any amalgamation or consolidation by the Company with or merger by the Company into any other corporation or any conveyance, transfer or lease of the properties and assets of the Company substantially as an entirety to any Person in accordance with Section 801, the successor Person formed by such amalgamation or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in the event of any such conveyance or transfer, the Company (which term shall for this purpose mean the Person named as “Company” in the first paragraph of this Indenture or any successor Person which shall theretofore become such in the manner described in Section 801), except in the case of a lease, shall be discharged of all obligations and covenants under this Indenture and the Securities and may be dissolved and liquidated. </w:t>
      </w:r>
    </w:p>
    <w:p>
      <w:pPr>
        <w:pStyle w:val="TextBody"/>
        <w:bidi w:val="0"/>
        <w:spacing w:before="240" w:after="0"/>
        <w:jc w:val="both"/>
        <w:rPr>
          <w:rFonts w:ascii="Times New Roman" w:hAnsi="Times New Roman"/>
          <w:sz w:val="24"/>
        </w:rPr>
      </w:pPr>
      <w:bookmarkStart w:id="112" w:name="ex99_1toc528636_141"/>
      <w:bookmarkEnd w:id="112"/>
      <w:r>
        <w:rPr>
          <w:rFonts w:ascii="Times New Roman" w:hAnsi="Times New Roman"/>
          <w:b/>
          <w:sz w:val="24"/>
        </w:rPr>
        <w:t>SECTION 803.  Securities to Be Secured in Certain Events.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If, as a result of any amalgamation or consolidation of the Company with or merger of the Company with any other Person, or upon any conveyance, lease or transfer of the property of the Company as an entirety or substantially as an entirety to any other Person, any properties or assets of the Company would become subject to a mortgage, pledge, charge, security interest or other encumbrance securing Debt, then unless such mortgage, pledge, charge, security interest or other encumbrance could be created without equally and ratably securing the Securities under this Indenture and any supplemental indenture thereto applicable to such series of Securities, the Company or such successor Person, as the case may be, prior to or simultaneously with such amalgamation, consolidation, merger, conveyance, lease or transfer, will, with respect to such properties or assets, secure the Securities Outstanding hereunder (together with, if the Company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- 60 -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shall so determine, any other Debt of the Company now existing or hereafter created which is not subordinate to the Securities) equally and ratably with (or prior to) all such Debt which upon such amalgamation, consolidation, merger, conveyance, lease or transfer is to become secured as to such properties or assets, or will cause such Securities to be so secured; provided that for the purpose of providing such equal and rateable or prior security, the principal amount of Original Issue Discount Securities and Indexed Securities shall mean that amount which would at the time of making such effective provision be due and payable pursuant to Section 503 and the terms of such Original Issue Discount Securities and Indexed Securities upon a declaration of acceleration of the Maturity thereof, and the extent of such equal and ratable security shall be adjusted, to the extent permitted by law, as and when said amount changes over time pursuant to the terms of such Original Issue Discount Securities and Indexed Securities.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NINE </w:t>
      </w:r>
    </w:p>
    <w:p>
      <w:pPr>
        <w:pStyle w:val="TextBody"/>
        <w:bidi w:val="0"/>
        <w:spacing w:before="240" w:after="0"/>
        <w:jc w:val="center"/>
        <w:rPr>
          <w:rFonts w:ascii="Times New Roman" w:hAnsi="Times New Roman"/>
          <w:b/>
          <w:sz w:val="24"/>
        </w:rPr>
      </w:pPr>
      <w:r>
        <w:rPr>
          <w:rFonts w:ascii="Times New Roman" w:hAnsi="Times New Roman"/>
          <w:b/>
          <w:sz w:val="24"/>
        </w:rPr>
        <w:t xml:space="preserve">SUPPLEMENTAL INDENTURES </w:t>
      </w:r>
    </w:p>
    <w:p>
      <w:pPr>
        <w:pStyle w:val="TextBody"/>
        <w:bidi w:val="0"/>
        <w:spacing w:before="240" w:after="0"/>
        <w:jc w:val="both"/>
        <w:rPr>
          <w:rFonts w:ascii="Times New Roman" w:hAnsi="Times New Roman"/>
          <w:sz w:val="24"/>
        </w:rPr>
      </w:pPr>
      <w:bookmarkStart w:id="113" w:name="ex99_1toc528636_145"/>
      <w:bookmarkEnd w:id="113"/>
      <w:r>
        <w:rPr>
          <w:rFonts w:ascii="Times New Roman" w:hAnsi="Times New Roman"/>
          <w:b/>
          <w:sz w:val="24"/>
        </w:rPr>
        <w:t>SECTION 901.  Supplemental Indentures Without Consent of Holders.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(a) Without the consent of any Holders, the Company and the applicable Trustee (and any applicable Subsidiary Guarantor, solely in the case of supplemental indentures establishing the form or terms of any series of Securities pursuant to Section 901(a)(7) or adding or evidencing the succession of a Subsidiary Guarantor or amending any covenant, right or power of such Subsidiary Guarantor under Section 901(a)(1), (2) or (3), at any time and from time to time, may enter into one or more indentures supplemental hereto, in form reasonably satisfactory to such Trustee, for any of the following purposes: </w:t>
      </w:r>
    </w:p>
    <w:p>
      <w:pPr>
        <w:pStyle w:val="TextBody"/>
        <w:bidi w:val="0"/>
        <w:spacing w:before="240" w:after="0"/>
        <w:jc w:val="both"/>
        <w:rPr>
          <w:rFonts w:ascii="Times New Roman" w:hAnsi="Times New Roman"/>
          <w:sz w:val="24"/>
        </w:rPr>
      </w:pPr>
      <w:r>
        <w:rPr>
          <w:rFonts w:ascii="Times New Roman" w:hAnsi="Times New Roman"/>
          <w:sz w:val="24"/>
        </w:rPr>
        <w:t xml:space="preserve">(1) to evidence the succession (or successive successors) of another Person to the Company or any Subsidiary Guarantor, as applicable, and the assumption by any such successor of the covenants and obligations of the Company or any Subsidiary Guarantor, as applicable, contained herein and in the Securities; or </w:t>
      </w:r>
    </w:p>
    <w:p>
      <w:pPr>
        <w:pStyle w:val="TextBody"/>
        <w:bidi w:val="0"/>
        <w:spacing w:before="240" w:after="0"/>
        <w:jc w:val="both"/>
        <w:rPr>
          <w:rFonts w:ascii="Times New Roman" w:hAnsi="Times New Roman"/>
          <w:sz w:val="24"/>
        </w:rPr>
      </w:pPr>
      <w:r>
        <w:rPr>
          <w:rFonts w:ascii="Times New Roman" w:hAnsi="Times New Roman"/>
          <w:sz w:val="24"/>
        </w:rPr>
        <w:t>(2) to evidence the addition of a co-obligor (each, a “</w:t>
      </w:r>
      <w:r>
        <w:rPr>
          <w:rFonts w:ascii="Times New Roman" w:hAnsi="Times New Roman"/>
          <w:b/>
          <w:sz w:val="24"/>
        </w:rPr>
        <w:t>Co-Obligor</w:t>
      </w:r>
      <w:r>
        <w:rPr>
          <w:rFonts w:ascii="Times New Roman" w:hAnsi="Times New Roman"/>
          <w:sz w:val="24"/>
        </w:rPr>
        <w:t xml:space="preserve">”) or one or more additional Subsidiary Guarantors in respect of any or all series of Securities, as may be permitted in accordance with the terms of such Securities; or </w:t>
      </w:r>
    </w:p>
    <w:p>
      <w:pPr>
        <w:pStyle w:val="TextBody"/>
        <w:bidi w:val="0"/>
        <w:spacing w:before="240" w:after="0"/>
        <w:jc w:val="both"/>
        <w:rPr>
          <w:rFonts w:ascii="Times New Roman" w:hAnsi="Times New Roman"/>
          <w:sz w:val="24"/>
        </w:rPr>
      </w:pPr>
      <w:r>
        <w:rPr>
          <w:rFonts w:ascii="Times New Roman" w:hAnsi="Times New Roman"/>
          <w:sz w:val="24"/>
        </w:rPr>
        <w:t xml:space="preserve">(3) to add to the covenants of the Company and any Subsidiary Guarantor for the benefit of the Holders of all or any series of Securities (and if such covenants are to be for the benefit of less than all series of Securities, stating that such covenants are being included solely for the benefit of such series) or to surrender any right or power herein conferred upon the Company or any Subsidiary Guarantor; or </w:t>
      </w:r>
    </w:p>
    <w:p>
      <w:pPr>
        <w:pStyle w:val="TextBody"/>
        <w:bidi w:val="0"/>
        <w:spacing w:before="240" w:after="0"/>
        <w:jc w:val="both"/>
        <w:rPr>
          <w:rFonts w:ascii="Times New Roman" w:hAnsi="Times New Roman"/>
          <w:sz w:val="24"/>
        </w:rPr>
      </w:pPr>
      <w:r>
        <w:rPr>
          <w:rFonts w:ascii="Times New Roman" w:hAnsi="Times New Roman"/>
          <w:sz w:val="24"/>
        </w:rPr>
        <w:t xml:space="preserve">(4) to add any additional Events of Default (and if such Events of Default are to be for the benefit of less than all series of Securities, stating that such Events of Default are being included solely for the benefit of such series); or </w:t>
      </w:r>
    </w:p>
    <w:p>
      <w:pPr>
        <w:pStyle w:val="TextBody"/>
        <w:bidi w:val="0"/>
        <w:spacing w:before="240" w:after="0"/>
        <w:jc w:val="both"/>
        <w:rPr>
          <w:rFonts w:ascii="Times New Roman" w:hAnsi="Times New Roman"/>
          <w:sz w:val="24"/>
        </w:rPr>
      </w:pPr>
      <w:r>
        <w:rPr>
          <w:rFonts w:ascii="Times New Roman" w:hAnsi="Times New Roman"/>
          <w:sz w:val="24"/>
        </w:rPr>
        <w:t xml:space="preserve">(5) to add to, change or eliminate any of the provisions of this Indenture with respect to one or more series; </w:t>
      </w:r>
      <w:r>
        <w:rPr>
          <w:rFonts w:ascii="Times New Roman" w:hAnsi="Times New Roman"/>
          <w:sz w:val="24"/>
          <w:u w:val="single"/>
        </w:rPr>
        <w:t>provided</w:t>
      </w:r>
      <w:r>
        <w:rPr>
          <w:rFonts w:ascii="Times New Roman" w:hAnsi="Times New Roman"/>
          <w:sz w:val="24"/>
        </w:rPr>
        <w:t xml:space="preserve"> that any such addition or change or elimination shall become effective only when there is no Security Outstanding of any series created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- 61 -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prior to the execution of such supplemental indenture which is entitled to the benefit of such provision; or </w:t>
      </w:r>
    </w:p>
    <w:p>
      <w:pPr>
        <w:pStyle w:val="TextBody"/>
        <w:bidi w:val="0"/>
        <w:spacing w:before="240" w:after="0"/>
        <w:jc w:val="both"/>
        <w:rPr>
          <w:rFonts w:ascii="Times New Roman" w:hAnsi="Times New Roman"/>
          <w:sz w:val="24"/>
        </w:rPr>
      </w:pPr>
      <w:r>
        <w:rPr>
          <w:rFonts w:ascii="Times New Roman" w:hAnsi="Times New Roman"/>
          <w:sz w:val="24"/>
        </w:rPr>
        <w:t xml:space="preserve">(6) to secure the Securities pursuant to the requirements of terms of such Securities or otherwise; or </w:t>
      </w:r>
    </w:p>
    <w:p>
      <w:pPr>
        <w:pStyle w:val="TextBody"/>
        <w:bidi w:val="0"/>
        <w:spacing w:before="240" w:after="0"/>
        <w:jc w:val="both"/>
        <w:rPr>
          <w:rFonts w:ascii="Times New Roman" w:hAnsi="Times New Roman"/>
          <w:sz w:val="24"/>
        </w:rPr>
      </w:pPr>
      <w:r>
        <w:rPr>
          <w:rFonts w:ascii="Times New Roman" w:hAnsi="Times New Roman"/>
          <w:sz w:val="24"/>
        </w:rPr>
        <w:t xml:space="preserve">(7) to establish the form or terms of Securities of any series as permitted by Sections 201 and 301; or </w:t>
      </w:r>
    </w:p>
    <w:p>
      <w:pPr>
        <w:pStyle w:val="TextBody"/>
        <w:bidi w:val="0"/>
        <w:spacing w:before="240" w:after="0"/>
        <w:jc w:val="both"/>
        <w:rPr>
          <w:rFonts w:ascii="Times New Roman" w:hAnsi="Times New Roman"/>
          <w:sz w:val="24"/>
        </w:rPr>
      </w:pPr>
      <w:r>
        <w:rPr>
          <w:rFonts w:ascii="Times New Roman" w:hAnsi="Times New Roman"/>
          <w:sz w:val="24"/>
        </w:rPr>
        <w:t xml:space="preserve">(8) to add or amend provisions for purposes of effecting the conversion or exchange of Securities or to facilitate issuances of Securities through the facilities of a Depositary other than DTC or CDS, to the extent permitted under the terms of such Securities as contemplated by Section 301; or </w:t>
      </w:r>
    </w:p>
    <w:p>
      <w:pPr>
        <w:pStyle w:val="TextBody"/>
        <w:bidi w:val="0"/>
        <w:spacing w:before="240" w:after="0"/>
        <w:jc w:val="both"/>
        <w:rPr>
          <w:rFonts w:ascii="Times New Roman" w:hAnsi="Times New Roman"/>
          <w:sz w:val="24"/>
        </w:rPr>
      </w:pPr>
      <w:r>
        <w:rPr>
          <w:rFonts w:ascii="Times New Roman" w:hAnsi="Times New Roman"/>
          <w:sz w:val="24"/>
        </w:rPr>
        <w:t xml:space="preserve">(9) to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609(b); or </w:t>
      </w:r>
    </w:p>
    <w:p>
      <w:pPr>
        <w:pStyle w:val="TextBody"/>
        <w:bidi w:val="0"/>
        <w:spacing w:before="240" w:after="0"/>
        <w:jc w:val="both"/>
        <w:rPr>
          <w:rFonts w:ascii="Times New Roman" w:hAnsi="Times New Roman"/>
          <w:sz w:val="24"/>
        </w:rPr>
      </w:pPr>
      <w:r>
        <w:rPr>
          <w:rFonts w:ascii="Times New Roman" w:hAnsi="Times New Roman"/>
          <w:sz w:val="24"/>
        </w:rPr>
        <w:t xml:space="preserve">(10) to close this Indenture with respect to the issuance, authentication and delivery of additional series of Securities, to cure any ambiguity, to correct or supplement any provision herein which may be defective or inconsistent with any other provision herein, or to make any other provisions with respect to matters or questions arising under this Indenture; </w:t>
      </w:r>
      <w:r>
        <w:rPr>
          <w:rFonts w:ascii="Times New Roman" w:hAnsi="Times New Roman"/>
          <w:sz w:val="24"/>
          <w:u w:val="single"/>
        </w:rPr>
        <w:t>provided</w:t>
      </w:r>
      <w:r>
        <w:rPr>
          <w:rFonts w:ascii="Times New Roman" w:hAnsi="Times New Roman"/>
          <w:sz w:val="24"/>
        </w:rPr>
        <w:t xml:space="preserve"> such action shall not adversely affect the interests of the Holders of Securities of any series in any material respect; or </w:t>
      </w:r>
    </w:p>
    <w:p>
      <w:pPr>
        <w:pStyle w:val="TextBody"/>
        <w:bidi w:val="0"/>
        <w:spacing w:before="240" w:after="0"/>
        <w:jc w:val="both"/>
        <w:rPr>
          <w:rFonts w:ascii="Times New Roman" w:hAnsi="Times New Roman"/>
          <w:sz w:val="24"/>
        </w:rPr>
      </w:pPr>
      <w:r>
        <w:rPr>
          <w:rFonts w:ascii="Times New Roman" w:hAnsi="Times New Roman"/>
          <w:sz w:val="24"/>
        </w:rPr>
        <w:t xml:space="preserve">(11) to add to the conditions, limitations and restrictions on the authorized amount, form, terms or purposes of issue, authentication and delivery of Securities, as herein set forth, other conditions, limitations and restrictions thereafter to be observed, </w:t>
      </w:r>
      <w:r>
        <w:rPr>
          <w:rFonts w:ascii="Times New Roman" w:hAnsi="Times New Roman"/>
          <w:sz w:val="24"/>
          <w:u w:val="single"/>
        </w:rPr>
        <w:t>provided</w:t>
      </w:r>
      <w:r>
        <w:rPr>
          <w:rFonts w:ascii="Times New Roman" w:hAnsi="Times New Roman"/>
          <w:sz w:val="24"/>
        </w:rPr>
        <w:t xml:space="preserve"> that any such action shall not adversely affect the interests of Holders of Securities of such series or any other series of Securities in any material respect; or </w:t>
      </w:r>
    </w:p>
    <w:p>
      <w:pPr>
        <w:pStyle w:val="TextBody"/>
        <w:bidi w:val="0"/>
        <w:spacing w:before="240" w:after="0"/>
        <w:jc w:val="both"/>
        <w:rPr>
          <w:rFonts w:ascii="Times New Roman" w:hAnsi="Times New Roman"/>
          <w:sz w:val="24"/>
        </w:rPr>
      </w:pPr>
      <w:r>
        <w:rPr>
          <w:rFonts w:ascii="Times New Roman" w:hAnsi="Times New Roman"/>
          <w:sz w:val="24"/>
        </w:rPr>
        <w:t xml:space="preserve">(12) to supplement any of the provisions of this Indenture to such extent as shall be necessary to permit or facilitate the defeasance and discharge of any series of Securities pursuant to Sections 401, 1202 and 1203; </w:t>
      </w:r>
      <w:r>
        <w:rPr>
          <w:rFonts w:ascii="Times New Roman" w:hAnsi="Times New Roman"/>
          <w:sz w:val="24"/>
          <w:u w:val="single"/>
        </w:rPr>
        <w:t>provided</w:t>
      </w:r>
      <w:r>
        <w:rPr>
          <w:rFonts w:ascii="Times New Roman" w:hAnsi="Times New Roman"/>
          <w:sz w:val="24"/>
        </w:rPr>
        <w:t xml:space="preserve"> that any such action shall not adversely affect the interests of the Holders of Securities of such series or any other series of Securities in any material respect; or </w:t>
      </w:r>
    </w:p>
    <w:p>
      <w:pPr>
        <w:pStyle w:val="TextBody"/>
        <w:bidi w:val="0"/>
        <w:spacing w:before="240" w:after="0"/>
        <w:jc w:val="both"/>
        <w:rPr>
          <w:rFonts w:ascii="Times New Roman" w:hAnsi="Times New Roman"/>
          <w:sz w:val="24"/>
        </w:rPr>
      </w:pPr>
      <w:r>
        <w:rPr>
          <w:rFonts w:ascii="Times New Roman" w:hAnsi="Times New Roman"/>
          <w:sz w:val="24"/>
        </w:rPr>
        <w:t xml:space="preserve">(13) to add to or change or eliminate the provisions of this Indenture as shall be necessary to comply with Trust Indenture Legislation, </w:t>
      </w:r>
      <w:r>
        <w:rPr>
          <w:rFonts w:ascii="Times New Roman" w:hAnsi="Times New Roman"/>
          <w:sz w:val="24"/>
          <w:u w:val="single"/>
        </w:rPr>
        <w:t>provided</w:t>
      </w:r>
      <w:r>
        <w:rPr>
          <w:rFonts w:ascii="Times New Roman" w:hAnsi="Times New Roman"/>
          <w:sz w:val="24"/>
        </w:rPr>
        <w:t xml:space="preserve"> that any such action shall not adversely affect the interests of Holders of Securities of such series or any other series of Securities in any material respect; or </w:t>
      </w:r>
    </w:p>
    <w:p>
      <w:pPr>
        <w:pStyle w:val="TextBody"/>
        <w:bidi w:val="0"/>
        <w:spacing w:before="240" w:after="0"/>
        <w:jc w:val="both"/>
        <w:rPr>
          <w:rFonts w:ascii="Times New Roman" w:hAnsi="Times New Roman"/>
          <w:sz w:val="24"/>
        </w:rPr>
      </w:pPr>
      <w:r>
        <w:rPr>
          <w:rFonts w:ascii="Times New Roman" w:hAnsi="Times New Roman"/>
          <w:sz w:val="24"/>
        </w:rPr>
        <w:t xml:space="preserve">(14) to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- 62 -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(15) to conform the text of this Indenture or the terms of the Securities of any series to any corresponding provision of the prospectus, prospectus supplement, offering memorandum, offering circular, term sheet or other document pursuant to which such Securities were offered and setting forth the final terms of such Securities as evidenced in an Officer’s Certificate; or </w:t>
      </w:r>
    </w:p>
    <w:p>
      <w:pPr>
        <w:pStyle w:val="TextBody"/>
        <w:bidi w:val="0"/>
        <w:spacing w:before="240" w:after="0"/>
        <w:jc w:val="both"/>
        <w:rPr>
          <w:rFonts w:ascii="Times New Roman" w:hAnsi="Times New Roman"/>
          <w:sz w:val="24"/>
        </w:rPr>
      </w:pPr>
      <w:r>
        <w:rPr>
          <w:rFonts w:ascii="Times New Roman" w:hAnsi="Times New Roman"/>
          <w:sz w:val="24"/>
        </w:rPr>
        <w:t xml:space="preserve">(16) to make any other change that does not adversely affect the interests of Holders of Securities of any series in any material respect. </w:t>
      </w:r>
    </w:p>
    <w:p>
      <w:pPr>
        <w:pStyle w:val="TextBody"/>
        <w:bidi w:val="0"/>
        <w:spacing w:before="240" w:after="0"/>
        <w:jc w:val="both"/>
        <w:rPr>
          <w:rFonts w:ascii="Times New Roman" w:hAnsi="Times New Roman"/>
          <w:sz w:val="24"/>
        </w:rPr>
      </w:pPr>
      <w:r>
        <w:rPr>
          <w:rFonts w:ascii="Times New Roman" w:hAnsi="Times New Roman"/>
          <w:sz w:val="24"/>
        </w:rPr>
        <w:t xml:space="preserve">For greater certainty, a Subsidiary Guarantor shall not be required to enter into any supplemental indenture hereto, other than in the case of any supplemental indenture establishing the form or terms of any series of Securities pursuant to Section 901(a)(7) or adding or evidencing the succession of a Subsidiary Guarantor or amending any covenant, right or power of such Subsidiary Guarantor pursuant to Section 901(a)(1), (2) or (3) above. </w:t>
      </w:r>
    </w:p>
    <w:p>
      <w:pPr>
        <w:pStyle w:val="TextBody"/>
        <w:bidi w:val="0"/>
        <w:spacing w:before="240" w:after="0"/>
        <w:jc w:val="both"/>
        <w:rPr>
          <w:rFonts w:ascii="Times New Roman" w:hAnsi="Times New Roman"/>
          <w:sz w:val="24"/>
        </w:rPr>
      </w:pPr>
      <w:bookmarkStart w:id="114" w:name="ex99_1toc528636_146"/>
      <w:bookmarkEnd w:id="114"/>
      <w:r>
        <w:rPr>
          <w:rFonts w:ascii="Times New Roman" w:hAnsi="Times New Roman"/>
          <w:b/>
          <w:sz w:val="24"/>
        </w:rPr>
        <w:t>SECTION 902.  Supplemental Indentures with Consent of Holders.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(a) With the consent of the Holders of not less than a majority in principal amount of all Outstanding Securities affected by such supplemental indenture, by Act of said Holders delivered to the Company and the Trustees, the Company and the Trustees (and any applicable Subsidiary Guarantor, solely in the case of supplemental indentures amending any covenant, right or power of such Subsidiary Guarantor under Section 902(a)(4)) may enter into an indenture or indentures supplemental hereto for the purpose of adding any provisions to or changing in any manner or eliminating any of the provisions of this Indenture or of modifying in any manner the rights of the Holders of Securities under this Indenture;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no such supplemental indenture shall, without the consent of the Holder of each Outstanding Security affected thereby, </w:t>
      </w:r>
    </w:p>
    <w:p>
      <w:pPr>
        <w:pStyle w:val="TextBody"/>
        <w:bidi w:val="0"/>
        <w:spacing w:before="240" w:after="0"/>
        <w:jc w:val="both"/>
        <w:rPr>
          <w:rFonts w:ascii="Times New Roman" w:hAnsi="Times New Roman"/>
          <w:sz w:val="24"/>
        </w:rPr>
      </w:pPr>
      <w:r>
        <w:rPr>
          <w:rFonts w:ascii="Times New Roman" w:hAnsi="Times New Roman"/>
          <w:sz w:val="24"/>
        </w:rPr>
        <w:t xml:space="preserve">(1) change the Stated Maturity of the principal of (or premium, if any) or any installment of interest on any Security, or reduce the principal amount thereof (or premium, if any) or the rate of interest, if any, thereon, or change any obligation of the Company to pay Additional Amounts contemplated by Section 1005 (except as contemplated by Section 801 and permitted by Section 901(a)), or reduce the amount of the principal of an Original Issue Discount Security of such series that would be due and payable upon a declaration of acceleration of the Maturity thereof pursuant to Section 503 or the amount thereof provable in bankruptcy pursuant to Section 505, or adversely affect any right of repayment at the option of any Holder of any Security, or change any Place of Payment where, or the Currency in which, any Security or any premium or interest thereon is payable, or impair the right to institute suit for the enforcement of any such payment on or after the Stated Maturity thereof (or, in the case of redemption at the option of the Holder, on or after the Redemption Date), or adversely affect any right to convert or exchange any Security as may be provided pursuant to Section 301 herein, or </w:t>
      </w:r>
    </w:p>
    <w:p>
      <w:pPr>
        <w:pStyle w:val="TextBody"/>
        <w:bidi w:val="0"/>
        <w:spacing w:before="240" w:after="0"/>
        <w:jc w:val="both"/>
        <w:rPr>
          <w:rFonts w:ascii="Times New Roman" w:hAnsi="Times New Roman"/>
          <w:sz w:val="24"/>
        </w:rPr>
      </w:pPr>
      <w:r>
        <w:rPr>
          <w:rFonts w:ascii="Times New Roman" w:hAnsi="Times New Roman"/>
          <w:sz w:val="24"/>
        </w:rPr>
        <w:t xml:space="preserve">(2) reduce the percentage in principal amount of the Outstanding Securities of any series, the consent of whose Holders is required for any such supplemental indenture, for any waiver of compliance with certain provisions of this Indenture or certain defaults hereunder and their consequences provided for in this Indenture, or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- 63 -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(3) modify any of the provisions of this Section, Section 514 or Section 1007, except to increase any such percentage or to provide that certain other provisions of this Indenture cannot be modified or waived without the consent of the Holder of each Outstanding Security of such series affected thereby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this clause shall not be deemed to require the consent of any Holder of a Security of such series with respect to changes in the references to “the Trustee” and concomitant changes in this Section and Section 1007, or the deletion of this proviso, in accordance with the requirements of Sections 609(b) and 901(a)(9); </w:t>
      </w:r>
    </w:p>
    <w:p>
      <w:pPr>
        <w:pStyle w:val="TextBody"/>
        <w:bidi w:val="0"/>
        <w:spacing w:before="240" w:after="0"/>
        <w:jc w:val="both"/>
        <w:rPr>
          <w:rFonts w:ascii="Times New Roman" w:hAnsi="Times New Roman"/>
          <w:sz w:val="24"/>
        </w:rPr>
      </w:pPr>
      <w:r>
        <w:rPr>
          <w:rFonts w:ascii="Times New Roman" w:hAnsi="Times New Roman"/>
          <w:sz w:val="24"/>
        </w:rPr>
        <w:t xml:space="preserve">(4) amend or modify the provisions of Article Thirteen governing the Guarantee of the Subsidiary Guarantors in a manner that reduces the terms and conditions of any obligations of the Subsidiary Guarantors in respect of the due and punctual payment of principal, premium, if any, Additional Amounts, if any, and interest of any Securities, </w:t>
      </w:r>
      <w:r>
        <w:rPr>
          <w:rFonts w:ascii="Times New Roman" w:hAnsi="Times New Roman"/>
          <w:sz w:val="24"/>
          <w:u w:val="single"/>
        </w:rPr>
        <w:t>provided</w:t>
      </w:r>
      <w:r>
        <w:rPr>
          <w:rFonts w:ascii="Times New Roman" w:hAnsi="Times New Roman"/>
          <w:sz w:val="24"/>
        </w:rPr>
        <w:t xml:space="preserve">, in each case, that this requirement shall not prohibit the release of any obligations of any Subsidiary Guarantor in accordance with the terms of this Indenture. </w:t>
      </w:r>
    </w:p>
    <w:p>
      <w:pPr>
        <w:pStyle w:val="TextBody"/>
        <w:bidi w:val="0"/>
        <w:spacing w:before="240" w:after="0"/>
        <w:jc w:val="both"/>
        <w:rPr>
          <w:rFonts w:ascii="Times New Roman" w:hAnsi="Times New Roman"/>
          <w:sz w:val="24"/>
        </w:rPr>
      </w:pPr>
      <w:r>
        <w:rPr>
          <w:rFonts w:ascii="Times New Roman" w:hAnsi="Times New Roman"/>
          <w:sz w:val="24"/>
        </w:rPr>
        <w:t xml:space="preserve">(b) A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Any such supplemental indenture adding any provisions to or changing in any manner or eliminating any of the provisions of this Indenture or modifying in any manner the rights of the Holders of Securities of such series, shall not affect the rights under this Indenture of the Holders of Securities of any other series. </w:t>
      </w:r>
    </w:p>
    <w:p>
      <w:pPr>
        <w:pStyle w:val="TextBody"/>
        <w:bidi w:val="0"/>
        <w:spacing w:before="240" w:after="0"/>
        <w:jc w:val="both"/>
        <w:rPr>
          <w:rFonts w:ascii="Times New Roman" w:hAnsi="Times New Roman"/>
          <w:sz w:val="24"/>
        </w:rPr>
      </w:pPr>
      <w:r>
        <w:rPr>
          <w:rFonts w:ascii="Times New Roman" w:hAnsi="Times New Roman"/>
          <w:sz w:val="24"/>
        </w:rPr>
        <w:t xml:space="preserve">(c) It shall not be necessary for any Act of Holders under this Section to approve the particular form of any proposed supplemental indenture, but it shall be sufficient if such Act shall approve the substance thereof. </w:t>
      </w:r>
    </w:p>
    <w:p>
      <w:pPr>
        <w:pStyle w:val="TextBody"/>
        <w:bidi w:val="0"/>
        <w:spacing w:before="240" w:after="0"/>
        <w:jc w:val="both"/>
        <w:rPr>
          <w:rFonts w:ascii="Times New Roman" w:hAnsi="Times New Roman"/>
          <w:b/>
          <w:sz w:val="24"/>
        </w:rPr>
      </w:pPr>
      <w:bookmarkStart w:id="115" w:name="ex99_1toc528636_147"/>
      <w:bookmarkEnd w:id="115"/>
      <w:r>
        <w:rPr>
          <w:rFonts w:ascii="Times New Roman" w:hAnsi="Times New Roman"/>
          <w:b/>
          <w:sz w:val="24"/>
        </w:rPr>
        <w:t xml:space="preserve">SECTION 903. Execution of Supplemental Indentures. </w:t>
      </w:r>
    </w:p>
    <w:p>
      <w:pPr>
        <w:pStyle w:val="TextBody"/>
        <w:bidi w:val="0"/>
        <w:spacing w:before="240" w:after="0"/>
        <w:jc w:val="both"/>
        <w:rPr>
          <w:rFonts w:ascii="Times New Roman" w:hAnsi="Times New Roman"/>
          <w:sz w:val="24"/>
        </w:rPr>
      </w:pPr>
      <w:r>
        <w:rPr>
          <w:rFonts w:ascii="Times New Roman" w:hAnsi="Times New Roman"/>
          <w:sz w:val="24"/>
        </w:rPr>
        <w:t xml:space="preserve">In executing, or accepting the additional trusts created by, any supplemental indenture permitted by this Article or the modifications thereby of the trusts created by this Indenture, the Trustee shall receive, and shall be fully protected in conclusively relying upon, an Opinion of Counsel stating that the execution of such supplemental indenture is authorized or permitted by this Indenture and is the legal, valid and binding obligation of the Company, enforceable against it in accordance with its terms. A Trustee may, but shall not be obligated to, enter into any such supplemental indenture which affects such Trustee’s own rights, duties or immunities under this Indenture or otherwise. </w:t>
      </w:r>
    </w:p>
    <w:p>
      <w:pPr>
        <w:pStyle w:val="TextBody"/>
        <w:bidi w:val="0"/>
        <w:spacing w:before="240" w:after="0"/>
        <w:jc w:val="both"/>
        <w:rPr>
          <w:rFonts w:ascii="Times New Roman" w:hAnsi="Times New Roman"/>
          <w:b/>
          <w:sz w:val="24"/>
        </w:rPr>
      </w:pPr>
      <w:bookmarkStart w:id="116" w:name="ex99_1toc528636_148"/>
      <w:bookmarkEnd w:id="116"/>
      <w:r>
        <w:rPr>
          <w:rFonts w:ascii="Times New Roman" w:hAnsi="Times New Roman"/>
          <w:b/>
          <w:sz w:val="24"/>
        </w:rPr>
        <w:t xml:space="preserve">SECTION 904. Effect of Supplemental Indentures. </w:t>
      </w:r>
    </w:p>
    <w:p>
      <w:pPr>
        <w:pStyle w:val="TextBody"/>
        <w:bidi w:val="0"/>
        <w:spacing w:before="240" w:after="0"/>
        <w:jc w:val="both"/>
        <w:rPr>
          <w:rFonts w:ascii="Times New Roman" w:hAnsi="Times New Roman"/>
          <w:sz w:val="24"/>
        </w:rPr>
      </w:pPr>
      <w:r>
        <w:rPr>
          <w:rFonts w:ascii="Times New Roman" w:hAnsi="Times New Roman"/>
          <w:sz w:val="24"/>
        </w:rPr>
        <w:t xml:space="preserve">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- 64 - </w:t>
      </w:r>
    </w:p>
    <w:p>
      <w:pPr>
        <w:pStyle w:val="TextBody"/>
        <w:bidi w:val="0"/>
        <w:spacing w:before="0" w:after="0"/>
        <w:jc w:val="left"/>
        <w:rPr/>
      </w:pPr>
      <w:r>
        <w:rPr/>
        <w:t> </w:t>
      </w:r>
    </w:p>
    <w:p>
      <w:pPr>
        <w:pStyle w:val="TextBody"/>
        <w:bidi w:val="0"/>
        <w:spacing w:before="0" w:after="0"/>
        <w:jc w:val="both"/>
        <w:rPr>
          <w:rFonts w:ascii="Times New Roman" w:hAnsi="Times New Roman"/>
          <w:b/>
          <w:sz w:val="24"/>
        </w:rPr>
      </w:pPr>
      <w:bookmarkStart w:id="117" w:name="ex99_1toc528636_149"/>
      <w:bookmarkEnd w:id="117"/>
      <w:r>
        <w:rPr>
          <w:rFonts w:ascii="Times New Roman" w:hAnsi="Times New Roman"/>
          <w:b/>
          <w:sz w:val="24"/>
        </w:rPr>
        <w:t xml:space="preserve">SECTION 905. Conformity with Trust Indenture Legislation. </w:t>
      </w:r>
    </w:p>
    <w:p>
      <w:pPr>
        <w:pStyle w:val="TextBody"/>
        <w:bidi w:val="0"/>
        <w:spacing w:before="240" w:after="0"/>
        <w:jc w:val="both"/>
        <w:rPr>
          <w:rFonts w:ascii="Times New Roman" w:hAnsi="Times New Roman"/>
          <w:sz w:val="24"/>
        </w:rPr>
      </w:pPr>
      <w:r>
        <w:rPr>
          <w:rFonts w:ascii="Times New Roman" w:hAnsi="Times New Roman"/>
          <w:sz w:val="24"/>
        </w:rPr>
        <w:t xml:space="preserve">Every supplemental indenture executed pursuant to this Article shall conform to the requirements of the Trust Indenture Legislation as then in effect. </w:t>
      </w:r>
    </w:p>
    <w:p>
      <w:pPr>
        <w:pStyle w:val="TextBody"/>
        <w:bidi w:val="0"/>
        <w:spacing w:before="240" w:after="0"/>
        <w:jc w:val="both"/>
        <w:rPr>
          <w:rFonts w:ascii="Times New Roman" w:hAnsi="Times New Roman"/>
          <w:b/>
          <w:sz w:val="24"/>
        </w:rPr>
      </w:pPr>
      <w:bookmarkStart w:id="118" w:name="ex99_1toc528636_150"/>
      <w:bookmarkEnd w:id="118"/>
      <w:r>
        <w:rPr>
          <w:rFonts w:ascii="Times New Roman" w:hAnsi="Times New Roman"/>
          <w:b/>
          <w:sz w:val="24"/>
        </w:rPr>
        <w:t xml:space="preserve">SECTION 906. Reference in Securities to Supplemental Indentures. </w:t>
      </w:r>
    </w:p>
    <w:p>
      <w:pPr>
        <w:pStyle w:val="TextBody"/>
        <w:bidi w:val="0"/>
        <w:spacing w:before="240" w:after="0"/>
        <w:jc w:val="both"/>
        <w:rPr>
          <w:rFonts w:ascii="Times New Roman" w:hAnsi="Times New Roman"/>
          <w:sz w:val="24"/>
        </w:rPr>
      </w:pPr>
      <w:r>
        <w:rPr>
          <w:rFonts w:ascii="Times New Roman" w:hAnsi="Times New Roman"/>
          <w:sz w:val="24"/>
        </w:rPr>
        <w:t xml:space="preserve">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 </w:t>
      </w:r>
    </w:p>
    <w:p>
      <w:pPr>
        <w:pStyle w:val="TextBody"/>
        <w:bidi w:val="0"/>
        <w:spacing w:before="240" w:after="0"/>
        <w:jc w:val="both"/>
        <w:rPr>
          <w:rFonts w:ascii="Times New Roman" w:hAnsi="Times New Roman"/>
          <w:b/>
          <w:sz w:val="24"/>
        </w:rPr>
      </w:pPr>
      <w:bookmarkStart w:id="119" w:name="ex99_1toc528636_151"/>
      <w:bookmarkEnd w:id="119"/>
      <w:r>
        <w:rPr>
          <w:rFonts w:ascii="Times New Roman" w:hAnsi="Times New Roman"/>
          <w:b/>
          <w:sz w:val="24"/>
        </w:rPr>
        <w:t xml:space="preserve">SECTION 907. Notice of Supplemental Indentures. </w:t>
      </w:r>
    </w:p>
    <w:p>
      <w:pPr>
        <w:pStyle w:val="TextBody"/>
        <w:bidi w:val="0"/>
        <w:spacing w:before="240" w:after="0"/>
        <w:jc w:val="both"/>
        <w:rPr>
          <w:rFonts w:ascii="Times New Roman" w:hAnsi="Times New Roman"/>
          <w:sz w:val="24"/>
        </w:rPr>
      </w:pPr>
      <w:r>
        <w:rPr>
          <w:rFonts w:ascii="Times New Roman" w:hAnsi="Times New Roman"/>
          <w:sz w:val="24"/>
        </w:rPr>
        <w:t xml:space="preserve">Promptly after the execution by the Company and the Trustee of any supplemental indenture pursuant to the provisions of Section 902, the Company shall give notice thereof to the Holders of each Outstanding Security affected, in the manner provided for in Section 106, setting forth in general terms the substance of such supplemental indenture.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TEN </w:t>
      </w:r>
    </w:p>
    <w:p>
      <w:pPr>
        <w:pStyle w:val="TextBody"/>
        <w:bidi w:val="0"/>
        <w:spacing w:before="240" w:after="0"/>
        <w:jc w:val="center"/>
        <w:rPr>
          <w:rFonts w:ascii="Times New Roman" w:hAnsi="Times New Roman"/>
          <w:b/>
          <w:sz w:val="24"/>
        </w:rPr>
      </w:pPr>
      <w:r>
        <w:rPr>
          <w:rFonts w:ascii="Times New Roman" w:hAnsi="Times New Roman"/>
          <w:b/>
          <w:sz w:val="24"/>
        </w:rPr>
        <w:t xml:space="preserve">COVENANTS </w:t>
      </w:r>
    </w:p>
    <w:p>
      <w:pPr>
        <w:pStyle w:val="TextBody"/>
        <w:bidi w:val="0"/>
        <w:spacing w:before="240" w:after="0"/>
        <w:jc w:val="both"/>
        <w:rPr>
          <w:rFonts w:ascii="Times New Roman" w:hAnsi="Times New Roman"/>
          <w:b/>
          <w:sz w:val="24"/>
        </w:rPr>
      </w:pPr>
      <w:bookmarkStart w:id="120" w:name="ex99_1toc528636_155"/>
      <w:bookmarkEnd w:id="120"/>
      <w:r>
        <w:rPr>
          <w:rFonts w:ascii="Times New Roman" w:hAnsi="Times New Roman"/>
          <w:b/>
          <w:sz w:val="24"/>
        </w:rPr>
        <w:t xml:space="preserve">SECTION 1001. Payment of Principal, Premium, if any, and Interest. </w:t>
      </w:r>
    </w:p>
    <w:p>
      <w:pPr>
        <w:pStyle w:val="TextBody"/>
        <w:bidi w:val="0"/>
        <w:spacing w:before="240" w:after="0"/>
        <w:jc w:val="both"/>
        <w:rPr>
          <w:rFonts w:ascii="Times New Roman" w:hAnsi="Times New Roman"/>
          <w:sz w:val="24"/>
        </w:rPr>
      </w:pPr>
      <w:r>
        <w:rPr>
          <w:rFonts w:ascii="Times New Roman" w:hAnsi="Times New Roman"/>
          <w:sz w:val="24"/>
        </w:rPr>
        <w:t xml:space="preserve">The Company covenants and agrees for the benefit of the Holders of each series of Securities that it will duly and punctually pay, on or before each due date, the principal of (and premium, if any) and interest, if any, on the Securities of that series in accordance with the terms of the Securities and this Indenture. If payment is made on a due date, such payment shall be made by 11:00 a.m., New York City time, on such date. </w:t>
      </w:r>
    </w:p>
    <w:p>
      <w:pPr>
        <w:pStyle w:val="TextBody"/>
        <w:bidi w:val="0"/>
        <w:spacing w:before="240" w:after="0"/>
        <w:jc w:val="both"/>
        <w:rPr>
          <w:rFonts w:ascii="Times New Roman" w:hAnsi="Times New Roman"/>
          <w:b/>
          <w:sz w:val="24"/>
        </w:rPr>
      </w:pPr>
      <w:bookmarkStart w:id="121" w:name="ex99_1toc528636_156"/>
      <w:bookmarkEnd w:id="121"/>
      <w:r>
        <w:rPr>
          <w:rFonts w:ascii="Times New Roman" w:hAnsi="Times New Roman"/>
          <w:b/>
          <w:sz w:val="24"/>
        </w:rPr>
        <w:t xml:space="preserve">SECTION 1002. Maintenance of Office or Agency. </w:t>
      </w:r>
    </w:p>
    <w:p>
      <w:pPr>
        <w:pStyle w:val="TextBody"/>
        <w:bidi w:val="0"/>
        <w:spacing w:before="240" w:after="0"/>
        <w:jc w:val="both"/>
        <w:rPr>
          <w:rFonts w:ascii="Times New Roman" w:hAnsi="Times New Roman"/>
          <w:sz w:val="24"/>
        </w:rPr>
      </w:pPr>
      <w:r>
        <w:rPr>
          <w:rFonts w:ascii="Times New Roman" w:hAnsi="Times New Roman"/>
          <w:sz w:val="24"/>
        </w:rPr>
        <w:t xml:space="preserve">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w:t>
      </w:r>
    </w:p>
    <w:p>
      <w:pPr>
        <w:pStyle w:val="TextBody"/>
        <w:bidi w:val="0"/>
        <w:spacing w:before="240" w:after="0"/>
        <w:jc w:val="both"/>
        <w:rPr>
          <w:rFonts w:ascii="Times New Roman" w:hAnsi="Times New Roman"/>
          <w:sz w:val="24"/>
        </w:rPr>
      </w:pPr>
      <w:r>
        <w:rPr>
          <w:rFonts w:ascii="Times New Roman" w:hAnsi="Times New Roman"/>
          <w:sz w:val="24"/>
        </w:rPr>
        <w:t xml:space="preserve">The Company will give prompt written notice to the Trustees of the location, and any change in the location, of such office or agency. If at any time the Company shall fail to maintain any such required office or agency or shall fail to furnish the Trustees with the address thereof, such presentations, surrenders, notices and demands may be made or served at the Corporate Trust Offices of the Trustees.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- 65 -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The Company may also from time to time designate one or more other offices or agencies where the Securities of one or more series may be presented or surrendered for any or all such purposes and may from time to time rescind any such designation;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applicable Trustee of any such designation or rescission and of any change in the location of any such other office or agency. Unless otherwise specified with respect to any Securities as contemplated by Section 301, (i) with respect to a series of Securities for which DTC has been designated Depositary, the Company hereby designates as a Place of Payment for each series of Securities the office or agency of the Company in the Borough of Manhattan, The City of New York, and initially appoints the U.S. Trustee at its Corporate Trust Office as Paying Agent in such city and as its agent to receive all such presentations, surrenders, notices and demands, and (ii) with respect to a series of Securities for which CDS has been designated Depositary, the Company hereby designates as a Place of Payment for each series of Securities the office or agency of the Company in Toronto, Canada, and initially appoints the Canadian Trustee at its Corporate Trust Office as Paying Agent in such city and as its agents to receive all such presentations, surrenders, notices and demands. </w:t>
      </w:r>
    </w:p>
    <w:p>
      <w:pPr>
        <w:pStyle w:val="TextBody"/>
        <w:bidi w:val="0"/>
        <w:spacing w:before="240" w:after="0"/>
        <w:jc w:val="both"/>
        <w:rPr>
          <w:rFonts w:ascii="Times New Roman" w:hAnsi="Times New Roman"/>
          <w:sz w:val="24"/>
        </w:rPr>
      </w:pPr>
      <w:r>
        <w:rPr>
          <w:rFonts w:ascii="Times New Roman" w:hAnsi="Times New Roman"/>
          <w:sz w:val="24"/>
        </w:rPr>
        <w:t xml:space="preserve">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this Indenture, then the Company will maintain with respect to each such series of Securities, or as so required, at least one Exchange Rate Agent. </w:t>
      </w:r>
    </w:p>
    <w:p>
      <w:pPr>
        <w:pStyle w:val="TextBody"/>
        <w:bidi w:val="0"/>
        <w:spacing w:before="240" w:after="0"/>
        <w:jc w:val="both"/>
        <w:rPr>
          <w:rFonts w:ascii="Times New Roman" w:hAnsi="Times New Roman"/>
          <w:b/>
          <w:sz w:val="24"/>
        </w:rPr>
      </w:pPr>
      <w:bookmarkStart w:id="122" w:name="ex99_1toc528636_157"/>
      <w:bookmarkEnd w:id="122"/>
      <w:r>
        <w:rPr>
          <w:rFonts w:ascii="Times New Roman" w:hAnsi="Times New Roman"/>
          <w:b/>
          <w:sz w:val="24"/>
        </w:rPr>
        <w:t xml:space="preserve">SECTION 1003. Money for Securities Payments to Be Held in Trust. </w:t>
      </w:r>
    </w:p>
    <w:p>
      <w:pPr>
        <w:pStyle w:val="TextBody"/>
        <w:bidi w:val="0"/>
        <w:spacing w:before="240" w:after="0"/>
        <w:jc w:val="both"/>
        <w:rPr>
          <w:rFonts w:ascii="Times New Roman" w:hAnsi="Times New Roman"/>
          <w:sz w:val="24"/>
        </w:rPr>
      </w:pPr>
      <w:r>
        <w:rPr>
          <w:rFonts w:ascii="Times New Roman" w:hAnsi="Times New Roman"/>
          <w:sz w:val="24"/>
        </w:rPr>
        <w:t xml:space="preserve">(a) If the Company shall at any time act as its own Paying Agent with respect to any series of Securities, it will,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sufficient to pay the principal of (or premium, if any) or interest, if any, on Securities of such series so becoming due until such sums shall be paid to such Persons or otherwise disposed of as herein provided and will promptly notify the Trustee of its action or failure so to act. </w:t>
      </w:r>
    </w:p>
    <w:p>
      <w:pPr>
        <w:pStyle w:val="TextBody"/>
        <w:bidi w:val="0"/>
        <w:spacing w:before="240" w:after="0"/>
        <w:jc w:val="both"/>
        <w:rPr>
          <w:rFonts w:ascii="Times New Roman" w:hAnsi="Times New Roman"/>
          <w:sz w:val="24"/>
        </w:rPr>
      </w:pPr>
      <w:r>
        <w:rPr>
          <w:rFonts w:ascii="Times New Roman" w:hAnsi="Times New Roman"/>
          <w:sz w:val="24"/>
        </w:rPr>
        <w:t xml:space="preserve">(b) Whenever the Company shall have one or more Paying Agents for any series of Securities, it will, prior to or on each due date of the principal of (or premium, if any) or interest, if any, on any Securities of that series, deposit with a Paying Agent a sum (in the Currency described in the preceding paragraph) sufficient to pay the principal (or premium, if any) or interest, if any, so becoming due, such sum to be held in trust for the benefit of the Persons entitled to such principal, premium or interest, and (unless such Paying Agent is the Trustee) the Company will promptly notify the Trustee of its action or failure so to act. </w:t>
      </w:r>
    </w:p>
    <w:p>
      <w:pPr>
        <w:pStyle w:val="TextBody"/>
        <w:bidi w:val="0"/>
        <w:spacing w:before="240" w:after="0"/>
        <w:jc w:val="both"/>
        <w:rPr>
          <w:rFonts w:ascii="Times New Roman" w:hAnsi="Times New Roman"/>
          <w:sz w:val="24"/>
        </w:rPr>
      </w:pPr>
      <w:r>
        <w:rPr>
          <w:rFonts w:ascii="Times New Roman" w:hAnsi="Times New Roman"/>
          <w:sz w:val="24"/>
        </w:rPr>
        <w:t xml:space="preserve">(c) The Company will cause each Paying Agent (other than the Trustee) for any series of Securities to execute and deliver to the Trustee an instrument in which such Paying Agent shall agree with the Trustee, subject to the provisions of this Section, that such Paying Agent will: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- 66 -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(1) hold all sums held by it for the payment of the principal of (and premium, if any) and interest, if any, on Securities of such series in trust for the benefit of the Persons entitled thereto until such sums shall be paid to such Persons or otherwise disposed of as herein provided; </w:t>
      </w:r>
    </w:p>
    <w:p>
      <w:pPr>
        <w:pStyle w:val="TextBody"/>
        <w:bidi w:val="0"/>
        <w:spacing w:before="240" w:after="0"/>
        <w:jc w:val="both"/>
        <w:rPr>
          <w:rFonts w:ascii="Times New Roman" w:hAnsi="Times New Roman"/>
          <w:sz w:val="24"/>
        </w:rPr>
      </w:pPr>
      <w:r>
        <w:rPr>
          <w:rFonts w:ascii="Times New Roman" w:hAnsi="Times New Roman"/>
          <w:sz w:val="24"/>
        </w:rPr>
        <w:t xml:space="preserve">(2) give the Trustee notice of any default by the Company (or any other obligor upon the Securities of such series) in the making of any payment of principal of (or premium, if any) or interest, if any, on the Securities of such series; and </w:t>
      </w:r>
    </w:p>
    <w:p>
      <w:pPr>
        <w:pStyle w:val="TextBody"/>
        <w:bidi w:val="0"/>
        <w:spacing w:before="240" w:after="0"/>
        <w:jc w:val="both"/>
        <w:rPr>
          <w:rFonts w:ascii="Times New Roman" w:hAnsi="Times New Roman"/>
          <w:sz w:val="24"/>
        </w:rPr>
      </w:pPr>
      <w:r>
        <w:rPr>
          <w:rFonts w:ascii="Times New Roman" w:hAnsi="Times New Roman"/>
          <w:sz w:val="24"/>
        </w:rPr>
        <w:t xml:space="preserve">(3) at any time during the continuance of any such default, upon the written request of the Trustee, forthwith pay to the Trustee all sums so held in trust by such Paying Agent. </w:t>
      </w:r>
    </w:p>
    <w:p>
      <w:pPr>
        <w:pStyle w:val="TextBody"/>
        <w:bidi w:val="0"/>
        <w:spacing w:before="240" w:after="0"/>
        <w:jc w:val="both"/>
        <w:rPr>
          <w:rFonts w:ascii="Times New Roman" w:hAnsi="Times New Roman"/>
          <w:sz w:val="24"/>
        </w:rPr>
      </w:pPr>
      <w:r>
        <w:rPr>
          <w:rFonts w:ascii="Times New Roman" w:hAnsi="Times New Roman"/>
          <w:sz w:val="24"/>
        </w:rPr>
        <w:t xml:space="preserve">(d) The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sums were held by the Company or such Paying Agent; and, upon such payment by any Paying Agent to the Trustee, such Paying Agent shall be released from all further liability with respect to such sums. </w:t>
      </w:r>
    </w:p>
    <w:p>
      <w:pPr>
        <w:pStyle w:val="TextBody"/>
        <w:bidi w:val="0"/>
        <w:spacing w:before="240" w:after="0"/>
        <w:jc w:val="both"/>
        <w:rPr>
          <w:rFonts w:ascii="Times New Roman" w:hAnsi="Times New Roman"/>
          <w:sz w:val="24"/>
        </w:rPr>
      </w:pPr>
      <w:r>
        <w:rPr>
          <w:rFonts w:ascii="Times New Roman" w:hAnsi="Times New Roman"/>
          <w:sz w:val="24"/>
        </w:rPr>
        <w:t xml:space="preserve">(e) Except as provided in the Securities of any series, any money deposited with the Trustee or any Paying Agent, or then held by the Company, in trust for the payment of the principal of (or premium, if any) or interest, if any, on any Security of any series, and remaining unclaimed for two years after such principal, premium or interest has become due and payable shall be paid to the Company on Company Request subject to applicable abandoned property or escheat law,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 </w:t>
      </w:r>
    </w:p>
    <w:p>
      <w:pPr>
        <w:pStyle w:val="TextBody"/>
        <w:bidi w:val="0"/>
        <w:spacing w:before="240" w:after="0"/>
        <w:jc w:val="both"/>
        <w:rPr>
          <w:rFonts w:ascii="Times New Roman" w:hAnsi="Times New Roman"/>
          <w:b/>
          <w:sz w:val="24"/>
        </w:rPr>
      </w:pPr>
      <w:bookmarkStart w:id="123" w:name="ex99_1toc528636_158"/>
      <w:bookmarkEnd w:id="123"/>
      <w:r>
        <w:rPr>
          <w:rFonts w:ascii="Times New Roman" w:hAnsi="Times New Roman"/>
          <w:b/>
          <w:sz w:val="24"/>
        </w:rPr>
        <w:t xml:space="preserve">SECTION 1004. Statement as to Compliance. </w:t>
      </w:r>
    </w:p>
    <w:p>
      <w:pPr>
        <w:pStyle w:val="TextBody"/>
        <w:bidi w:val="0"/>
        <w:spacing w:before="240" w:after="0"/>
        <w:jc w:val="both"/>
        <w:rPr>
          <w:rFonts w:ascii="Times New Roman" w:hAnsi="Times New Roman"/>
          <w:sz w:val="24"/>
        </w:rPr>
      </w:pPr>
      <w:r>
        <w:rPr>
          <w:rFonts w:ascii="Times New Roman" w:hAnsi="Times New Roman"/>
          <w:sz w:val="24"/>
        </w:rPr>
        <w:t xml:space="preserve">So long as any of the Securities are Outstanding, each of the Company and the Subsidiary Guarantors will deliver to the Trustee, within 120 days after the end of each fiscal year, a brief certificate from the principal executive officer, principal financial officer, principal accounting officer or treasurer as to his or her knowledge of the Company’s or the Subsidiary Guarantor’s, as applicable, compliance with all conditions and covenants under this Indenture. For purposes of this Section 1004, such compliance shall be determined without regard to any period of grace or requirement of notice under this Indenture.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- 67 - </w:t>
      </w:r>
    </w:p>
    <w:p>
      <w:pPr>
        <w:pStyle w:val="TextBody"/>
        <w:bidi w:val="0"/>
        <w:spacing w:before="0" w:after="0"/>
        <w:jc w:val="left"/>
        <w:rPr/>
      </w:pPr>
      <w:r>
        <w:rPr/>
        <w:t> </w:t>
      </w:r>
    </w:p>
    <w:p>
      <w:pPr>
        <w:pStyle w:val="TextBody"/>
        <w:bidi w:val="0"/>
        <w:spacing w:before="0" w:after="0"/>
        <w:jc w:val="both"/>
        <w:rPr>
          <w:rFonts w:ascii="Times New Roman" w:hAnsi="Times New Roman"/>
          <w:b/>
          <w:sz w:val="24"/>
        </w:rPr>
      </w:pPr>
      <w:bookmarkStart w:id="124" w:name="ex99_1toc528636_159"/>
      <w:bookmarkEnd w:id="124"/>
      <w:r>
        <w:rPr>
          <w:rFonts w:ascii="Times New Roman" w:hAnsi="Times New Roman"/>
          <w:b/>
          <w:sz w:val="24"/>
        </w:rPr>
        <w:t xml:space="preserve">SECTION 1005. Additional Amounts. </w:t>
      </w:r>
    </w:p>
    <w:p>
      <w:pPr>
        <w:pStyle w:val="TextBody"/>
        <w:bidi w:val="0"/>
        <w:spacing w:before="240" w:after="0"/>
        <w:jc w:val="both"/>
        <w:rPr>
          <w:rFonts w:ascii="Times New Roman" w:hAnsi="Times New Roman"/>
          <w:sz w:val="24"/>
        </w:rPr>
      </w:pPr>
      <w:r>
        <w:rPr>
          <w:rFonts w:ascii="Times New Roman" w:hAnsi="Times New Roman"/>
          <w:sz w:val="24"/>
        </w:rPr>
        <w:t xml:space="preserve">(a) If specified pursuant to Section 301, in respect of any series of Securities issued hereunder, the Company and/or any of the Subsidiary Guarantors shall agree to pay to the holder of any such Securities such Additional Amounts as provided in or pursuant to this Indenture and such Securities. </w:t>
      </w:r>
    </w:p>
    <w:p>
      <w:pPr>
        <w:pStyle w:val="TextBody"/>
        <w:bidi w:val="0"/>
        <w:spacing w:before="240" w:after="0"/>
        <w:jc w:val="both"/>
        <w:rPr>
          <w:rFonts w:ascii="Times New Roman" w:hAnsi="Times New Roman"/>
          <w:sz w:val="24"/>
        </w:rPr>
      </w:pPr>
      <w:r>
        <w:rPr>
          <w:rFonts w:ascii="Times New Roman" w:hAnsi="Times New Roman"/>
          <w:sz w:val="24"/>
        </w:rPr>
        <w:t xml:space="preserve">(b) At least 10 days prior to each date on which any payment under or with respect to the Securities is due and payable, if the Company or a Subsidiary Guarantor, as applicable, will be obligated to pay Additional Amounts with respect to such payment (unless such obligation to pay Additional Amounts arises after the 10th day prior to the date on which payment under or with respect to the Securities is due and payable, in which case it will be promptly thereafter), the Company or a Subsidiary Guarantor, as applicable, will deliver to the Trustee an Officer’s Certificate stating the fact that such Additional Amounts will be payable, the amounts so payable and will set forth such other information necessary to enable the Trustee to pay such Additional Amounts to Holders on the payment date. Whenever in this Indenture there is mention, in any context, of the payment of principal (and premium, if any), Redemption Price, interest or any other amount payable under or with respect to any Security such mention shall be deemed to include mention of the payment of Additional Amounts provided for in this Section to the extent that, in such context, Additional Amounts are, were or would be payable in respect thereof pursuant to the provisions of this Section and express mention of the payment of Additional Amounts (if applicable) in any provisions hereof shall not be construed as excluding Additional Amounts in those provisions hereof where such express mention is not made (if applicable). The Trustee shall not at any time be under any duty or responsibility to any holder of Securities to determine the Additional Amounts, or with respect to the nature, extent, or calculation of the amount of Additional Amounts owed, or with respect to the method employed in such calculation of the Additional Amounts. </w:t>
      </w:r>
    </w:p>
    <w:p>
      <w:pPr>
        <w:pStyle w:val="TextBody"/>
        <w:bidi w:val="0"/>
        <w:spacing w:before="240" w:after="0"/>
        <w:jc w:val="both"/>
        <w:rPr>
          <w:rFonts w:ascii="Times New Roman" w:hAnsi="Times New Roman"/>
          <w:sz w:val="24"/>
        </w:rPr>
      </w:pPr>
      <w:r>
        <w:rPr>
          <w:rFonts w:ascii="Times New Roman" w:hAnsi="Times New Roman"/>
          <w:sz w:val="24"/>
        </w:rPr>
        <w:t xml:space="preserve">(c) The obligations of the Company and the Subsidiary Guarantors under this Section 1005 shall survive any termination, defeasance, or discharge of this Indenture. </w:t>
      </w:r>
    </w:p>
    <w:p>
      <w:pPr>
        <w:pStyle w:val="TextBody"/>
        <w:bidi w:val="0"/>
        <w:spacing w:before="240" w:after="0"/>
        <w:jc w:val="both"/>
        <w:rPr>
          <w:rFonts w:ascii="Times New Roman" w:hAnsi="Times New Roman"/>
          <w:b/>
          <w:sz w:val="24"/>
        </w:rPr>
      </w:pPr>
      <w:bookmarkStart w:id="125" w:name="ex99_1toc528636_160"/>
      <w:bookmarkEnd w:id="125"/>
      <w:r>
        <w:rPr>
          <w:rFonts w:ascii="Times New Roman" w:hAnsi="Times New Roman"/>
          <w:b/>
          <w:sz w:val="24"/>
        </w:rPr>
        <w:t xml:space="preserve">SECTION 1006. Corporate Existence; To Carry on Business. </w:t>
      </w:r>
    </w:p>
    <w:p>
      <w:pPr>
        <w:pStyle w:val="TextBody"/>
        <w:bidi w:val="0"/>
        <w:spacing w:before="240" w:after="0"/>
        <w:jc w:val="both"/>
        <w:rPr>
          <w:rFonts w:ascii="Times New Roman" w:hAnsi="Times New Roman"/>
          <w:sz w:val="24"/>
        </w:rPr>
      </w:pPr>
      <w:r>
        <w:rPr>
          <w:rFonts w:ascii="Times New Roman" w:hAnsi="Times New Roman"/>
          <w:sz w:val="24"/>
        </w:rPr>
        <w:t xml:space="preserve">So long as any of the Securities are Outstanding, the Company will, itself or through its Subsidiaries, carry on its business in accordance with ordinary industry practice (which may include carrying on business in partnership). So long as any of the Securities are Outstanding, the Company will keep or cause to be kept proper books of account in relation to its businesses and the businesses of any of its Subsidiaries, as the case may be, and, subject to the other provisions of this Indenture, will do or cause to be done all things necessary to preserve and keep in full force and effect its corporate existence, and will not consolidate, amalgamate or merge with any other corporation or transfer its undertaking and property as an entirety or substantially as an entirety to any other Person, except in compliance with the provisions of Article Eight;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nothing herein contained shall prevent the Company (including its Subsidiaries) from ceasing to carry on any portion of its business (but not substantially all of the Company’s consolidated business) or from ceasing to operate any premises or property if it shall be advisable and in the best interests of the Company.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- 68 - </w:t>
      </w:r>
    </w:p>
    <w:p>
      <w:pPr>
        <w:pStyle w:val="TextBody"/>
        <w:bidi w:val="0"/>
        <w:spacing w:before="0" w:after="0"/>
        <w:jc w:val="left"/>
        <w:rPr/>
      </w:pPr>
      <w:r>
        <w:rPr/>
        <w:t> </w:t>
      </w:r>
    </w:p>
    <w:p>
      <w:pPr>
        <w:pStyle w:val="TextBody"/>
        <w:bidi w:val="0"/>
        <w:spacing w:before="0" w:after="0"/>
        <w:jc w:val="both"/>
        <w:rPr>
          <w:rFonts w:ascii="Times New Roman" w:hAnsi="Times New Roman"/>
          <w:b/>
          <w:sz w:val="24"/>
        </w:rPr>
      </w:pPr>
      <w:bookmarkStart w:id="126" w:name="ex99_1toc528636_161"/>
      <w:bookmarkEnd w:id="126"/>
      <w:r>
        <w:rPr>
          <w:rFonts w:ascii="Times New Roman" w:hAnsi="Times New Roman"/>
          <w:b/>
          <w:sz w:val="24"/>
        </w:rPr>
        <w:t xml:space="preserve">SECTION 1007. Waiver of Certain Covenants. </w:t>
      </w:r>
    </w:p>
    <w:p>
      <w:pPr>
        <w:pStyle w:val="TextBody"/>
        <w:bidi w:val="0"/>
        <w:spacing w:before="240" w:after="0"/>
        <w:jc w:val="both"/>
        <w:rPr>
          <w:rFonts w:ascii="Times New Roman" w:hAnsi="Times New Roman"/>
          <w:sz w:val="24"/>
        </w:rPr>
      </w:pPr>
      <w:r>
        <w:rPr>
          <w:rFonts w:ascii="Times New Roman" w:hAnsi="Times New Roman"/>
          <w:sz w:val="24"/>
        </w:rPr>
        <w:t xml:space="preserve">The Company or any Subsidiary Guarantor, as applicable, may, with respect to any series of Securities, omit in any particular instance to comply with any term, provision or condition which affects such series set forth in Section 803, Section 1005 to Section 1006, inclusive, or, as specified pursuant to Section 301 for Securities of such series, in any covenants of the Company or such Subsidiary Guarantor, as applicable, added to this Article Ten pursuant to Section 301 in connection with Securities of such series, if before the time for such compliance the Holders of at least a majority in principal amount of all Outstanding Securities of each series affected by the omission (which, in the case of a covenant not set forth herein and specified pursuant to Section 301 to be applicable to the Securities of any series, shall include only those series to which such covenant is so specified to be applicable), shall in each case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or such Subsidiary Guarantor, as applicable, and the duties of the Trustee to Holders of Securities of such series in respect of any such term, provision or condition shall remain in full force and effect.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ELEVEN </w:t>
      </w:r>
    </w:p>
    <w:p>
      <w:pPr>
        <w:pStyle w:val="TextBody"/>
        <w:bidi w:val="0"/>
        <w:spacing w:before="240" w:after="0"/>
        <w:jc w:val="center"/>
        <w:rPr>
          <w:rFonts w:ascii="Times New Roman" w:hAnsi="Times New Roman"/>
          <w:b/>
          <w:sz w:val="24"/>
        </w:rPr>
      </w:pPr>
      <w:r>
        <w:rPr>
          <w:rFonts w:ascii="Times New Roman" w:hAnsi="Times New Roman"/>
          <w:b/>
          <w:sz w:val="24"/>
        </w:rPr>
        <w:t xml:space="preserve">REDEMPTION OF SECURITIES </w:t>
      </w:r>
    </w:p>
    <w:p>
      <w:pPr>
        <w:pStyle w:val="TextBody"/>
        <w:bidi w:val="0"/>
        <w:spacing w:before="240" w:after="0"/>
        <w:jc w:val="both"/>
        <w:rPr>
          <w:rFonts w:ascii="Times New Roman" w:hAnsi="Times New Roman"/>
          <w:b/>
          <w:sz w:val="24"/>
        </w:rPr>
      </w:pPr>
      <w:bookmarkStart w:id="127" w:name="ex99_1toc528636_165"/>
      <w:bookmarkEnd w:id="127"/>
      <w:r>
        <w:rPr>
          <w:rFonts w:ascii="Times New Roman" w:hAnsi="Times New Roman"/>
          <w:b/>
          <w:sz w:val="24"/>
        </w:rPr>
        <w:t xml:space="preserve">SECTION 1101. Applicability of Article. </w:t>
      </w:r>
    </w:p>
    <w:p>
      <w:pPr>
        <w:pStyle w:val="TextBody"/>
        <w:bidi w:val="0"/>
        <w:spacing w:before="240" w:after="0"/>
        <w:jc w:val="both"/>
        <w:rPr>
          <w:rFonts w:ascii="Times New Roman" w:hAnsi="Times New Roman"/>
          <w:sz w:val="24"/>
        </w:rPr>
      </w:pPr>
      <w:r>
        <w:rPr>
          <w:rFonts w:ascii="Times New Roman" w:hAnsi="Times New Roman"/>
          <w:sz w:val="24"/>
        </w:rPr>
        <w:t xml:space="preserve">Redemption of Securities of any series (whether by operation of a sinking fund or otherwise) as permitted or required by any form of Security issued pursuant to this Indenture shall be made in accordance with such form of Security and this Article;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any provision of any such form of Security shall conflict with any provision of this Article, the provision of such form of Security shall govern. </w:t>
      </w:r>
    </w:p>
    <w:p>
      <w:pPr>
        <w:pStyle w:val="TextBody"/>
        <w:bidi w:val="0"/>
        <w:spacing w:before="240" w:after="0"/>
        <w:jc w:val="both"/>
        <w:rPr>
          <w:rFonts w:ascii="Times New Roman" w:hAnsi="Times New Roman"/>
          <w:b/>
          <w:sz w:val="24"/>
        </w:rPr>
      </w:pPr>
      <w:bookmarkStart w:id="128" w:name="ex99_1toc528636_166"/>
      <w:bookmarkEnd w:id="128"/>
      <w:r>
        <w:rPr>
          <w:rFonts w:ascii="Times New Roman" w:hAnsi="Times New Roman"/>
          <w:b/>
          <w:sz w:val="24"/>
        </w:rPr>
        <w:t xml:space="preserve">SECTION 1102. Election to Redeem; Notice to Trustee. </w:t>
      </w:r>
    </w:p>
    <w:p>
      <w:pPr>
        <w:pStyle w:val="TextBody"/>
        <w:bidi w:val="0"/>
        <w:spacing w:before="240" w:after="0"/>
        <w:jc w:val="both"/>
        <w:rPr>
          <w:rFonts w:ascii="Times New Roman" w:hAnsi="Times New Roman"/>
          <w:sz w:val="24"/>
        </w:rPr>
      </w:pPr>
      <w:r>
        <w:rPr>
          <w:rFonts w:ascii="Times New Roman" w:hAnsi="Times New Roman"/>
          <w:sz w:val="24"/>
        </w:rPr>
        <w:t xml:space="preserve">The election of the Company to redeem any Securities shall be evidenced by or pursuant to a Board Resolution. In case of any redemption at the election of the Company, the Company shall, at least 45 days prior to the Redemption Date fixed by the Company (unless a shorter notice shall be satisfactory to the Trustee), notify the Trustee of such Redemption Date and of the principal amount of Securities of such series to be redeemed and shall deliver to the Trustee such documentation and records as shall enable the Trustee to select the Securities to be redeemed pursuant to Section 1103.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- 69 - </w:t>
      </w:r>
    </w:p>
    <w:p>
      <w:pPr>
        <w:pStyle w:val="TextBody"/>
        <w:bidi w:val="0"/>
        <w:spacing w:before="0" w:after="0"/>
        <w:jc w:val="left"/>
        <w:rPr/>
      </w:pPr>
      <w:r>
        <w:rPr/>
        <w:t> </w:t>
      </w:r>
    </w:p>
    <w:p>
      <w:pPr>
        <w:pStyle w:val="TextBody"/>
        <w:bidi w:val="0"/>
        <w:spacing w:before="0" w:after="0"/>
        <w:jc w:val="both"/>
        <w:rPr>
          <w:rFonts w:ascii="Times New Roman" w:hAnsi="Times New Roman"/>
          <w:b/>
          <w:sz w:val="24"/>
        </w:rPr>
      </w:pPr>
      <w:bookmarkStart w:id="129" w:name="ex99_1toc528636_167"/>
      <w:bookmarkEnd w:id="129"/>
      <w:r>
        <w:rPr>
          <w:rFonts w:ascii="Times New Roman" w:hAnsi="Times New Roman"/>
          <w:b/>
          <w:sz w:val="24"/>
        </w:rPr>
        <w:t xml:space="preserve">SECTION 1103. Selection by Trustee of Securities to Be Redeemed. </w:t>
      </w:r>
    </w:p>
    <w:p>
      <w:pPr>
        <w:pStyle w:val="TextBody"/>
        <w:bidi w:val="0"/>
        <w:spacing w:before="240" w:after="0"/>
        <w:jc w:val="both"/>
        <w:rPr>
          <w:rFonts w:ascii="Times New Roman" w:hAnsi="Times New Roman"/>
          <w:sz w:val="24"/>
        </w:rPr>
      </w:pPr>
      <w:r>
        <w:rPr>
          <w:rFonts w:ascii="Times New Roman" w:hAnsi="Times New Roman"/>
          <w:sz w:val="24"/>
        </w:rPr>
        <w:t xml:space="preserve">(a) If less than all the Securities of any series are to be redeemed, the particular Securities to be redeemed shall be selected not more than 45 days prior to the Redemption Date by the Trustee, from the Outstanding Securities of such series not previously called for redemption on a pro rata basis, or by lot or such other method as the Trustee shall deem fair and appropriate in accordance with the procedures of the applicable Depositary, as applicable, and which may provide for the selection for redemption of portions of the principal amount of Securities of such series;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no such partial redemption shall reduce the portion of the principal amount of a Security not redeemed to less than the minimum authorized denomination for Securities of such series established pursuant to Section 301. The Trustee may make regulations with regard to the manner in which Securities are selected for redemption, and regulations so made shall be valid and binding upon all Holders. </w:t>
      </w:r>
    </w:p>
    <w:p>
      <w:pPr>
        <w:pStyle w:val="TextBody"/>
        <w:bidi w:val="0"/>
        <w:spacing w:before="240" w:after="0"/>
        <w:jc w:val="both"/>
        <w:rPr>
          <w:rFonts w:ascii="Times New Roman" w:hAnsi="Times New Roman"/>
          <w:sz w:val="24"/>
        </w:rPr>
      </w:pPr>
      <w:r>
        <w:rPr>
          <w:rFonts w:ascii="Times New Roman" w:hAnsi="Times New Roman"/>
          <w:sz w:val="24"/>
        </w:rPr>
        <w:t xml:space="preserve">(b) The Trustee shall promptly notify the Company in writing of the Securities selected for redemption and, in the case of any Securities selected for partial redemption, the principal amount thereof to be redeemed. </w:t>
      </w:r>
    </w:p>
    <w:p>
      <w:pPr>
        <w:pStyle w:val="TextBody"/>
        <w:bidi w:val="0"/>
        <w:spacing w:before="240" w:after="0"/>
        <w:jc w:val="both"/>
        <w:rPr>
          <w:rFonts w:ascii="Times New Roman" w:hAnsi="Times New Roman"/>
          <w:sz w:val="24"/>
        </w:rPr>
      </w:pPr>
      <w:r>
        <w:rPr>
          <w:rFonts w:ascii="Times New Roman" w:hAnsi="Times New Roman"/>
          <w:sz w:val="24"/>
        </w:rPr>
        <w:t xml:space="preserve">(c) For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 </w:t>
      </w:r>
    </w:p>
    <w:p>
      <w:pPr>
        <w:pStyle w:val="TextBody"/>
        <w:bidi w:val="0"/>
        <w:spacing w:before="240" w:after="0"/>
        <w:jc w:val="both"/>
        <w:rPr>
          <w:rFonts w:ascii="Times New Roman" w:hAnsi="Times New Roman"/>
          <w:b/>
          <w:sz w:val="24"/>
        </w:rPr>
      </w:pPr>
      <w:bookmarkStart w:id="130" w:name="ex99_1toc528636_168"/>
      <w:bookmarkEnd w:id="130"/>
      <w:r>
        <w:rPr>
          <w:rFonts w:ascii="Times New Roman" w:hAnsi="Times New Roman"/>
          <w:b/>
          <w:sz w:val="24"/>
        </w:rPr>
        <w:t xml:space="preserve">SECTION 1104. Notice of Redemption. </w:t>
      </w:r>
    </w:p>
    <w:p>
      <w:pPr>
        <w:pStyle w:val="TextBody"/>
        <w:bidi w:val="0"/>
        <w:spacing w:before="240" w:after="0"/>
        <w:jc w:val="both"/>
        <w:rPr>
          <w:rFonts w:ascii="Times New Roman" w:hAnsi="Times New Roman"/>
          <w:sz w:val="24"/>
        </w:rPr>
      </w:pPr>
      <w:r>
        <w:rPr>
          <w:rFonts w:ascii="Times New Roman" w:hAnsi="Times New Roman"/>
          <w:sz w:val="24"/>
        </w:rPr>
        <w:t xml:space="preserve">(a) Except as otherwise specified as contemplated by Section 301, notice of redemption shall be given in the manner provided for in Section 106 not less than 10 nor more than 60 days prior to the Redemption Date, to each Holder of Securities to be redeemed. </w:t>
      </w:r>
    </w:p>
    <w:p>
      <w:pPr>
        <w:pStyle w:val="TextBody"/>
        <w:bidi w:val="0"/>
        <w:spacing w:before="240" w:after="0"/>
        <w:jc w:val="both"/>
        <w:rPr>
          <w:rFonts w:ascii="Times New Roman" w:hAnsi="Times New Roman"/>
          <w:sz w:val="24"/>
        </w:rPr>
      </w:pPr>
      <w:r>
        <w:rPr>
          <w:rFonts w:ascii="Times New Roman" w:hAnsi="Times New Roman"/>
          <w:sz w:val="24"/>
        </w:rPr>
        <w:t xml:space="preserve">(b) All notices of redemption shall state: </w:t>
      </w:r>
    </w:p>
    <w:p>
      <w:pPr>
        <w:pStyle w:val="TextBody"/>
        <w:bidi w:val="0"/>
        <w:spacing w:before="240" w:after="0"/>
        <w:jc w:val="both"/>
        <w:rPr>
          <w:rFonts w:ascii="Times New Roman" w:hAnsi="Times New Roman"/>
          <w:sz w:val="24"/>
        </w:rPr>
      </w:pPr>
      <w:r>
        <w:rPr>
          <w:rFonts w:ascii="Times New Roman" w:hAnsi="Times New Roman"/>
          <w:sz w:val="24"/>
        </w:rPr>
        <w:t xml:space="preserve">(1) the Redemption Date, </w:t>
      </w:r>
    </w:p>
    <w:p>
      <w:pPr>
        <w:pStyle w:val="TextBody"/>
        <w:bidi w:val="0"/>
        <w:spacing w:before="240" w:after="0"/>
        <w:jc w:val="both"/>
        <w:rPr>
          <w:rFonts w:ascii="Times New Roman" w:hAnsi="Times New Roman"/>
          <w:sz w:val="24"/>
        </w:rPr>
      </w:pPr>
      <w:r>
        <w:rPr>
          <w:rFonts w:ascii="Times New Roman" w:hAnsi="Times New Roman"/>
          <w:sz w:val="24"/>
        </w:rPr>
        <w:t xml:space="preserve">(2) the Redemption Price and the amount of accrued interest to the Redemption Date payable as provided in Section 1106, if any, </w:t>
      </w:r>
    </w:p>
    <w:p>
      <w:pPr>
        <w:pStyle w:val="TextBody"/>
        <w:bidi w:val="0"/>
        <w:spacing w:before="240" w:after="0"/>
        <w:jc w:val="both"/>
        <w:rPr>
          <w:rFonts w:ascii="Times New Roman" w:hAnsi="Times New Roman"/>
          <w:sz w:val="24"/>
        </w:rPr>
      </w:pPr>
      <w:r>
        <w:rPr>
          <w:rFonts w:ascii="Times New Roman" w:hAnsi="Times New Roman"/>
          <w:sz w:val="24"/>
        </w:rPr>
        <w:t xml:space="preserve">(3) if less than all the Outstanding Securities of any series are to be redeemed, the identification (and, in the case of partial redemption, the respective principal amounts) of the particular Securities to be redeemed, </w:t>
      </w:r>
    </w:p>
    <w:p>
      <w:pPr>
        <w:pStyle w:val="TextBody"/>
        <w:bidi w:val="0"/>
        <w:spacing w:before="240" w:after="0"/>
        <w:jc w:val="both"/>
        <w:rPr>
          <w:rFonts w:ascii="Times New Roman" w:hAnsi="Times New Roman"/>
          <w:sz w:val="24"/>
        </w:rPr>
      </w:pPr>
      <w:r>
        <w:rPr>
          <w:rFonts w:ascii="Times New Roman" w:hAnsi="Times New Roman"/>
          <w:sz w:val="24"/>
        </w:rPr>
        <w:t xml:space="preserve">(4) in case any Security is to be redeemed in part only, the notice which relates to such Security shall state that on and after the Redemption Date, upon surrender of such Security, the holder will receive, without charge, a new Security or Securities of authorized denominations for the principal amount thereof remaining unredeemed, </w:t>
      </w:r>
    </w:p>
    <w:p>
      <w:pPr>
        <w:pStyle w:val="TextBody"/>
        <w:bidi w:val="0"/>
        <w:spacing w:before="240" w:after="0"/>
        <w:jc w:val="both"/>
        <w:rPr>
          <w:rFonts w:ascii="Times New Roman" w:hAnsi="Times New Roman"/>
          <w:sz w:val="24"/>
        </w:rPr>
      </w:pPr>
      <w:r>
        <w:rPr>
          <w:rFonts w:ascii="Times New Roman" w:hAnsi="Times New Roman"/>
          <w:sz w:val="24"/>
        </w:rPr>
        <w:t xml:space="preserve">(5) that on the Redemption Date, the Redemption Price and accrued interest, if any, to the Redemption Date payable as provided in Section 1106 will become due and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- 70 -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payable upon each such Security, or the portion thereof, to be redeemed and, if applicable, that interest thereon will cease to accrue on and after said date, </w:t>
      </w:r>
    </w:p>
    <w:p>
      <w:pPr>
        <w:pStyle w:val="TextBody"/>
        <w:bidi w:val="0"/>
        <w:spacing w:before="240" w:after="0"/>
        <w:jc w:val="both"/>
        <w:rPr>
          <w:rFonts w:ascii="Times New Roman" w:hAnsi="Times New Roman"/>
          <w:sz w:val="24"/>
        </w:rPr>
      </w:pPr>
      <w:r>
        <w:rPr>
          <w:rFonts w:ascii="Times New Roman" w:hAnsi="Times New Roman"/>
          <w:sz w:val="24"/>
        </w:rPr>
        <w:t xml:space="preserve">(6) the Place or Places of Payment where such Securities, maturing after the Redemption Date, are to be surrendered for payment of the Redemption Price and accrued interest, if any, </w:t>
      </w:r>
    </w:p>
    <w:p>
      <w:pPr>
        <w:pStyle w:val="TextBody"/>
        <w:bidi w:val="0"/>
        <w:spacing w:before="240" w:after="0"/>
        <w:jc w:val="both"/>
        <w:rPr>
          <w:rFonts w:ascii="Times New Roman" w:hAnsi="Times New Roman"/>
          <w:sz w:val="24"/>
        </w:rPr>
      </w:pPr>
      <w:r>
        <w:rPr>
          <w:rFonts w:ascii="Times New Roman" w:hAnsi="Times New Roman"/>
          <w:sz w:val="24"/>
        </w:rPr>
        <w:t xml:space="preserve">(7) that the redemption is for a sinking fund, if such is the case, </w:t>
      </w:r>
    </w:p>
    <w:p>
      <w:pPr>
        <w:pStyle w:val="TextBody"/>
        <w:bidi w:val="0"/>
        <w:spacing w:before="240" w:after="0"/>
        <w:jc w:val="both"/>
        <w:rPr>
          <w:rFonts w:ascii="Times New Roman" w:hAnsi="Times New Roman"/>
          <w:sz w:val="24"/>
        </w:rPr>
      </w:pPr>
      <w:r>
        <w:rPr>
          <w:rFonts w:ascii="Times New Roman" w:hAnsi="Times New Roman"/>
          <w:sz w:val="24"/>
        </w:rPr>
        <w:t xml:space="preserve">(8) the CUSIP(s) if any, and </w:t>
      </w:r>
    </w:p>
    <w:p>
      <w:pPr>
        <w:pStyle w:val="TextBody"/>
        <w:bidi w:val="0"/>
        <w:spacing w:before="240" w:after="0"/>
        <w:jc w:val="both"/>
        <w:rPr>
          <w:rFonts w:ascii="Times New Roman" w:hAnsi="Times New Roman"/>
          <w:sz w:val="24"/>
        </w:rPr>
      </w:pPr>
      <w:r>
        <w:rPr>
          <w:rFonts w:ascii="Times New Roman" w:hAnsi="Times New Roman"/>
          <w:sz w:val="24"/>
        </w:rPr>
        <w:t xml:space="preserve">(9) any conditions precedent for completion of such redemption. </w:t>
      </w:r>
    </w:p>
    <w:p>
      <w:pPr>
        <w:pStyle w:val="TextBody"/>
        <w:bidi w:val="0"/>
        <w:spacing w:before="240" w:after="0"/>
        <w:jc w:val="both"/>
        <w:rPr>
          <w:rFonts w:ascii="Times New Roman" w:hAnsi="Times New Roman"/>
          <w:sz w:val="24"/>
        </w:rPr>
      </w:pPr>
      <w:r>
        <w:rPr>
          <w:rFonts w:ascii="Times New Roman" w:hAnsi="Times New Roman"/>
          <w:sz w:val="24"/>
        </w:rPr>
        <w:t xml:space="preserve">(c) Notice of redemption of Securities to be redeemed at the election of the Company shall be given by the Company or, at the Company’s request, by the Trustee in the name and at the expense of the Company. </w:t>
      </w:r>
    </w:p>
    <w:p>
      <w:pPr>
        <w:pStyle w:val="TextBody"/>
        <w:bidi w:val="0"/>
        <w:spacing w:before="240" w:after="0"/>
        <w:jc w:val="both"/>
        <w:rPr>
          <w:rFonts w:ascii="Times New Roman" w:hAnsi="Times New Roman"/>
          <w:b/>
          <w:sz w:val="24"/>
        </w:rPr>
      </w:pPr>
      <w:bookmarkStart w:id="131" w:name="ex99_1toc528636_169"/>
      <w:bookmarkEnd w:id="131"/>
      <w:r>
        <w:rPr>
          <w:rFonts w:ascii="Times New Roman" w:hAnsi="Times New Roman"/>
          <w:b/>
          <w:sz w:val="24"/>
        </w:rPr>
        <w:t xml:space="preserve">SECTION 1105. Deposit of Redemption Price. </w:t>
      </w:r>
    </w:p>
    <w:p>
      <w:pPr>
        <w:pStyle w:val="TextBody"/>
        <w:bidi w:val="0"/>
        <w:spacing w:before="240" w:after="0"/>
        <w:jc w:val="both"/>
        <w:rPr>
          <w:rFonts w:ascii="Times New Roman" w:hAnsi="Times New Roman"/>
          <w:sz w:val="24"/>
        </w:rPr>
      </w:pPr>
      <w:r>
        <w:rPr>
          <w:rFonts w:ascii="Times New Roman" w:hAnsi="Times New Roman"/>
          <w:sz w:val="24"/>
        </w:rPr>
        <w:t xml:space="preserve">Prior to any Redemption Date, the Company shall deposit with the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sufficient to pay the Redemption Price of, and accrued interest, if any, on, all the Securities which are to be redeemed on that date. </w:t>
      </w:r>
    </w:p>
    <w:p>
      <w:pPr>
        <w:pStyle w:val="TextBody"/>
        <w:bidi w:val="0"/>
        <w:spacing w:before="240" w:after="0"/>
        <w:jc w:val="both"/>
        <w:rPr>
          <w:rFonts w:ascii="Times New Roman" w:hAnsi="Times New Roman"/>
          <w:b/>
          <w:sz w:val="24"/>
        </w:rPr>
      </w:pPr>
      <w:bookmarkStart w:id="132" w:name="ex99_1toc528636_170"/>
      <w:bookmarkEnd w:id="132"/>
      <w:r>
        <w:rPr>
          <w:rFonts w:ascii="Times New Roman" w:hAnsi="Times New Roman"/>
          <w:b/>
          <w:sz w:val="24"/>
        </w:rPr>
        <w:t xml:space="preserve">SECTION 1106. Securities Payable on Redemption Date. </w:t>
      </w:r>
    </w:p>
    <w:p>
      <w:pPr>
        <w:pStyle w:val="TextBody"/>
        <w:bidi w:val="0"/>
        <w:spacing w:before="240" w:after="0"/>
        <w:jc w:val="both"/>
        <w:rPr>
          <w:rFonts w:ascii="Times New Roman" w:hAnsi="Times New Roman"/>
          <w:sz w:val="24"/>
        </w:rPr>
      </w:pPr>
      <w:r>
        <w:rPr>
          <w:rFonts w:ascii="Times New Roman" w:hAnsi="Times New Roman"/>
          <w:sz w:val="24"/>
        </w:rPr>
        <w:t xml:space="preserve">(a) Notice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if any) such Securities shall, if the same were interest-bearing, cease to bear interest, except to the extent provided below, shall be void. Upon surrender of any such Security for redemption in accordance with said notice, such Security or specified portions thereof shall be paid by the Company at the Redemption Price, together with accrued interest, if any, to the Redemption Date;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installments of interest on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 </w:t>
      </w:r>
    </w:p>
    <w:p>
      <w:pPr>
        <w:pStyle w:val="TextBody"/>
        <w:bidi w:val="0"/>
        <w:spacing w:before="240" w:after="0"/>
        <w:jc w:val="both"/>
        <w:rPr>
          <w:rFonts w:ascii="Times New Roman" w:hAnsi="Times New Roman"/>
          <w:sz w:val="24"/>
        </w:rPr>
      </w:pPr>
      <w:r>
        <w:rPr>
          <w:rFonts w:ascii="Times New Roman" w:hAnsi="Times New Roman"/>
          <w:sz w:val="24"/>
        </w:rPr>
        <w:t xml:space="preserve">(b) If any Security called for redemption shall not be so paid upon surrender thereof for redemption, the principal (and premium, if any) shall, until paid, bear interest from the Redemption Date at the rate of interest or Yield to Maturity (in the case of Original Issue Discount Securities) set forth in such Security.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- 71 - </w:t>
      </w:r>
    </w:p>
    <w:p>
      <w:pPr>
        <w:pStyle w:val="TextBody"/>
        <w:bidi w:val="0"/>
        <w:spacing w:before="0" w:after="0"/>
        <w:jc w:val="left"/>
        <w:rPr/>
      </w:pPr>
      <w:r>
        <w:rPr/>
        <w:t> </w:t>
      </w:r>
    </w:p>
    <w:p>
      <w:pPr>
        <w:pStyle w:val="TextBody"/>
        <w:bidi w:val="0"/>
        <w:spacing w:before="0" w:after="0"/>
        <w:jc w:val="both"/>
        <w:rPr>
          <w:rFonts w:ascii="Times New Roman" w:hAnsi="Times New Roman"/>
          <w:b/>
          <w:sz w:val="24"/>
        </w:rPr>
      </w:pPr>
      <w:bookmarkStart w:id="133" w:name="ex99_1toc528636_171"/>
      <w:bookmarkEnd w:id="133"/>
      <w:r>
        <w:rPr>
          <w:rFonts w:ascii="Times New Roman" w:hAnsi="Times New Roman"/>
          <w:b/>
          <w:sz w:val="24"/>
        </w:rPr>
        <w:t xml:space="preserve">SECTION 1107. Securities Redeemed in Part. </w:t>
      </w:r>
    </w:p>
    <w:p>
      <w:pPr>
        <w:pStyle w:val="TextBody"/>
        <w:bidi w:val="0"/>
        <w:spacing w:before="240" w:after="0"/>
        <w:jc w:val="both"/>
        <w:rPr>
          <w:rFonts w:ascii="Times New Roman" w:hAnsi="Times New Roman"/>
          <w:sz w:val="24"/>
        </w:rPr>
      </w:pPr>
      <w:r>
        <w:rPr>
          <w:rFonts w:ascii="Times New Roman" w:hAnsi="Times New Roman"/>
          <w:sz w:val="24"/>
        </w:rPr>
        <w:t xml:space="preserve">Any Security which is to be redeemed only in part (pursuant to the provisions of this Article) shall be surrendered at a Place of Payment therefor (with, if the Company or the Trustee so requires, due endorsement by, or a written instrument of transfer in form satisfactory to the Company and the Securities Registrar duly executed by, the Holder thereof or such Holder’s attorney duly authorized in writing), and the Company shall execute, and the Trustee shall authenticate and deliver to the Holder of such Security without service charge, a new Security or Securities of the same series, of any authorized denomination as requested by such Holder, and having the same terms and provisions and in an aggregate principal amount equal to and in exchange for the unredeemed portion of the principal of the Security so surrendered. </w:t>
      </w:r>
    </w:p>
    <w:p>
      <w:pPr>
        <w:pStyle w:val="TextBody"/>
        <w:bidi w:val="0"/>
        <w:spacing w:before="480" w:after="0"/>
        <w:jc w:val="center"/>
        <w:rPr>
          <w:rFonts w:ascii="Times New Roman" w:hAnsi="Times New Roman"/>
          <w:b/>
          <w:sz w:val="24"/>
        </w:rPr>
      </w:pPr>
      <w:r>
        <w:rPr>
          <w:rFonts w:ascii="Times New Roman" w:hAnsi="Times New Roman"/>
          <w:b/>
          <w:sz w:val="24"/>
        </w:rPr>
        <w:t xml:space="preserve">ARTICLE TWELVE </w:t>
      </w:r>
    </w:p>
    <w:p>
      <w:pPr>
        <w:pStyle w:val="TextBody"/>
        <w:bidi w:val="0"/>
        <w:spacing w:before="240" w:after="0"/>
        <w:jc w:val="center"/>
        <w:rPr>
          <w:rFonts w:ascii="Times New Roman" w:hAnsi="Times New Roman"/>
          <w:b/>
          <w:sz w:val="24"/>
        </w:rPr>
      </w:pPr>
      <w:r>
        <w:rPr>
          <w:rFonts w:ascii="Times New Roman" w:hAnsi="Times New Roman"/>
          <w:b/>
          <w:sz w:val="24"/>
        </w:rPr>
        <w:t xml:space="preserve">DEFEASANCE AND COVENANT DEFEASANCE </w:t>
      </w:r>
    </w:p>
    <w:p>
      <w:pPr>
        <w:pStyle w:val="TextBody"/>
        <w:bidi w:val="0"/>
        <w:spacing w:before="240" w:after="0"/>
        <w:jc w:val="both"/>
        <w:rPr>
          <w:rFonts w:ascii="Times New Roman" w:hAnsi="Times New Roman"/>
          <w:b/>
          <w:sz w:val="24"/>
        </w:rPr>
      </w:pPr>
      <w:bookmarkStart w:id="134" w:name="ex99_1toc528636_175"/>
      <w:bookmarkEnd w:id="134"/>
      <w:r>
        <w:rPr>
          <w:rFonts w:ascii="Times New Roman" w:hAnsi="Times New Roman"/>
          <w:b/>
          <w:sz w:val="24"/>
        </w:rPr>
        <w:t xml:space="preserve">SECTION 1201. Company’s Option to Effect Defeasance or Covenant Defeasance. </w:t>
      </w:r>
    </w:p>
    <w:p>
      <w:pPr>
        <w:pStyle w:val="TextBody"/>
        <w:bidi w:val="0"/>
        <w:spacing w:before="240" w:after="0"/>
        <w:jc w:val="both"/>
        <w:rPr>
          <w:rFonts w:ascii="Times New Roman" w:hAnsi="Times New Roman"/>
          <w:sz w:val="24"/>
        </w:rPr>
      </w:pPr>
      <w:r>
        <w:rPr>
          <w:rFonts w:ascii="Times New Roman" w:hAnsi="Times New Roman"/>
          <w:sz w:val="24"/>
        </w:rPr>
        <w:t xml:space="preserve">Except as otherwise specified as contemplated by Section 301 for Securities of any series, the provisions of this Article Twelve shall apply to each series of Securities, and the Company may, at its option, effect defeasance of the Securities of or within a series under Section 1202, or covenant defeasance of or within a series under Section  1203 in accordance with the terms of such Securities and in accordance with this Article. </w:t>
      </w:r>
    </w:p>
    <w:p>
      <w:pPr>
        <w:pStyle w:val="TextBody"/>
        <w:bidi w:val="0"/>
        <w:spacing w:before="240" w:after="0"/>
        <w:jc w:val="both"/>
        <w:rPr>
          <w:rFonts w:ascii="Times New Roman" w:hAnsi="Times New Roman"/>
          <w:b/>
          <w:sz w:val="24"/>
        </w:rPr>
      </w:pPr>
      <w:bookmarkStart w:id="135" w:name="ex99_1toc528636_176"/>
      <w:bookmarkEnd w:id="135"/>
      <w:r>
        <w:rPr>
          <w:rFonts w:ascii="Times New Roman" w:hAnsi="Times New Roman"/>
          <w:b/>
          <w:sz w:val="24"/>
        </w:rPr>
        <w:t xml:space="preserve">SECTION 1202. Defeasance and Discharge. </w:t>
      </w:r>
    </w:p>
    <w:p>
      <w:pPr>
        <w:pStyle w:val="TextBody"/>
        <w:bidi w:val="0"/>
        <w:spacing w:before="240" w:after="0"/>
        <w:jc w:val="both"/>
        <w:rPr>
          <w:rFonts w:ascii="Times New Roman" w:hAnsi="Times New Roman"/>
          <w:sz w:val="24"/>
        </w:rPr>
      </w:pPr>
      <w:r>
        <w:rPr>
          <w:rFonts w:ascii="Times New Roman" w:hAnsi="Times New Roman"/>
          <w:sz w:val="24"/>
        </w:rPr>
        <w:t>Upon the Company’s exercise of the option set forth in Section 1201 applicable to this Section with respect to any Securities of or within a series, each of the Company and each Subsidiary Guarantor shall be deemed to have been discharged from its obligations with respect to such Outstanding Securities on the date the conditions set forth in Section 1204 are satisfied (hereinafter, “</w:t>
      </w:r>
      <w:r>
        <w:rPr>
          <w:rFonts w:ascii="Times New Roman" w:hAnsi="Times New Roman"/>
          <w:b/>
          <w:sz w:val="24"/>
        </w:rPr>
        <w:t>defeasance</w:t>
      </w:r>
      <w:r>
        <w:rPr>
          <w:rFonts w:ascii="Times New Roman" w:hAnsi="Times New Roman"/>
          <w:sz w:val="24"/>
        </w:rPr>
        <w:t xml:space="preserve">”). For this purpose, such defeasance means that the Company shall be deemed to have paid and discharged the entire indebtedness represented by such Outstanding Securities, which shall thereafter be deemed to be “Outstanding” only for the purposes of Section 1205 and the other Sections of this Indenture referred to in (A) and (B) below, and to have satisfied all its other obligations under such Securities and this Indenture insofar as such Securities are concerned (and the Trustee, at the expense of the Company, shall execute proper instruments acknowledging the same), except for the following which shall survive until otherwise terminated or discharged hereunder: (A) the rights of Holders of such Outstanding Securities to receive, solely from the trust fund described in Section 1204 and as more fully set forth in such Section, payments in respect of the principal of (and premium, if any) and interest, if any, on such Securities when such payments are due, (B) the Company’s obligations with respect to such Securities under Sections 304, 305, 306, 1002 and 1003 and with respect to the payment of Additional Amounts, if any, on such Securities as contemplated by Section 1005 and the Subsidiary Guarantors’ guaranty of such obligations pursuant to Article Thirteen, (C) the rights, powers, trusts, duties and immunities of the Trustee hereunder and (D) this Article Twelve. Subject to compliance with this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- 72 -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Article Twelve, the Company may exercise its option under this Section 1202 notwithstanding the prior exercise of its option under Section  1203 with respect to such Securities. </w:t>
      </w:r>
    </w:p>
    <w:p>
      <w:pPr>
        <w:pStyle w:val="TextBody"/>
        <w:bidi w:val="0"/>
        <w:spacing w:before="240" w:after="0"/>
        <w:jc w:val="both"/>
        <w:rPr>
          <w:rFonts w:ascii="Times New Roman" w:hAnsi="Times New Roman"/>
          <w:b/>
          <w:sz w:val="24"/>
        </w:rPr>
      </w:pPr>
      <w:bookmarkStart w:id="136" w:name="ex99_1toc528636_177"/>
      <w:bookmarkEnd w:id="136"/>
      <w:r>
        <w:rPr>
          <w:rFonts w:ascii="Times New Roman" w:hAnsi="Times New Roman"/>
          <w:b/>
          <w:sz w:val="24"/>
        </w:rPr>
        <w:t xml:space="preserve">SECTION 1203. Covenant Defeasance. </w:t>
      </w:r>
    </w:p>
    <w:p>
      <w:pPr>
        <w:pStyle w:val="TextBody"/>
        <w:bidi w:val="0"/>
        <w:spacing w:before="240" w:after="0"/>
        <w:jc w:val="both"/>
        <w:rPr>
          <w:rFonts w:ascii="Times New Roman" w:hAnsi="Times New Roman"/>
          <w:sz w:val="24"/>
        </w:rPr>
      </w:pPr>
      <w:r>
        <w:rPr>
          <w:rFonts w:ascii="Times New Roman" w:hAnsi="Times New Roman"/>
          <w:sz w:val="24"/>
        </w:rPr>
        <w:t>Upon the Company’s exercise of the option set forth in Section 1201 applicable to this Section with respect to any Securities of or within a series, the Company and the Subsidiary Guarantors shall be released from their obligations under Sections 1002 and 1003, and, if specified pursuant to Section 301, their obligations under any other covenant, with respect to such Outstanding Securities on and after the date the conditions set forth in Section 1204 are satisfied (hereinafter, “</w:t>
      </w:r>
      <w:r>
        <w:rPr>
          <w:rFonts w:ascii="Times New Roman" w:hAnsi="Times New Roman"/>
          <w:b/>
          <w:sz w:val="24"/>
        </w:rPr>
        <w:t>covenant defeasance</w:t>
      </w:r>
      <w:r>
        <w:rPr>
          <w:rFonts w:ascii="Times New Roman" w:hAnsi="Times New Roman"/>
          <w:sz w:val="24"/>
        </w:rPr>
        <w:t xml:space="preserve">”), and such Securities shall thereafter be deemed not to be “Outstanding” for the purposes of any request, demand, authorization, notice, direction, waiver, consent or declaration or Act of Holders (and the consequences of any thereof) in connection with such covenants, but shall continue to be deemed “Outstanding” for all other purposes hereunder. For this purpose, such covenant defeasance means that, with respect to such Outstanding Securities, the Company and the Subsidiary Guarantors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 Default or an Event of Default under Section 501(4) or Section 501(7) or otherwise, as the case may be, but, except as specified above, the remainder of this Indenture and such Securities shall be unaffected thereby. </w:t>
      </w:r>
    </w:p>
    <w:p>
      <w:pPr>
        <w:pStyle w:val="TextBody"/>
        <w:bidi w:val="0"/>
        <w:spacing w:before="240" w:after="0"/>
        <w:jc w:val="both"/>
        <w:rPr>
          <w:rFonts w:ascii="Times New Roman" w:hAnsi="Times New Roman"/>
          <w:b/>
          <w:sz w:val="24"/>
        </w:rPr>
      </w:pPr>
      <w:bookmarkStart w:id="137" w:name="ex99_1toc528636_178"/>
      <w:bookmarkEnd w:id="137"/>
      <w:r>
        <w:rPr>
          <w:rFonts w:ascii="Times New Roman" w:hAnsi="Times New Roman"/>
          <w:b/>
          <w:sz w:val="24"/>
        </w:rPr>
        <w:t xml:space="preserve">SECTION 1204. Conditions to Defeasance or Covenant Defeasance. </w:t>
      </w:r>
    </w:p>
    <w:p>
      <w:pPr>
        <w:pStyle w:val="TextBody"/>
        <w:bidi w:val="0"/>
        <w:spacing w:before="240" w:after="0"/>
        <w:jc w:val="both"/>
        <w:rPr>
          <w:rFonts w:ascii="Times New Roman" w:hAnsi="Times New Roman"/>
          <w:sz w:val="24"/>
        </w:rPr>
      </w:pPr>
      <w:r>
        <w:rPr>
          <w:rFonts w:ascii="Times New Roman" w:hAnsi="Times New Roman"/>
          <w:sz w:val="24"/>
        </w:rPr>
        <w:t xml:space="preserve">(a) The following shall be the conditions to application of either Section 1202 or Section 1203 to any Outstanding Securities of or within a series: </w:t>
      </w:r>
    </w:p>
    <w:p>
      <w:pPr>
        <w:pStyle w:val="TextBody"/>
        <w:bidi w:val="0"/>
        <w:spacing w:before="240" w:after="0"/>
        <w:jc w:val="both"/>
        <w:rPr>
          <w:rFonts w:ascii="Times New Roman" w:hAnsi="Times New Roman"/>
          <w:sz w:val="24"/>
        </w:rPr>
      </w:pPr>
      <w:r>
        <w:rPr>
          <w:rFonts w:ascii="Times New Roman" w:hAnsi="Times New Roman"/>
          <w:sz w:val="24"/>
        </w:rPr>
        <w:t xml:space="preserve">(1) The Company shall irrevocably have deposited or caused to be deposited with the Trustee (or another trustee satisfying the requirements of Section 607 who shall agree to comply with the provisions of this Article Twelve applicable to it) as trust funds in trust for the purpose of making the following payments, specifically pledged as security for, and dedicated solely to, the benefit of the Holders of such Securities, (A) an amount (in such Currency in which such Securities are then specified as payable at Stated Maturity), except as otherwise specified pursuant to Section 301 for the Securities of such series, or (B) Government Obligations applicable to such Securities (determined on the basis of the Currency in which such Securities are then specified as payable at Stated Maturity), except as otherwise specified pursuant to Section 301 for the Securities of such series, which through the scheduled payment of principal and interest in respect thereof in accordance with their terms will provide, not later than one day before the due date of any payment of principal of (and premium, if any), and interest, if any, under such Securities,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if any) and interest, if any, on such Outstanding Securities on the Stated Maturity (or Redemption Date, if applicable) of such principal (and premium, if any) or installment of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- 73 -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interest, if any, and (ii) any mandatory sinking fund payments or analogous payments applicable to such Outstanding Securities on the day on which such payments are due and payable in accordance with the terms of this Indenture and of such Securities; </w:t>
      </w:r>
      <w:r>
        <w:rPr>
          <w:rFonts w:ascii="Times New Roman" w:hAnsi="Times New Roman"/>
          <w:sz w:val="24"/>
          <w:u w:val="single"/>
        </w:rPr>
        <w:t>provided</w:t>
      </w:r>
      <w:r>
        <w:rPr>
          <w:rFonts w:ascii="Times New Roman" w:hAnsi="Times New Roman"/>
          <w:sz w:val="24"/>
        </w:rPr>
        <w:t xml:space="preserve"> that the Trustee shall have been irrevocably instructed to apply such money or the proceeds of such Government Obligations to said payments with respect to such Securities. Before such a deposit, the Company may give to the Trustee, in accordance with Section 1102 hereof, a notice of its election to redeem all or any portion of such Outstanding Securities at a future date in accordance with the terms of the Securities of such series and Article Eleven hereof, which notice shall be irrevocable. Such irrevocable redemption notice, if given, shall be given effect in applying the foregoing. </w:t>
      </w:r>
    </w:p>
    <w:p>
      <w:pPr>
        <w:pStyle w:val="TextBody"/>
        <w:bidi w:val="0"/>
        <w:spacing w:before="240" w:after="0"/>
        <w:jc w:val="both"/>
        <w:rPr>
          <w:rFonts w:ascii="Times New Roman" w:hAnsi="Times New Roman"/>
          <w:sz w:val="24"/>
        </w:rPr>
      </w:pPr>
      <w:r>
        <w:rPr>
          <w:rFonts w:ascii="Times New Roman" w:hAnsi="Times New Roman"/>
          <w:sz w:val="24"/>
        </w:rPr>
        <w:t xml:space="preserve">(2) No Default or Event of Default with respect to such Securities shall have occurred and be continuing on the date of such deposit or, insofar as paragraphs (5) or (6) of Section 501 are concerned, at any time during the period ending on the 91st day after the date of such deposit (it being understood that this condition shall not be deemed satisfied until the expiration of such period). </w:t>
      </w:r>
    </w:p>
    <w:p>
      <w:pPr>
        <w:pStyle w:val="TextBody"/>
        <w:bidi w:val="0"/>
        <w:spacing w:before="240" w:after="0"/>
        <w:jc w:val="both"/>
        <w:rPr>
          <w:rFonts w:ascii="Times New Roman" w:hAnsi="Times New Roman"/>
          <w:sz w:val="24"/>
        </w:rPr>
      </w:pPr>
      <w:r>
        <w:rPr>
          <w:rFonts w:ascii="Times New Roman" w:hAnsi="Times New Roman"/>
          <w:sz w:val="24"/>
        </w:rPr>
        <w:t xml:space="preserve">(3) Such defeasance or covenant defeasance shall not result in a breach or violation of, or constitute a default under, this Indenture or any other material agreement or instrument to which the Company or a Subsidiary Guarantor is a party or by which it is bound. </w:t>
      </w:r>
    </w:p>
    <w:p>
      <w:pPr>
        <w:pStyle w:val="TextBody"/>
        <w:bidi w:val="0"/>
        <w:spacing w:before="240" w:after="0"/>
        <w:jc w:val="both"/>
        <w:rPr>
          <w:rFonts w:ascii="Times New Roman" w:hAnsi="Times New Roman"/>
          <w:sz w:val="24"/>
        </w:rPr>
      </w:pPr>
      <w:r>
        <w:rPr>
          <w:rFonts w:ascii="Times New Roman" w:hAnsi="Times New Roman"/>
          <w:sz w:val="24"/>
        </w:rPr>
        <w:t xml:space="preserve">(4) Notwithstanding any other provisions of this Section, such defeasance or covenant defeasance shall be effected in compliance with any additional or substitute terms, conditions or limitations in connection therewith pursuant to Section 301. </w:t>
      </w:r>
    </w:p>
    <w:p>
      <w:pPr>
        <w:pStyle w:val="TextBody"/>
        <w:bidi w:val="0"/>
        <w:spacing w:before="240" w:after="0"/>
        <w:jc w:val="both"/>
        <w:rPr>
          <w:rFonts w:ascii="Times New Roman" w:hAnsi="Times New Roman"/>
          <w:sz w:val="24"/>
        </w:rPr>
      </w:pPr>
      <w:r>
        <w:rPr>
          <w:rFonts w:ascii="Times New Roman" w:hAnsi="Times New Roman"/>
          <w:sz w:val="24"/>
        </w:rPr>
        <w:t xml:space="preserve">(5) The Company shall have delivered to the Trustee an Officer’s Certificate and an Opinion of Counsel, each stating that all conditions precedent provided for relating to either the defeasance under Section 1202 or the covenant defeasance under Section 1203 (as the case may be) have been complied with. </w:t>
      </w:r>
    </w:p>
    <w:p>
      <w:pPr>
        <w:pStyle w:val="TextBody"/>
        <w:bidi w:val="0"/>
        <w:spacing w:before="240" w:after="0"/>
        <w:jc w:val="both"/>
        <w:rPr>
          <w:rFonts w:ascii="Times New Roman" w:hAnsi="Times New Roman"/>
          <w:sz w:val="24"/>
        </w:rPr>
      </w:pPr>
      <w:r>
        <w:rPr>
          <w:rFonts w:ascii="Times New Roman" w:hAnsi="Times New Roman"/>
          <w:sz w:val="24"/>
        </w:rPr>
        <w:t xml:space="preserve">(6) The Company shall have delivered to the Trustee an Opinion of Counsel qualified to practice law in Canada or a ruling from Canada Revenue Agency to the effect that the Holders of such Outstanding Securities will not recognize income, gain or loss for Canadian federal income tax purposes as a result of such defeasance or covenant defeasance, as applicable, and will be subject to Canadian federal income tax on the same amounts, in the same manner and at the same times as would have been the case had such defeasance or covenant defeasance, as applicable, not occurred (and for the purposes of such opinion, such Canadian counsel shall assume that Holders of the Outstanding Securities include Holders who are not resident in Canada). </w:t>
      </w:r>
    </w:p>
    <w:p>
      <w:pPr>
        <w:pStyle w:val="TextBody"/>
        <w:bidi w:val="0"/>
        <w:spacing w:before="240" w:after="0"/>
        <w:jc w:val="both"/>
        <w:rPr>
          <w:rFonts w:ascii="Times New Roman" w:hAnsi="Times New Roman"/>
          <w:sz w:val="24"/>
        </w:rPr>
      </w:pPr>
      <w:r>
        <w:rPr>
          <w:rFonts w:ascii="Times New Roman" w:hAnsi="Times New Roman"/>
          <w:sz w:val="24"/>
        </w:rPr>
        <w:t xml:space="preserve">(7) The Company is not “insolvent” within the meaning of the </w:t>
      </w:r>
      <w:r>
        <w:rPr>
          <w:rFonts w:ascii="Times New Roman" w:hAnsi="Times New Roman"/>
          <w:i/>
          <w:sz w:val="24"/>
        </w:rPr>
        <w:t>Bankruptcy and Insolvency Act</w:t>
      </w:r>
      <w:r>
        <w:rPr>
          <w:rFonts w:ascii="Times New Roman" w:hAnsi="Times New Roman"/>
          <w:sz w:val="24"/>
        </w:rPr>
        <w:t xml:space="preserve"> (Canada) on the date of such deposit or at any time during the period ending on the 91st day after the date of such deposit (it being understood that this condition shall not be deemed satisfied until the expiration of such period).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- 74 -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(b) Such defeasance or covenant defeasance shall not result in a breach or violation of, or constitute a default under, this Indenture or any other material agreement or instrument to which the Company is a party or by which it is bound. </w:t>
      </w:r>
    </w:p>
    <w:p>
      <w:pPr>
        <w:pStyle w:val="TextBody"/>
        <w:bidi w:val="0"/>
        <w:spacing w:before="240" w:after="0"/>
        <w:jc w:val="both"/>
        <w:rPr>
          <w:rFonts w:ascii="Times New Roman" w:hAnsi="Times New Roman"/>
          <w:b/>
          <w:sz w:val="24"/>
        </w:rPr>
      </w:pPr>
      <w:bookmarkStart w:id="138" w:name="ex99_1toc528636_179"/>
      <w:bookmarkEnd w:id="138"/>
      <w:r>
        <w:rPr>
          <w:rFonts w:ascii="Times New Roman" w:hAnsi="Times New Roman"/>
          <w:b/>
          <w:sz w:val="24"/>
        </w:rPr>
        <w:t xml:space="preserve">SECTION 1205. Deposited Money and Government Obligations to Be Held in Trust; Other Miscellaneous Provisions. </w:t>
      </w:r>
    </w:p>
    <w:p>
      <w:pPr>
        <w:pStyle w:val="TextBody"/>
        <w:bidi w:val="0"/>
        <w:spacing w:before="240" w:after="0"/>
        <w:jc w:val="both"/>
        <w:rPr>
          <w:rFonts w:ascii="Times New Roman" w:hAnsi="Times New Roman"/>
          <w:sz w:val="24"/>
        </w:rPr>
      </w:pPr>
      <w:r>
        <w:rPr>
          <w:rFonts w:ascii="Times New Roman" w:hAnsi="Times New Roman"/>
          <w:sz w:val="24"/>
        </w:rPr>
        <w:t xml:space="preserve">(a) Subject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1205, the “Trustee”) pursuant to Section 1204 in respect of such Outstanding Securities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(and premium, if any) and interest, if any, but such money need not be segregated from other funds except to the extent required by law. </w:t>
      </w:r>
    </w:p>
    <w:p>
      <w:pPr>
        <w:pStyle w:val="TextBody"/>
        <w:bidi w:val="0"/>
        <w:spacing w:before="240" w:after="0"/>
        <w:jc w:val="both"/>
        <w:rPr>
          <w:rFonts w:ascii="Times New Roman" w:hAnsi="Times New Roman"/>
          <w:sz w:val="24"/>
        </w:rPr>
      </w:pPr>
      <w:r>
        <w:rPr>
          <w:rFonts w:ascii="Times New Roman" w:hAnsi="Times New Roman"/>
          <w:sz w:val="24"/>
        </w:rPr>
        <w:t xml:space="preserve">(b) Unless otherwise specified with respect to any Security pursuant to Section 301, if, after a deposit referred to in Section 1204(a)(1) has been made, (a) the Holder of a Security in respect of which such deposit was made is entitled to, and does, elect pursuant to the terms of such Security to receive payment in a Currency other than that in which the deposit pursuant to Section 1204(a)(1) has been made in respect of such Security, or (b) a Conversion Event occurs as contemplated by the terms of any Security in respect of which the deposit pursuant to Section 1204(a)(1) has been made, the indebtedness represented by such Security shall be deemed to have been, and will be, fully discharged and satisfied through the payment of the principal of (and premium, if any) and interest, if any, on such Security as they become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third Business Day prior to each payment date, except, with respect to a Conversion Event, for such Currency in effect (as nearly as feasible) at the time of the Conversion Event. </w:t>
      </w:r>
    </w:p>
    <w:p>
      <w:pPr>
        <w:pStyle w:val="TextBody"/>
        <w:bidi w:val="0"/>
        <w:spacing w:before="240" w:after="0"/>
        <w:jc w:val="both"/>
        <w:rPr>
          <w:rFonts w:ascii="Times New Roman" w:hAnsi="Times New Roman"/>
          <w:sz w:val="24"/>
        </w:rPr>
      </w:pPr>
      <w:r>
        <w:rPr>
          <w:rFonts w:ascii="Times New Roman" w:hAnsi="Times New Roman"/>
          <w:sz w:val="24"/>
        </w:rPr>
        <w:t xml:space="preserve">(c) The Company shall pay and indemnify the Trustee against any tax, fee or other charge imposed on or assessed against the Government Obligations deposited pursuant to Section 1204 or the principal and interest received in respect thereof other than any such tax, fee or other charge which by law is for the account of the Holders of such Outstanding Securities. </w:t>
      </w:r>
    </w:p>
    <w:p>
      <w:pPr>
        <w:pStyle w:val="TextBody"/>
        <w:bidi w:val="0"/>
        <w:spacing w:before="240" w:after="0"/>
        <w:jc w:val="both"/>
        <w:rPr>
          <w:rFonts w:ascii="Times New Roman" w:hAnsi="Times New Roman"/>
          <w:sz w:val="24"/>
        </w:rPr>
      </w:pPr>
      <w:r>
        <w:rPr>
          <w:rFonts w:ascii="Times New Roman" w:hAnsi="Times New Roman"/>
          <w:sz w:val="24"/>
        </w:rPr>
        <w:t xml:space="preserve">(d) Anything in this Article Twelve to the contrary notwithstanding, the Trustee shall deliver or pay to the Company from time to time upon Company Request any money or Government Obligations (or other property and any proceeds therefrom) held by it as provided in Section 1204 which, in the opinion of a nationally recognized firm of independent public accountants expressed in a written certification thereof delivered to the Trustee, are in excess of the amount thereof which would then be required to be deposited to effect an equivalent defeasance or covenant defeasance, as applicable, in accordance with this Article.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- 75 - </w:t>
      </w:r>
    </w:p>
    <w:p>
      <w:pPr>
        <w:pStyle w:val="TextBody"/>
        <w:bidi w:val="0"/>
        <w:spacing w:before="0" w:after="0"/>
        <w:jc w:val="left"/>
        <w:rPr/>
      </w:pPr>
      <w:r>
        <w:rPr/>
        <w:t> </w:t>
      </w:r>
    </w:p>
    <w:p>
      <w:pPr>
        <w:pStyle w:val="TextBody"/>
        <w:bidi w:val="0"/>
        <w:spacing w:before="0" w:after="0"/>
        <w:jc w:val="both"/>
        <w:rPr>
          <w:rFonts w:ascii="Times New Roman" w:hAnsi="Times New Roman"/>
          <w:b/>
          <w:sz w:val="24"/>
        </w:rPr>
      </w:pPr>
      <w:bookmarkStart w:id="139" w:name="ex99_1toc528636_180"/>
      <w:bookmarkEnd w:id="139"/>
      <w:r>
        <w:rPr>
          <w:rFonts w:ascii="Times New Roman" w:hAnsi="Times New Roman"/>
          <w:b/>
          <w:sz w:val="24"/>
        </w:rPr>
        <w:t xml:space="preserve">SECTION 1206. Reinstatement. </w:t>
      </w:r>
    </w:p>
    <w:p>
      <w:pPr>
        <w:pStyle w:val="TextBody"/>
        <w:bidi w:val="0"/>
        <w:spacing w:before="240" w:after="0"/>
        <w:jc w:val="both"/>
        <w:rPr>
          <w:rFonts w:ascii="Times New Roman" w:hAnsi="Times New Roman"/>
          <w:sz w:val="24"/>
        </w:rPr>
      </w:pPr>
      <w:r>
        <w:rPr>
          <w:rFonts w:ascii="Times New Roman" w:hAnsi="Times New Roman"/>
          <w:sz w:val="24"/>
        </w:rPr>
        <w:t xml:space="preserve">If the Trustee or any Paying Agent is unable to apply any money in accordance with Section 1205 by reason of any order or judgment of any court or governmental authority enjoining, restraining or otherwise prohibiting such application, then the Company’s obligations under this Indenture and such Securities shall be revived and reinstated as though no deposit had occurred pursuant to Section 1202 or 1203, as the case may be, until such time as the Trustee or Paying Agent is permitted to apply all such money in accordance with Section 1205;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if the Company makes any payment of principal of (or premium, if any) or interest, if any, on any such Security following the reinstatement of its obligations, the Company shall be subrogated to the rights of the Holders of such Securities to receive such payment from the money held by the Trustee or Paying Agent.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THIRTEEN </w:t>
      </w:r>
    </w:p>
    <w:p>
      <w:pPr>
        <w:pStyle w:val="TextBody"/>
        <w:bidi w:val="0"/>
        <w:spacing w:before="240" w:after="0"/>
        <w:jc w:val="center"/>
        <w:rPr>
          <w:rFonts w:ascii="Times New Roman" w:hAnsi="Times New Roman"/>
          <w:b/>
          <w:sz w:val="24"/>
        </w:rPr>
      </w:pPr>
      <w:r>
        <w:rPr>
          <w:rFonts w:ascii="Times New Roman" w:hAnsi="Times New Roman"/>
          <w:b/>
          <w:sz w:val="24"/>
        </w:rPr>
        <w:t xml:space="preserve">GUARANTEES </w:t>
      </w:r>
    </w:p>
    <w:p>
      <w:pPr>
        <w:pStyle w:val="TextBody"/>
        <w:bidi w:val="0"/>
        <w:spacing w:before="240" w:after="0"/>
        <w:jc w:val="both"/>
        <w:rPr>
          <w:rFonts w:ascii="Times New Roman" w:hAnsi="Times New Roman"/>
          <w:b/>
          <w:sz w:val="24"/>
        </w:rPr>
      </w:pPr>
      <w:bookmarkStart w:id="140" w:name="ex99_1toc528636_184"/>
      <w:bookmarkEnd w:id="140"/>
      <w:r>
        <w:rPr>
          <w:rFonts w:ascii="Times New Roman" w:hAnsi="Times New Roman"/>
          <w:b/>
          <w:sz w:val="24"/>
        </w:rPr>
        <w:t xml:space="preserve">SECTION 1301. Guarantees. </w:t>
      </w:r>
    </w:p>
    <w:p>
      <w:pPr>
        <w:pStyle w:val="TextBody"/>
        <w:bidi w:val="0"/>
        <w:spacing w:before="240" w:after="0"/>
        <w:jc w:val="both"/>
        <w:rPr>
          <w:rFonts w:ascii="Times New Roman" w:hAnsi="Times New Roman"/>
          <w:sz w:val="24"/>
        </w:rPr>
      </w:pPr>
      <w:r>
        <w:rPr>
          <w:rFonts w:ascii="Times New Roman" w:hAnsi="Times New Roman"/>
          <w:sz w:val="24"/>
        </w:rPr>
        <w:t>Subject to this Article Thirteen, the Subsidiary Guarantors hereby, jointly and severally as primary obligors and not merely as sureties, fully and unconditionally guarantee, on a senior unsecured basis, to each Holder of a Security authenticated and delivered by the Trustee and to the Trustee and its successors and assigns, irrespective of the validity and enforceability of the Securities, this Indenture or the obligations of the Company or any other Subsidiary Guarantor hereunder or thereunder: (a) the due and punctual payment in full of the principal of, premium, if any, and interest on the Securities, subject to any applicable grace period, whether at Stated Maturity, by acceleration, redemption or otherwise, the due and punctual payment in full of interest on the overdue principal of and premium, if any, any Additional Amounts and, to the extent permitted by law, interest, and the due and punctual payment in full of any other amounts payable to the Holders or the Trustee under the Securities, this Indenture and any other agreement with or for the benefit of the Holders, in their capacities as such, or the Trustee relating to the Company’s obligations under the Securities, this Indenture, or such other agreements, as applicable, all in accordance with the terms hereof and thereof; and (b) in case of any extension of time of payment or renewal of any Securities or pursuant to any other payment obligation hereunder, that the same shall be promptly paid in full when due in accordance with the terms of the extension or renewal, whether at Stated Maturity, by acceleration pursuant to Section 503, redemption or otherwise (clauses (a) and (b), collectively, the “</w:t>
      </w:r>
      <w:r>
        <w:rPr>
          <w:rFonts w:ascii="Times New Roman" w:hAnsi="Times New Roman"/>
          <w:b/>
          <w:sz w:val="24"/>
        </w:rPr>
        <w:t>Guaranteed Obligations</w:t>
      </w:r>
      <w:r>
        <w:rPr>
          <w:rFonts w:ascii="Times New Roman" w:hAnsi="Times New Roman"/>
          <w:sz w:val="24"/>
        </w:rPr>
        <w:t xml:space="preserve">”). Failing payment when due of any amount so guaranteed for whatever reason, the Subsidiary Guarantors shall be jointly and severally obligated to pay the same immediately. Each Subsidiary Guarantor agrees that this is a guarantee of payment and not a guarantee of collection. </w:t>
      </w:r>
    </w:p>
    <w:p>
      <w:pPr>
        <w:pStyle w:val="TextBody"/>
        <w:bidi w:val="0"/>
        <w:spacing w:before="240" w:after="0"/>
        <w:jc w:val="both"/>
        <w:rPr>
          <w:rFonts w:ascii="Times New Roman" w:hAnsi="Times New Roman"/>
          <w:sz w:val="24"/>
        </w:rPr>
      </w:pPr>
      <w:r>
        <w:rPr>
          <w:rFonts w:ascii="Times New Roman" w:hAnsi="Times New Roman"/>
          <w:sz w:val="24"/>
        </w:rPr>
        <w:t xml:space="preserve">Each Subsidiary Guarantor hereby agrees that its obligations with regard to its Guarantee shall be joint and several and full and unconditional, and such obligation shall exist irrespective of: (a) the validity or enforceability of the Securities or the obligations of the Company under this Indenture or any other agreement with or for the benefit of the Holders or the Trustee; (b) the absence of any action to enforce the same or the Guarantee or any waiver or consent by any Holder with respect to any provisions hereof or thereof; (c) the recovery of any judgment against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- 76 -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the Company or any other obligor with respect to this Indenture, the Securities or any other agreement with or for the benefit of the Holders or the Trustee; (d) any amendment to the terms of the Guaranteed Obligations; and (e) any action to enforce the same or any other circumstances (other than payment in full of the Guaranteed Obligations) which might otherwise constitute a legal or equitable discharge or defense of a Subsidiary Guarantor. Each Subsidiary Guarantor further, to the extent permitted by applicable law, waives and relinquishes all claims, rights and remedies accorded by applicable law to guarantors and agrees not to assert or take advantage of any such claims, rights or remedies, including but not limited to: (a) any right to require any of the Trustee, the Holders or the Company (each a “</w:t>
      </w:r>
      <w:r>
        <w:rPr>
          <w:rFonts w:ascii="Times New Roman" w:hAnsi="Times New Roman"/>
          <w:b/>
          <w:sz w:val="24"/>
        </w:rPr>
        <w:t>Benefited Party</w:t>
      </w:r>
      <w:r>
        <w:rPr>
          <w:rFonts w:ascii="Times New Roman" w:hAnsi="Times New Roman"/>
          <w:sz w:val="24"/>
        </w:rPr>
        <w:t xml:space="preserve">”), as a condition of payment or performance by such Subsidiary Guarantor, to (1) proceed against the Company, any other guarantor (including any other Subsidiary Guarantor) of the Guaranteed Obligations or any other Person, (2) proceed against or exhaust any security held from the Company, any such other guarantor (including any other Subsidiary Guarantor) of the Guaranteed Obligations or any other Person, (3) proceed against or have resort to any balance of any deposit account or securities account or credit on the books of any Benefited Party or any other Subsidiary Guarantor in favor of the Company, any such other guarantor (including any other Subsidiary Guarantor) of the Guaranteed Obligations or any other Person, or (4) pursue any other remedy in the power of any Benefited Party whatsoever; (b) any defense arising by reason of the incapacity, lack of authority or any disability or other defense of any Benefited Party, including any defense based on or arising out of the lack of validity or the unenforceability of the Guaranteed Obligations or any agreement or instrument relating thereto or by reason of the cessation of the liability of the Company from any cause other than payment in full and complete performance of the Guaranteed Obligations; (c) any defense based upon any statute or rule of law which provides that the obligation of a surety must be neither larger in amount nor in other respects more burdensome than that of the principal; (d) any defense based upon any Benefited Party’s errors or omissions in the administration of the Guaranteed Obligations; (e) (1) any principles or provisions of law, statutory or otherwise, which are or might be in conflict with the terms of the Guarantees and any legal or equitable discharge of such Subsidiary Guarantor’s obligations hereunder, (2) the benefit of any statute of limitations affecting such Subsidiary Guarantor’s liability hereunder or the enforcement hereof, (3) any rights to set-offs, recoupments and counterclaims, (4) promptness, diligence and any requirement that any Benefited Party protect, secure, perfect or insure any security interest or lien or any property subject thereto, and (5) filing of claims with a court in the event of insolvency or bankruptcy of any Benefited Party; (f) notices, demands, presentations, protests, notices of protest, notices of dishonor and notices of any action or inaction, including acceptance of the Guarantees, notices of any renewal, extension or modification of the Guaranteed Obligations or any agreement related to any of the foregoing, and notices of any extension of credit to the Company and any right to consent to any thereof; (g) the benefits of any “One Action” rule and (h) any defenses or benefits that may be derived from or afforded by law which limit the liability of or exonerate guarantors or sureties, or which may conflict with the terms of the Guarantees. Except to the extent expressly provided herein, including Sections 1202, 1203 and 1304, each Subsidiary Guarantor hereby covenants that its Guarantee shall not be discharged except by payment in full and complete performance of the Guaranteed Obligations and the other obligations contained in its Guarantee and this Indenture. Each Subsidiary Guarantor also agrees to pay any and all costs and expenses (including reasonable attorneys’ fees) incurred by the Trustee or any Holder in enforcing any rights under this Section 1301.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- 77 -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If any Holder or the Trustee is required by any court or otherwise to return to the Company, any Subsidiary Guarantor, or any custodian, trustee, liquidator or other similar official acting in relation to the Company or any Subsidiary Guarantor, any amount paid by any of them to the Trustee or such Holder, this Guarantee, to the extent theretofore discharged, shall be reinstated in full force and effect. </w:t>
      </w:r>
    </w:p>
    <w:p>
      <w:pPr>
        <w:pStyle w:val="TextBody"/>
        <w:bidi w:val="0"/>
        <w:spacing w:before="240" w:after="0"/>
        <w:jc w:val="both"/>
        <w:rPr>
          <w:rFonts w:ascii="Times New Roman" w:hAnsi="Times New Roman"/>
          <w:sz w:val="24"/>
        </w:rPr>
      </w:pPr>
      <w:r>
        <w:rPr>
          <w:rFonts w:ascii="Times New Roman" w:hAnsi="Times New Roman"/>
          <w:sz w:val="24"/>
        </w:rPr>
        <w:t xml:space="preserve">Each Subsidiary Guarantor agrees that, until the payment in full of all Guaranteed Obligations, it shall waive any claim and shall not exercise any right or remedy, direct or indirect, with respect to any Person arising by reason of any performance by it of this Guarantee, whether by subrogation or otherwise. Each Subsidiary Guarantor reserves all rights and remedies, direct or indirect, with respect to the Company arising by reason of any performance by it of this Guarantee, whether by subrogation or otherwise, and may exercise any such rights or remedies with respect to any Person at any time following the payment in full of all Guaranteed Obligations. Each Subsidiary Guarantor further agrees that, as between the Subsidiary Guarantors, on the one hand, and the Holders and the Trustee, on the other hand, (x) the maturity of the Guaranteed Obligations may be accelerated as provided in Section 503 for the purposes of this Guarantee, notwithstanding any stay, injunction or other prohibition preventing such acceleration in respect of the Guaranteed Obligations and (y) in the event of any declaration of acceleration of such obligations as Section 503, such obligations (whether or not due and payable) shall forthwith become due and payable by the Subsidiary Guarantors for the purpose of this Guarantee. The Subsidiary Guarantors shall have the right to seek contribution from any non-paying Subsidiary Guarantor so long as the exercise of such right does not impair the rights of the Holders under the Guarantee. </w:t>
      </w:r>
    </w:p>
    <w:p>
      <w:pPr>
        <w:pStyle w:val="TextBody"/>
        <w:bidi w:val="0"/>
        <w:spacing w:before="240" w:after="0"/>
        <w:jc w:val="both"/>
        <w:rPr>
          <w:rFonts w:ascii="Times New Roman" w:hAnsi="Times New Roman"/>
          <w:b/>
          <w:sz w:val="24"/>
        </w:rPr>
      </w:pPr>
      <w:bookmarkStart w:id="141" w:name="ex99_1toc528636_185"/>
      <w:bookmarkEnd w:id="141"/>
      <w:r>
        <w:rPr>
          <w:rFonts w:ascii="Times New Roman" w:hAnsi="Times New Roman"/>
          <w:b/>
          <w:sz w:val="24"/>
        </w:rPr>
        <w:t xml:space="preserve">SECTION 1302. Limitation on Subsidiary Guarantor Liability </w:t>
      </w:r>
    </w:p>
    <w:p>
      <w:pPr>
        <w:pStyle w:val="TextBody"/>
        <w:bidi w:val="0"/>
        <w:spacing w:before="240" w:after="0"/>
        <w:jc w:val="both"/>
        <w:rPr>
          <w:rFonts w:ascii="Times New Roman" w:hAnsi="Times New Roman"/>
          <w:sz w:val="24"/>
        </w:rPr>
      </w:pPr>
      <w:r>
        <w:rPr>
          <w:rFonts w:ascii="Times New Roman" w:hAnsi="Times New Roman"/>
          <w:sz w:val="24"/>
        </w:rPr>
        <w:t xml:space="preserve">(1) Each Subsidiary Guarantor, and by its acceptance of Securities, each Holder, hereby confirms that it is the intention of all such parties that the Guarantee of such Subsidiary Guarantor not constitute a fraudulent transfer or conveyance for purposes of Bankruptcy Law, the Uniform Fraudulent Conveyance Act, the Uniform Fraudulent Transfer Act or any similar federal, provincial, state or other law to the extent applicable to such Guarantee. To effectuate the foregoing intention, the Trustee, the Holders and the Subsidiary Guarantors hereby irrevocably agree that each Subsidiary Guarantor’s liability shall be that amount from time to time equal to the aggregate liability of such Subsidiary Guarantor under the Guarantee, but shall be limited to the lesser of (a) the aggregate amount of the Company’s obligations under the Securities and this Indenture (including the Guaranteed Obligations) or (b) the amount, if any, which would not have (i) rendered the Subsidiary Guarantor “insolvent” (as such term is defined in Title 11 of the U.S. Code and in the Debtor and Creditor Law of the State of New York or in the </w:t>
      </w:r>
      <w:r>
        <w:rPr>
          <w:rFonts w:ascii="Times New Roman" w:hAnsi="Times New Roman"/>
          <w:i/>
          <w:sz w:val="24"/>
        </w:rPr>
        <w:t>Bankruptcy and Insolvency Act</w:t>
      </w:r>
      <w:r>
        <w:rPr>
          <w:rFonts w:ascii="Times New Roman" w:hAnsi="Times New Roman"/>
          <w:sz w:val="24"/>
        </w:rPr>
        <w:t xml:space="preserve"> (Canada)) or (ii) left it with unreasonably small capital at the time its Guarantee with respect to the Securities was entered into, after giving effect to the incurrence of existing debt immediately before such time;</w:t>
      </w:r>
      <w:r>
        <w:rPr>
          <w:rFonts w:ascii="Times New Roman" w:hAnsi="Times New Roman"/>
          <w:sz w:val="24"/>
          <w:u w:val="single"/>
        </w:rPr>
        <w:t> provided</w:t>
      </w:r>
      <w:r>
        <w:rPr>
          <w:rFonts w:ascii="Times New Roman" w:hAnsi="Times New Roman"/>
          <w:sz w:val="24"/>
        </w:rPr>
        <w:t>,</w:t>
      </w:r>
      <w:r>
        <w:rPr>
          <w:rFonts w:ascii="Times New Roman" w:hAnsi="Times New Roman"/>
          <w:sz w:val="24"/>
          <w:u w:val="single"/>
        </w:rPr>
        <w:t> however</w:t>
      </w:r>
      <w:r>
        <w:rPr>
          <w:rFonts w:ascii="Times New Roman" w:hAnsi="Times New Roman"/>
          <w:sz w:val="24"/>
        </w:rPr>
        <w:t xml:space="preserve">, it shall be a presumption in any lawsuit or proceeding in which a Subsidiary Guarantor is a party that the amount guaranteed pursuant to the Guarantee with respect to the Securities and this Indenture is the amount described in clause (1)(a) of this Section 1302 unless any creditor, or representative of creditors of the Subsidiary Guarantor, or debtor in possession or trustee in bankruptcy of the Subsidiary Guarantor, otherwise proves in a lawsuit that the aggregate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- 78 -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liability of the Subsidiary Guarantor is limited to the amount described in clause (b) of this Section 1302. </w:t>
      </w:r>
    </w:p>
    <w:p>
      <w:pPr>
        <w:pStyle w:val="TextBody"/>
        <w:bidi w:val="0"/>
        <w:spacing w:before="240" w:after="0"/>
        <w:jc w:val="both"/>
        <w:rPr>
          <w:rFonts w:ascii="Times New Roman" w:hAnsi="Times New Roman"/>
          <w:sz w:val="24"/>
        </w:rPr>
      </w:pPr>
      <w:r>
        <w:rPr>
          <w:rFonts w:ascii="Times New Roman" w:hAnsi="Times New Roman"/>
          <w:sz w:val="24"/>
        </w:rPr>
        <w:t xml:space="preserve">(2) In making any determination as to the solvency or sufficiency of capital of a Subsidiary Guarantor in accordance with the proviso of Section 1302(1), the right of each Subsidiary Guarantor to contribution from other Subsidiary Guarantors and any other rights such Subsidiary Guarantor may have, contractual or otherwise, shall be taken into account. </w:t>
      </w:r>
    </w:p>
    <w:p>
      <w:pPr>
        <w:pStyle w:val="TextBody"/>
        <w:bidi w:val="0"/>
        <w:spacing w:before="240" w:after="0"/>
        <w:jc w:val="both"/>
        <w:rPr>
          <w:rFonts w:ascii="Times New Roman" w:hAnsi="Times New Roman"/>
          <w:b/>
          <w:sz w:val="24"/>
        </w:rPr>
      </w:pPr>
      <w:bookmarkStart w:id="142" w:name="ex99_1toc528636_186"/>
      <w:bookmarkEnd w:id="142"/>
      <w:r>
        <w:rPr>
          <w:rFonts w:ascii="Times New Roman" w:hAnsi="Times New Roman"/>
          <w:b/>
          <w:sz w:val="24"/>
        </w:rPr>
        <w:t xml:space="preserve">SECTION 1303. Evidence of Guarantee. </w:t>
      </w:r>
    </w:p>
    <w:p>
      <w:pPr>
        <w:pStyle w:val="TextBody"/>
        <w:bidi w:val="0"/>
        <w:spacing w:before="240" w:after="0"/>
        <w:jc w:val="both"/>
        <w:rPr>
          <w:rFonts w:ascii="Times New Roman" w:hAnsi="Times New Roman"/>
          <w:sz w:val="24"/>
        </w:rPr>
      </w:pPr>
      <w:r>
        <w:rPr>
          <w:rFonts w:ascii="Times New Roman" w:hAnsi="Times New Roman"/>
          <w:sz w:val="24"/>
        </w:rPr>
        <w:t xml:space="preserve">The Guarantee of each Subsidiary Guarantor shall be evidenced by the execution and delivery of this Indenture and/or the supplemental indenture thereto for the applicable series of Securities, each of which shall be executed on behalf of such Subsidiary Guarantor by any of its officers. Such execution may be effected pursuant to a valid power of attorney. </w:t>
      </w:r>
    </w:p>
    <w:p>
      <w:pPr>
        <w:pStyle w:val="TextBody"/>
        <w:bidi w:val="0"/>
        <w:spacing w:before="240" w:after="0"/>
        <w:jc w:val="both"/>
        <w:rPr>
          <w:rFonts w:ascii="Times New Roman" w:hAnsi="Times New Roman"/>
          <w:sz w:val="24"/>
        </w:rPr>
      </w:pPr>
      <w:r>
        <w:rPr>
          <w:rFonts w:ascii="Times New Roman" w:hAnsi="Times New Roman"/>
          <w:sz w:val="24"/>
        </w:rPr>
        <w:t xml:space="preserve">If an Officer whose signature is on this Indenture and/or the applicable supplemental indenture, no longer holds that office at the time the Trustee authenticates the Security that is subject to such Guarantee, the Guarantee shall be valid nevertheless. </w:t>
      </w:r>
    </w:p>
    <w:p>
      <w:pPr>
        <w:pStyle w:val="TextBody"/>
        <w:bidi w:val="0"/>
        <w:spacing w:before="240" w:after="0"/>
        <w:jc w:val="both"/>
        <w:rPr>
          <w:rFonts w:ascii="Times New Roman" w:hAnsi="Times New Roman"/>
          <w:sz w:val="24"/>
        </w:rPr>
      </w:pPr>
      <w:r>
        <w:rPr>
          <w:rFonts w:ascii="Times New Roman" w:hAnsi="Times New Roman"/>
          <w:sz w:val="24"/>
        </w:rPr>
        <w:t xml:space="preserve">The delivery of any Security by the Trustees, after the authentication thereof hereunder, shall constitute due delivery of the Guarantee set forth in this Indenture on behalf of the Subsidiary Guarantors. </w:t>
      </w:r>
    </w:p>
    <w:p>
      <w:pPr>
        <w:pStyle w:val="TextBody"/>
        <w:bidi w:val="0"/>
        <w:spacing w:before="240" w:after="0"/>
        <w:jc w:val="both"/>
        <w:rPr>
          <w:rFonts w:ascii="Times New Roman" w:hAnsi="Times New Roman"/>
          <w:b/>
          <w:sz w:val="24"/>
        </w:rPr>
      </w:pPr>
      <w:bookmarkStart w:id="143" w:name="ex99_1toc528636_187"/>
      <w:bookmarkEnd w:id="143"/>
      <w:r>
        <w:rPr>
          <w:rFonts w:ascii="Times New Roman" w:hAnsi="Times New Roman"/>
          <w:b/>
          <w:sz w:val="24"/>
        </w:rPr>
        <w:t xml:space="preserve">SECTION 1304. Releases Following Merger, Consolidation or Sale of Assets, Etc. </w:t>
      </w:r>
    </w:p>
    <w:p>
      <w:pPr>
        <w:pStyle w:val="TextBody"/>
        <w:bidi w:val="0"/>
        <w:spacing w:before="240" w:after="0"/>
        <w:jc w:val="both"/>
        <w:rPr>
          <w:rFonts w:ascii="Times New Roman" w:hAnsi="Times New Roman"/>
          <w:sz w:val="24"/>
        </w:rPr>
      </w:pPr>
      <w:r>
        <w:rPr>
          <w:rFonts w:ascii="Times New Roman" w:hAnsi="Times New Roman"/>
          <w:sz w:val="24"/>
        </w:rPr>
        <w:t>In the event of (x) a sale or other disposition of all or substantially all of the assets of any Subsidiary Guarantor, by way of merger, consolidation or otherwise, or a sale or other disposition of any of the Capital Stock of any Subsidiary Guarantor, in each case to a Person that is not (either before or after giving effect to such transactions) the Company or a Wholly-owned Subsidiary of the Company, (y) any other transaction if, after giving effect to such transaction, any Subsidiary Guarantor is no longer a Wholly-owned Subsidiary of the Company or (z) such other circumstances provided in the supplemental indenture for a particular series of Securities, then such Subsidiary Guarantor shall be released and relieved of any obligations under its Guarantee with respect to all series of Securities hereunder (in the case of clause (x) or (y)) or with respect to the series of Securities providing for such release (in the case of clause (z));</w:t>
      </w:r>
      <w:r>
        <w:rPr>
          <w:rFonts w:ascii="Times New Roman" w:hAnsi="Times New Roman"/>
          <w:sz w:val="24"/>
          <w:u w:val="single"/>
        </w:rPr>
        <w:t> provided</w:t>
      </w:r>
      <w:r>
        <w:rPr>
          <w:rFonts w:ascii="Times New Roman" w:hAnsi="Times New Roman"/>
          <w:sz w:val="24"/>
        </w:rPr>
        <w:t xml:space="preserve"> that such transaction does not violate the applicable provisions of this Indenture. Upon delivery by the Company to the Trustee of an Officer’s Certificate and an Opinion of Counsel to the effect that such sale or other disposition was made in accordance with the provisions of this Indenture, including Section 801 and that all conditions precedent under this Indenture for the Trustee to execute the documents it is being requested to execute in connection therewith and pursuant to this Section 1304 have been satisfied, if applicable, the Trustee shall promptly execute any documents (in form and substance reasonably satisfactory to the Trustee) reasonably required in order to evidence the full release of any Subsidiary Guarantor from its obligations under its Guarantee. Any Subsidiary Guarantor not released from its Guarantee as provided in this Section 1304, will remain liable for the full amount of all Guaranteed Obligations, in each case as provided in this Article Thirteen.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- 79 -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 * *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b/>
          <w:sz w:val="24"/>
        </w:rPr>
        <w:t>IN WITNESS WHEREOF</w:t>
      </w:r>
      <w:r>
        <w:rPr>
          <w:rFonts w:ascii="Times New Roman" w:hAnsi="Times New Roman"/>
          <w:sz w:val="24"/>
        </w:rPr>
        <w:t xml:space="preserve">, the parties hereto have caused this Indenture to be duly executed as of the date first above written. </w:t>
      </w:r>
    </w:p>
    <w:p>
      <w:pPr>
        <w:pStyle w:val="TextBody"/>
        <w:bidi w:val="0"/>
        <w:spacing w:before="0" w:after="0"/>
        <w:jc w:val="left"/>
        <w:rPr/>
      </w:pPr>
      <w:r>
        <w:rPr/>
        <w:t> </w:t>
      </w:r>
    </w:p>
    <w:tbl>
      <w:tblPr>
        <w:tblW w:w="4460" w:type="dxa"/>
        <w:jc w:val="right"/>
        <w:tblInd w:w="0" w:type="dxa"/>
        <w:tblLayout w:type="fixed"/>
        <w:tblCellMar>
          <w:top w:w="0" w:type="dxa"/>
          <w:left w:w="0" w:type="dxa"/>
          <w:bottom w:w="0" w:type="dxa"/>
          <w:right w:w="0" w:type="dxa"/>
        </w:tblCellMar>
      </w:tblPr>
      <w:tblGrid>
        <w:gridCol w:w="1676"/>
        <w:gridCol w:w="170"/>
        <w:gridCol w:w="2614"/>
      </w:tblGrid>
      <w:tr>
        <w:trPr/>
        <w:tc>
          <w:tcPr>
            <w:tcW w:w="1676"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r>
      <w:tr>
        <w:trPr/>
        <w:tc>
          <w:tcPr>
            <w:tcW w:w="4460" w:type="dxa"/>
            <w:gridSpan w:val="3"/>
            <w:tcBorders/>
          </w:tcPr>
          <w:p>
            <w:pPr>
              <w:pStyle w:val="TableContents"/>
              <w:bidi w:val="0"/>
              <w:spacing w:before="0" w:after="283"/>
              <w:jc w:val="left"/>
              <w:rPr/>
            </w:pPr>
            <w:r>
              <w:rPr>
                <w:b/>
              </w:rPr>
              <w:t>THOMSON REUTERS CORPORATION</w:t>
            </w:r>
            <w:r>
              <w:rPr/>
              <w:t>, as Issuer</w:t>
            </w:r>
          </w:p>
        </w:tc>
      </w:tr>
      <w:tr>
        <w:trPr>
          <w:trHeight w:val="360" w:hRule="atLeast"/>
        </w:trPr>
        <w:tc>
          <w:tcPr>
            <w:tcW w:w="1676" w:type="dxa"/>
            <w:tcBorders/>
            <w:vAlign w:val="center"/>
          </w:tcPr>
          <w:p>
            <w:pPr>
              <w:pStyle w:val="TableContents"/>
              <w:bidi w:val="0"/>
              <w:spacing w:before="0" w:after="283"/>
              <w:jc w:val="left"/>
              <w:rPr>
                <w:sz w:val="4"/>
                <w:szCs w:val="4"/>
              </w:rPr>
            </w:pPr>
            <w:r>
              <w:rPr>
                <w:sz w:val="4"/>
                <w:szCs w:val="4"/>
              </w:rPr>
            </w:r>
          </w:p>
        </w:tc>
        <w:tc>
          <w:tcPr>
            <w:tcW w:w="2784" w:type="dxa"/>
            <w:gridSpan w:val="2"/>
            <w:tcBorders/>
            <w:vAlign w:val="center"/>
          </w:tcPr>
          <w:p>
            <w:pPr>
              <w:pStyle w:val="TableContents"/>
              <w:bidi w:val="0"/>
              <w:spacing w:before="0" w:after="283"/>
              <w:jc w:val="left"/>
              <w:rPr>
                <w:sz w:val="4"/>
                <w:szCs w:val="4"/>
              </w:rPr>
            </w:pPr>
            <w:r>
              <w:rPr>
                <w:sz w:val="4"/>
                <w:szCs w:val="4"/>
              </w:rPr>
            </w:r>
          </w:p>
        </w:tc>
      </w:tr>
      <w:tr>
        <w:trPr/>
        <w:tc>
          <w:tcPr>
            <w:tcW w:w="1676" w:type="dxa"/>
            <w:tcBorders/>
          </w:tcPr>
          <w:p>
            <w:pPr>
              <w:pStyle w:val="TableContents"/>
              <w:bidi w:val="0"/>
              <w:spacing w:before="0" w:after="283"/>
              <w:jc w:val="left"/>
              <w:rPr/>
            </w:pPr>
            <w:r>
              <w:rPr/>
              <w:t>By:</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c>
          <w:tcPr>
            <w:tcW w:w="2614" w:type="dxa"/>
            <w:tcBorders>
              <w:bottom w:val="single" w:sz="2" w:space="0" w:color="000000"/>
            </w:tcBorders>
            <w:tcMar>
              <w:bottom w:w="28" w:type="dxa"/>
            </w:tcMar>
          </w:tcPr>
          <w:p>
            <w:pPr>
              <w:pStyle w:val="TableContents"/>
              <w:bidi w:val="0"/>
              <w:spacing w:before="0" w:after="283"/>
              <w:jc w:val="left"/>
              <w:rPr>
                <w:i/>
              </w:rPr>
            </w:pPr>
            <w:r>
              <w:rPr>
                <w:i/>
              </w:rPr>
              <w:t>/s/ Chad MacLean</w:t>
            </w:r>
          </w:p>
        </w:tc>
      </w:tr>
      <w:tr>
        <w:trPr/>
        <w:tc>
          <w:tcPr>
            <w:tcW w:w="1676" w:type="dxa"/>
            <w:tcBorders/>
          </w:tcPr>
          <w:p>
            <w:pPr>
              <w:pStyle w:val="TableContents"/>
              <w:bidi w:val="0"/>
              <w:spacing w:before="0" w:after="283"/>
              <w:jc w:val="left"/>
              <w:rPr/>
            </w:pPr>
            <w:r>
              <w:rPr/>
              <w:t>Name:</w:t>
            </w:r>
          </w:p>
        </w:tc>
        <w:tc>
          <w:tcPr>
            <w:tcW w:w="170" w:type="dxa"/>
            <w:tcBorders/>
            <w:vAlign w:val="bottom"/>
          </w:tcPr>
          <w:p>
            <w:pPr>
              <w:pStyle w:val="TableContents"/>
              <w:bidi w:val="0"/>
              <w:spacing w:before="0" w:after="283"/>
              <w:jc w:val="left"/>
              <w:rPr/>
            </w:pPr>
            <w:r>
              <w:rPr/>
              <w:t> </w:t>
            </w:r>
          </w:p>
        </w:tc>
        <w:tc>
          <w:tcPr>
            <w:tcW w:w="2614" w:type="dxa"/>
            <w:tcBorders/>
          </w:tcPr>
          <w:p>
            <w:pPr>
              <w:pStyle w:val="TableContents"/>
              <w:bidi w:val="0"/>
              <w:spacing w:before="0" w:after="283"/>
              <w:jc w:val="left"/>
              <w:rPr/>
            </w:pPr>
            <w:r>
              <w:rPr/>
              <w:t>Chad MacLean</w:t>
            </w:r>
          </w:p>
        </w:tc>
      </w:tr>
      <w:tr>
        <w:trPr/>
        <w:tc>
          <w:tcPr>
            <w:tcW w:w="1676" w:type="dxa"/>
            <w:tcBorders/>
          </w:tcPr>
          <w:p>
            <w:pPr>
              <w:pStyle w:val="TableContents"/>
              <w:bidi w:val="0"/>
              <w:spacing w:before="0" w:after="283"/>
              <w:jc w:val="left"/>
              <w:rPr/>
            </w:pPr>
            <w:r>
              <w:rPr/>
              <w:t>Title:</w:t>
            </w:r>
          </w:p>
        </w:tc>
        <w:tc>
          <w:tcPr>
            <w:tcW w:w="170" w:type="dxa"/>
            <w:tcBorders/>
            <w:vAlign w:val="bottom"/>
          </w:tcPr>
          <w:p>
            <w:pPr>
              <w:pStyle w:val="TableContents"/>
              <w:bidi w:val="0"/>
              <w:spacing w:before="0" w:after="283"/>
              <w:jc w:val="left"/>
              <w:rPr/>
            </w:pPr>
            <w:r>
              <w:rPr/>
              <w:t> </w:t>
            </w:r>
          </w:p>
        </w:tc>
        <w:tc>
          <w:tcPr>
            <w:tcW w:w="2614" w:type="dxa"/>
            <w:tcBorders/>
          </w:tcPr>
          <w:p>
            <w:pPr>
              <w:pStyle w:val="TableContents"/>
              <w:bidi w:val="0"/>
              <w:spacing w:before="0" w:after="283"/>
              <w:jc w:val="left"/>
              <w:rPr/>
            </w:pPr>
            <w:r>
              <w:rPr/>
              <w:t>Treasurer</w:t>
            </w:r>
          </w:p>
        </w:tc>
      </w:tr>
    </w:tbl>
    <w:p>
      <w:pPr>
        <w:pStyle w:val="TextBody"/>
        <w:bidi w:val="0"/>
        <w:spacing w:before="0" w:after="0"/>
        <w:jc w:val="left"/>
        <w:rPr/>
      </w:pPr>
      <w:r>
        <w:rPr/>
        <w:t> </w:t>
      </w:r>
    </w:p>
    <w:tbl>
      <w:tblPr>
        <w:tblW w:w="4520" w:type="dxa"/>
        <w:jc w:val="right"/>
        <w:tblInd w:w="0" w:type="dxa"/>
        <w:tblLayout w:type="fixed"/>
        <w:tblCellMar>
          <w:top w:w="0" w:type="dxa"/>
          <w:left w:w="0" w:type="dxa"/>
          <w:bottom w:w="0" w:type="dxa"/>
          <w:right w:w="0" w:type="dxa"/>
        </w:tblCellMar>
      </w:tblPr>
      <w:tblGrid>
        <w:gridCol w:w="1403"/>
        <w:gridCol w:w="142"/>
        <w:gridCol w:w="2975"/>
      </w:tblGrid>
      <w:tr>
        <w:trPr/>
        <w:tc>
          <w:tcPr>
            <w:tcW w:w="1403"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r>
      <w:tr>
        <w:trPr/>
        <w:tc>
          <w:tcPr>
            <w:tcW w:w="4520" w:type="dxa"/>
            <w:gridSpan w:val="3"/>
            <w:tcBorders/>
          </w:tcPr>
          <w:p>
            <w:pPr>
              <w:pStyle w:val="TableContents"/>
              <w:bidi w:val="0"/>
              <w:spacing w:before="0" w:after="283"/>
              <w:jc w:val="left"/>
              <w:rPr/>
            </w:pPr>
            <w:r>
              <w:rPr>
                <w:b/>
              </w:rPr>
              <w:t>WEST PUBLISHING CORPORATION</w:t>
            </w:r>
            <w:r>
              <w:rPr/>
              <w:t>, as a Subsidiary Guarantor</w:t>
            </w:r>
          </w:p>
        </w:tc>
      </w:tr>
      <w:tr>
        <w:trPr>
          <w:trHeight w:val="360" w:hRule="atLeast"/>
        </w:trPr>
        <w:tc>
          <w:tcPr>
            <w:tcW w:w="1403" w:type="dxa"/>
            <w:tcBorders/>
            <w:vAlign w:val="center"/>
          </w:tcPr>
          <w:p>
            <w:pPr>
              <w:pStyle w:val="TableContents"/>
              <w:bidi w:val="0"/>
              <w:spacing w:before="0" w:after="283"/>
              <w:jc w:val="left"/>
              <w:rPr>
                <w:sz w:val="4"/>
                <w:szCs w:val="4"/>
              </w:rPr>
            </w:pPr>
            <w:r>
              <w:rPr>
                <w:sz w:val="4"/>
                <w:szCs w:val="4"/>
              </w:rPr>
            </w:r>
          </w:p>
        </w:tc>
        <w:tc>
          <w:tcPr>
            <w:tcW w:w="3117" w:type="dxa"/>
            <w:gridSpan w:val="2"/>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283"/>
              <w:jc w:val="left"/>
              <w:rPr/>
            </w:pPr>
            <w:r>
              <w:rPr/>
              <w:t>By:</w:t>
            </w:r>
          </w:p>
        </w:tc>
        <w:tc>
          <w:tcPr>
            <w:tcW w:w="142" w:type="dxa"/>
            <w:tcBorders>
              <w:bottom w:val="single" w:sz="2" w:space="0" w:color="000000"/>
            </w:tcBorders>
            <w:tcMar>
              <w:bottom w:w="28" w:type="dxa"/>
            </w:tcMar>
            <w:vAlign w:val="bottom"/>
          </w:tcPr>
          <w:p>
            <w:pPr>
              <w:pStyle w:val="TableContents"/>
              <w:bidi w:val="0"/>
              <w:spacing w:before="0" w:after="283"/>
              <w:jc w:val="left"/>
              <w:rPr/>
            </w:pPr>
            <w:r>
              <w:rPr/>
              <w:t> </w:t>
            </w:r>
          </w:p>
        </w:tc>
        <w:tc>
          <w:tcPr>
            <w:tcW w:w="2975" w:type="dxa"/>
            <w:tcBorders>
              <w:bottom w:val="single" w:sz="2" w:space="0" w:color="000000"/>
            </w:tcBorders>
            <w:tcMar>
              <w:bottom w:w="28" w:type="dxa"/>
            </w:tcMar>
          </w:tcPr>
          <w:p>
            <w:pPr>
              <w:pStyle w:val="TableContents"/>
              <w:bidi w:val="0"/>
              <w:spacing w:before="0" w:after="283"/>
              <w:jc w:val="left"/>
              <w:rPr>
                <w:i/>
              </w:rPr>
            </w:pPr>
            <w:r>
              <w:rPr>
                <w:i/>
              </w:rPr>
              <w:t>/s/ Ragunath Ramanathan</w:t>
            </w:r>
          </w:p>
        </w:tc>
      </w:tr>
      <w:tr>
        <w:trPr/>
        <w:tc>
          <w:tcPr>
            <w:tcW w:w="1403" w:type="dxa"/>
            <w:tcBorders/>
          </w:tcPr>
          <w:p>
            <w:pPr>
              <w:pStyle w:val="TableContents"/>
              <w:bidi w:val="0"/>
              <w:spacing w:before="0" w:after="283"/>
              <w:jc w:val="left"/>
              <w:rPr/>
            </w:pPr>
            <w:r>
              <w:rPr/>
              <w:t>Name:</w:t>
            </w:r>
          </w:p>
        </w:tc>
        <w:tc>
          <w:tcPr>
            <w:tcW w:w="142" w:type="dxa"/>
            <w:tcBorders/>
            <w:vAlign w:val="bottom"/>
          </w:tcPr>
          <w:p>
            <w:pPr>
              <w:pStyle w:val="TableContents"/>
              <w:bidi w:val="0"/>
              <w:spacing w:before="0" w:after="283"/>
              <w:jc w:val="left"/>
              <w:rPr/>
            </w:pPr>
            <w:r>
              <w:rPr/>
              <w:t> </w:t>
            </w:r>
          </w:p>
        </w:tc>
        <w:tc>
          <w:tcPr>
            <w:tcW w:w="2975" w:type="dxa"/>
            <w:tcBorders/>
          </w:tcPr>
          <w:p>
            <w:pPr>
              <w:pStyle w:val="TableContents"/>
              <w:bidi w:val="0"/>
              <w:spacing w:before="0" w:after="283"/>
              <w:jc w:val="left"/>
              <w:rPr/>
            </w:pPr>
            <w:r>
              <w:rPr/>
              <w:t>Ragunath Ramanathan</w:t>
            </w:r>
          </w:p>
        </w:tc>
      </w:tr>
      <w:tr>
        <w:trPr/>
        <w:tc>
          <w:tcPr>
            <w:tcW w:w="1403" w:type="dxa"/>
            <w:tcBorders/>
          </w:tcPr>
          <w:p>
            <w:pPr>
              <w:pStyle w:val="TableContents"/>
              <w:bidi w:val="0"/>
              <w:spacing w:before="0" w:after="283"/>
              <w:jc w:val="left"/>
              <w:rPr/>
            </w:pPr>
            <w:r>
              <w:rPr/>
              <w:t>Title:</w:t>
            </w:r>
          </w:p>
        </w:tc>
        <w:tc>
          <w:tcPr>
            <w:tcW w:w="142" w:type="dxa"/>
            <w:tcBorders/>
            <w:vAlign w:val="bottom"/>
          </w:tcPr>
          <w:p>
            <w:pPr>
              <w:pStyle w:val="TableContents"/>
              <w:bidi w:val="0"/>
              <w:spacing w:before="0" w:after="283"/>
              <w:jc w:val="left"/>
              <w:rPr/>
            </w:pPr>
            <w:r>
              <w:rPr/>
              <w:t> </w:t>
            </w:r>
          </w:p>
        </w:tc>
        <w:tc>
          <w:tcPr>
            <w:tcW w:w="2975" w:type="dxa"/>
            <w:tcBorders/>
          </w:tcPr>
          <w:p>
            <w:pPr>
              <w:pStyle w:val="TableContents"/>
              <w:bidi w:val="0"/>
              <w:spacing w:before="0" w:after="283"/>
              <w:jc w:val="left"/>
              <w:rPr/>
            </w:pPr>
            <w:r>
              <w:rPr/>
              <w:t>President</w:t>
            </w:r>
          </w:p>
        </w:tc>
      </w:tr>
    </w:tbl>
    <w:p>
      <w:pPr>
        <w:pStyle w:val="TextBody"/>
        <w:bidi w:val="0"/>
        <w:spacing w:before="0" w:after="0"/>
        <w:jc w:val="left"/>
        <w:rPr/>
      </w:pPr>
      <w:r>
        <w:rPr/>
        <w:t> </w:t>
      </w:r>
    </w:p>
    <w:tbl>
      <w:tblPr>
        <w:tblW w:w="4400" w:type="dxa"/>
        <w:jc w:val="right"/>
        <w:tblInd w:w="0" w:type="dxa"/>
        <w:tblLayout w:type="fixed"/>
        <w:tblCellMar>
          <w:top w:w="0" w:type="dxa"/>
          <w:left w:w="0" w:type="dxa"/>
          <w:bottom w:w="0" w:type="dxa"/>
          <w:right w:w="0" w:type="dxa"/>
        </w:tblCellMar>
      </w:tblPr>
      <w:tblGrid>
        <w:gridCol w:w="1366"/>
        <w:gridCol w:w="138"/>
        <w:gridCol w:w="2896"/>
      </w:tblGrid>
      <w:tr>
        <w:trPr/>
        <w:tc>
          <w:tcPr>
            <w:tcW w:w="136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cPr>
          <w:p>
            <w:pPr>
              <w:pStyle w:val="TableContents"/>
              <w:bidi w:val="0"/>
              <w:spacing w:before="0" w:after="283"/>
              <w:jc w:val="left"/>
              <w:rPr/>
            </w:pPr>
            <w:r>
              <w:rPr>
                <w:b/>
              </w:rPr>
              <w:t>THOMSON REUTERS APPLICATIONS INC.</w:t>
            </w:r>
            <w:r>
              <w:rPr/>
              <w:t>, as a Subsidiary Guarantor</w:t>
            </w:r>
          </w:p>
        </w:tc>
      </w:tr>
      <w:tr>
        <w:trPr>
          <w:trHeight w:val="360" w:hRule="atLeast"/>
        </w:trPr>
        <w:tc>
          <w:tcPr>
            <w:tcW w:w="1366" w:type="dxa"/>
            <w:tcBorders/>
            <w:vAlign w:val="center"/>
          </w:tcPr>
          <w:p>
            <w:pPr>
              <w:pStyle w:val="TableContents"/>
              <w:bidi w:val="0"/>
              <w:spacing w:before="0" w:after="283"/>
              <w:jc w:val="left"/>
              <w:rPr>
                <w:sz w:val="4"/>
                <w:szCs w:val="4"/>
              </w:rPr>
            </w:pPr>
            <w:r>
              <w:rPr>
                <w:sz w:val="4"/>
                <w:szCs w:val="4"/>
              </w:rPr>
            </w:r>
          </w:p>
        </w:tc>
        <w:tc>
          <w:tcPr>
            <w:tcW w:w="3034" w:type="dxa"/>
            <w:gridSpan w:val="2"/>
            <w:tcBorders/>
            <w:vAlign w:val="center"/>
          </w:tcPr>
          <w:p>
            <w:pPr>
              <w:pStyle w:val="TableContents"/>
              <w:bidi w:val="0"/>
              <w:spacing w:before="0" w:after="283"/>
              <w:jc w:val="left"/>
              <w:rPr>
                <w:sz w:val="4"/>
                <w:szCs w:val="4"/>
              </w:rPr>
            </w:pPr>
            <w:r>
              <w:rPr>
                <w:sz w:val="4"/>
                <w:szCs w:val="4"/>
              </w:rPr>
            </w:r>
          </w:p>
        </w:tc>
      </w:tr>
      <w:tr>
        <w:trPr/>
        <w:tc>
          <w:tcPr>
            <w:tcW w:w="1366" w:type="dxa"/>
            <w:tcBorders/>
          </w:tcPr>
          <w:p>
            <w:pPr>
              <w:pStyle w:val="TableContents"/>
              <w:bidi w:val="0"/>
              <w:spacing w:before="0" w:after="283"/>
              <w:jc w:val="left"/>
              <w:rPr/>
            </w:pPr>
            <w:r>
              <w:rPr/>
              <w:t>By:</w:t>
            </w:r>
          </w:p>
        </w:tc>
        <w:tc>
          <w:tcPr>
            <w:tcW w:w="138" w:type="dxa"/>
            <w:tcBorders>
              <w:bottom w:val="single" w:sz="2" w:space="0" w:color="000000"/>
            </w:tcBorders>
            <w:tcMar>
              <w:bottom w:w="28" w:type="dxa"/>
            </w:tcMar>
            <w:vAlign w:val="bottom"/>
          </w:tcPr>
          <w:p>
            <w:pPr>
              <w:pStyle w:val="TableContents"/>
              <w:bidi w:val="0"/>
              <w:spacing w:before="0" w:after="283"/>
              <w:jc w:val="left"/>
              <w:rPr/>
            </w:pPr>
            <w:r>
              <w:rPr/>
              <w:t> </w:t>
            </w:r>
          </w:p>
        </w:tc>
        <w:tc>
          <w:tcPr>
            <w:tcW w:w="2896" w:type="dxa"/>
            <w:tcBorders>
              <w:bottom w:val="single" w:sz="2" w:space="0" w:color="000000"/>
            </w:tcBorders>
            <w:tcMar>
              <w:bottom w:w="28" w:type="dxa"/>
            </w:tcMar>
          </w:tcPr>
          <w:p>
            <w:pPr>
              <w:pStyle w:val="TableContents"/>
              <w:bidi w:val="0"/>
              <w:spacing w:before="0" w:after="283"/>
              <w:jc w:val="left"/>
              <w:rPr>
                <w:i/>
              </w:rPr>
            </w:pPr>
            <w:r>
              <w:rPr>
                <w:i/>
              </w:rPr>
              <w:t>/s/ Ragunath Ramanathan</w:t>
            </w:r>
          </w:p>
        </w:tc>
      </w:tr>
      <w:tr>
        <w:trPr/>
        <w:tc>
          <w:tcPr>
            <w:tcW w:w="1366" w:type="dxa"/>
            <w:tcBorders/>
          </w:tcPr>
          <w:p>
            <w:pPr>
              <w:pStyle w:val="TableContents"/>
              <w:bidi w:val="0"/>
              <w:spacing w:before="0" w:after="283"/>
              <w:jc w:val="left"/>
              <w:rPr/>
            </w:pPr>
            <w:r>
              <w:rPr/>
              <w:t>Name:</w:t>
            </w:r>
          </w:p>
        </w:tc>
        <w:tc>
          <w:tcPr>
            <w:tcW w:w="138" w:type="dxa"/>
            <w:tcBorders/>
            <w:vAlign w:val="bottom"/>
          </w:tcPr>
          <w:p>
            <w:pPr>
              <w:pStyle w:val="TableContents"/>
              <w:bidi w:val="0"/>
              <w:spacing w:before="0" w:after="283"/>
              <w:jc w:val="left"/>
              <w:rPr/>
            </w:pPr>
            <w:r>
              <w:rPr/>
              <w:t> </w:t>
            </w:r>
          </w:p>
        </w:tc>
        <w:tc>
          <w:tcPr>
            <w:tcW w:w="2896" w:type="dxa"/>
            <w:tcBorders/>
          </w:tcPr>
          <w:p>
            <w:pPr>
              <w:pStyle w:val="TableContents"/>
              <w:bidi w:val="0"/>
              <w:spacing w:before="0" w:after="283"/>
              <w:jc w:val="left"/>
              <w:rPr/>
            </w:pPr>
            <w:r>
              <w:rPr/>
              <w:t>Ragunath Ramanathan</w:t>
            </w:r>
          </w:p>
        </w:tc>
      </w:tr>
      <w:tr>
        <w:trPr/>
        <w:tc>
          <w:tcPr>
            <w:tcW w:w="1366" w:type="dxa"/>
            <w:tcBorders/>
          </w:tcPr>
          <w:p>
            <w:pPr>
              <w:pStyle w:val="TableContents"/>
              <w:bidi w:val="0"/>
              <w:spacing w:before="0" w:after="283"/>
              <w:jc w:val="left"/>
              <w:rPr/>
            </w:pPr>
            <w:r>
              <w:rPr/>
              <w:t>Title:</w:t>
            </w:r>
          </w:p>
        </w:tc>
        <w:tc>
          <w:tcPr>
            <w:tcW w:w="138" w:type="dxa"/>
            <w:tcBorders/>
            <w:vAlign w:val="bottom"/>
          </w:tcPr>
          <w:p>
            <w:pPr>
              <w:pStyle w:val="TableContents"/>
              <w:bidi w:val="0"/>
              <w:spacing w:before="0" w:after="283"/>
              <w:jc w:val="left"/>
              <w:rPr/>
            </w:pPr>
            <w:r>
              <w:rPr/>
              <w:t> </w:t>
            </w:r>
          </w:p>
        </w:tc>
        <w:tc>
          <w:tcPr>
            <w:tcW w:w="2896" w:type="dxa"/>
            <w:tcBorders/>
          </w:tcPr>
          <w:p>
            <w:pPr>
              <w:pStyle w:val="TableContents"/>
              <w:bidi w:val="0"/>
              <w:spacing w:before="0" w:after="283"/>
              <w:jc w:val="left"/>
              <w:rPr/>
            </w:pPr>
            <w:r>
              <w:rPr/>
              <w:t>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53"/>
        <w:gridCol w:w="60"/>
        <w:gridCol w:w="3269"/>
      </w:tblGrid>
      <w:tr>
        <w:trPr/>
        <w:tc>
          <w:tcPr>
            <w:tcW w:w="7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6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THOMSON REUTERS</w:t>
            </w:r>
          </w:p>
          <w:p>
            <w:pPr>
              <w:pStyle w:val="TableContents"/>
              <w:bidi w:val="0"/>
              <w:spacing w:before="0" w:after="20"/>
              <w:jc w:val="left"/>
              <w:rPr>
                <w:rFonts w:ascii="Times New Roman" w:hAnsi="Times New Roman"/>
                <w:sz w:val="24"/>
              </w:rPr>
            </w:pPr>
            <w:r>
              <w:rPr>
                <w:rFonts w:ascii="Times New Roman" w:hAnsi="Times New Roman"/>
                <w:b/>
                <w:sz w:val="24"/>
              </w:rPr>
              <w:t>(TAX</w:t>
            </w:r>
            <w:r>
              <w:rPr>
                <w:rFonts w:ascii="Times New Roman" w:hAnsi="Times New Roman"/>
                <w:sz w:val="24"/>
              </w:rPr>
              <w:t> </w:t>
            </w:r>
            <w:r>
              <w:rPr>
                <w:rFonts w:ascii="Times New Roman" w:hAnsi="Times New Roman"/>
                <w:b/>
                <w:sz w:val="24"/>
              </w:rPr>
              <w:t>&amp; ACCOUNTING) INC.</w:t>
            </w:r>
            <w:r>
              <w:rPr>
                <w:rFonts w:ascii="Times New Roman" w:hAnsi="Times New Roman"/>
                <w:sz w:val="24"/>
              </w:rPr>
              <w:t>, as a Subsidiary Guarantor</w:t>
            </w:r>
          </w:p>
        </w:tc>
      </w:tr>
      <w:tr>
        <w:trPr>
          <w:trHeight w:val="360" w:hRule="atLeast"/>
        </w:trPr>
        <w:tc>
          <w:tcPr>
            <w:tcW w:w="753" w:type="dxa"/>
            <w:tcBorders/>
            <w:vAlign w:val="center"/>
          </w:tcPr>
          <w:p>
            <w:pPr>
              <w:pStyle w:val="TableContents"/>
              <w:bidi w:val="0"/>
              <w:spacing w:before="0" w:after="283"/>
              <w:jc w:val="left"/>
              <w:rPr>
                <w:sz w:val="4"/>
                <w:szCs w:val="4"/>
              </w:rPr>
            </w:pPr>
            <w:r>
              <w:rPr>
                <w:sz w:val="4"/>
                <w:szCs w:val="4"/>
              </w:rPr>
            </w:r>
          </w:p>
        </w:tc>
        <w:tc>
          <w:tcPr>
            <w:tcW w:w="3329" w:type="dxa"/>
            <w:gridSpan w:val="2"/>
            <w:tcBorders/>
            <w:vAlign w:val="center"/>
          </w:tcPr>
          <w:p>
            <w:pPr>
              <w:pStyle w:val="TableContents"/>
              <w:bidi w:val="0"/>
              <w:spacing w:before="0" w:after="283"/>
              <w:jc w:val="left"/>
              <w:rPr>
                <w:sz w:val="4"/>
                <w:szCs w:val="4"/>
              </w:rPr>
            </w:pPr>
            <w:r>
              <w:rPr>
                <w:sz w:val="4"/>
                <w:szCs w:val="4"/>
              </w:rPr>
            </w:r>
          </w:p>
        </w:tc>
      </w:tr>
      <w:tr>
        <w:trPr/>
        <w:tc>
          <w:tcPr>
            <w:tcW w:w="75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69" w:type="dxa"/>
            <w:tcBorders>
              <w:bottom w:val="single" w:sz="2" w:space="0" w:color="000000"/>
            </w:tcBorders>
            <w:tcMar>
              <w:bottom w:w="28" w:type="dxa"/>
            </w:tcMar>
          </w:tcPr>
          <w:p>
            <w:pPr>
              <w:pStyle w:val="TableContents"/>
              <w:bidi w:val="0"/>
              <w:spacing w:before="0" w:after="283"/>
              <w:jc w:val="left"/>
              <w:rPr>
                <w:i/>
              </w:rPr>
            </w:pPr>
            <w:r>
              <w:rPr>
                <w:i/>
              </w:rPr>
              <w:t>/s/ Elizabeth Beastrom</w:t>
            </w:r>
          </w:p>
        </w:tc>
      </w:tr>
      <w:tr>
        <w:trPr/>
        <w:tc>
          <w:tcPr>
            <w:tcW w:w="75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69" w:type="dxa"/>
            <w:tcBorders/>
          </w:tcPr>
          <w:p>
            <w:pPr>
              <w:pStyle w:val="TableContents"/>
              <w:bidi w:val="0"/>
              <w:spacing w:before="0" w:after="283"/>
              <w:jc w:val="left"/>
              <w:rPr/>
            </w:pPr>
            <w:r>
              <w:rPr/>
              <w:t>Elizabeth Beastrom</w:t>
            </w:r>
          </w:p>
        </w:tc>
      </w:tr>
      <w:tr>
        <w:trPr/>
        <w:tc>
          <w:tcPr>
            <w:tcW w:w="75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69" w:type="dxa"/>
            <w:tcBorders/>
          </w:tcPr>
          <w:p>
            <w:pPr>
              <w:pStyle w:val="TableContents"/>
              <w:bidi w:val="0"/>
              <w:spacing w:before="0" w:after="283"/>
              <w:jc w:val="left"/>
              <w:rPr/>
            </w:pPr>
            <w:r>
              <w:rPr/>
              <w:t>President</w:t>
            </w:r>
          </w:p>
        </w:tc>
      </w:tr>
    </w:tbl>
    <w:p>
      <w:pPr>
        <w:pStyle w:val="HorizontalLine"/>
        <w:pBdr>
          <w:bottom w:val="double" w:sz="6" w:space="0" w:color="808080"/>
        </w:pBdr>
        <w:bidi w:val="0"/>
        <w:jc w:val="left"/>
        <w:rPr/>
      </w:pPr>
      <w:r>
        <w:br w:type="page"/>
      </w:r>
      <w:r>
        <w:rPr/>
      </w:r>
    </w:p>
    <w:tbl>
      <w:tblPr>
        <w:tblW w:w="4505" w:type="dxa"/>
        <w:jc w:val="right"/>
        <w:tblInd w:w="0" w:type="dxa"/>
        <w:tblLayout w:type="fixed"/>
        <w:tblCellMar>
          <w:top w:w="0" w:type="dxa"/>
          <w:left w:w="0" w:type="dxa"/>
          <w:bottom w:w="0" w:type="dxa"/>
          <w:right w:w="0" w:type="dxa"/>
        </w:tblCellMar>
      </w:tblPr>
      <w:tblGrid>
        <w:gridCol w:w="1531"/>
        <w:gridCol w:w="155"/>
        <w:gridCol w:w="2819"/>
      </w:tblGrid>
      <w:tr>
        <w:trPr/>
        <w:tc>
          <w:tcPr>
            <w:tcW w:w="1531"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r>
      <w:tr>
        <w:trPr/>
        <w:tc>
          <w:tcPr>
            <w:tcW w:w="4505" w:type="dxa"/>
            <w:gridSpan w:val="3"/>
            <w:tcBorders/>
          </w:tcPr>
          <w:p>
            <w:pPr>
              <w:pStyle w:val="TableContents"/>
              <w:bidi w:val="0"/>
              <w:spacing w:before="0" w:after="283"/>
              <w:jc w:val="left"/>
              <w:rPr/>
            </w:pPr>
            <w:r>
              <w:rPr>
                <w:b/>
              </w:rPr>
              <w:t>COMPUTERSHARE TRUST COMPANY OF CANADA</w:t>
            </w:r>
            <w:r>
              <w:rPr/>
              <w:t>, as Canadian Trustee</w:t>
            </w:r>
          </w:p>
        </w:tc>
      </w:tr>
      <w:tr>
        <w:trPr>
          <w:trHeight w:val="360" w:hRule="atLeast"/>
        </w:trPr>
        <w:tc>
          <w:tcPr>
            <w:tcW w:w="1531" w:type="dxa"/>
            <w:tcBorders/>
            <w:vAlign w:val="center"/>
          </w:tcPr>
          <w:p>
            <w:pPr>
              <w:pStyle w:val="TableContents"/>
              <w:bidi w:val="0"/>
              <w:spacing w:before="0" w:after="283"/>
              <w:jc w:val="left"/>
              <w:rPr>
                <w:sz w:val="4"/>
                <w:szCs w:val="4"/>
              </w:rPr>
            </w:pPr>
            <w:r>
              <w:rPr>
                <w:sz w:val="4"/>
                <w:szCs w:val="4"/>
              </w:rPr>
            </w:r>
          </w:p>
        </w:tc>
        <w:tc>
          <w:tcPr>
            <w:tcW w:w="2974" w:type="dxa"/>
            <w:gridSpan w:val="2"/>
            <w:tcBorders/>
            <w:vAlign w:val="center"/>
          </w:tcPr>
          <w:p>
            <w:pPr>
              <w:pStyle w:val="TableContents"/>
              <w:bidi w:val="0"/>
              <w:spacing w:before="0" w:after="283"/>
              <w:jc w:val="left"/>
              <w:rPr>
                <w:sz w:val="4"/>
                <w:szCs w:val="4"/>
              </w:rPr>
            </w:pPr>
            <w:r>
              <w:rPr>
                <w:sz w:val="4"/>
                <w:szCs w:val="4"/>
              </w:rPr>
            </w:r>
          </w:p>
        </w:tc>
      </w:tr>
      <w:tr>
        <w:trPr/>
        <w:tc>
          <w:tcPr>
            <w:tcW w:w="1531" w:type="dxa"/>
            <w:tcBorders/>
          </w:tcPr>
          <w:p>
            <w:pPr>
              <w:pStyle w:val="TableContents"/>
              <w:bidi w:val="0"/>
              <w:spacing w:before="0" w:after="283"/>
              <w:jc w:val="left"/>
              <w:rPr/>
            </w:pPr>
            <w:r>
              <w:rPr/>
              <w:t>By:</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819" w:type="dxa"/>
            <w:tcBorders>
              <w:bottom w:val="single" w:sz="2" w:space="0" w:color="000000"/>
            </w:tcBorders>
            <w:tcMar>
              <w:bottom w:w="28" w:type="dxa"/>
            </w:tcMar>
          </w:tcPr>
          <w:p>
            <w:pPr>
              <w:pStyle w:val="TableContents"/>
              <w:bidi w:val="0"/>
              <w:spacing w:before="0" w:after="283"/>
              <w:jc w:val="left"/>
              <w:rPr>
                <w:i/>
              </w:rPr>
            </w:pPr>
            <w:r>
              <w:rPr>
                <w:i/>
              </w:rPr>
              <w:t>/s/ Neil Scott</w:t>
            </w:r>
          </w:p>
        </w:tc>
      </w:tr>
      <w:tr>
        <w:trPr/>
        <w:tc>
          <w:tcPr>
            <w:tcW w:w="1531" w:type="dxa"/>
            <w:tcBorders/>
          </w:tcPr>
          <w:p>
            <w:pPr>
              <w:pStyle w:val="TableContents"/>
              <w:bidi w:val="0"/>
              <w:spacing w:before="0" w:after="283"/>
              <w:jc w:val="left"/>
              <w:rPr/>
            </w:pPr>
            <w:r>
              <w:rPr/>
              <w:t>Name:</w:t>
            </w:r>
          </w:p>
        </w:tc>
        <w:tc>
          <w:tcPr>
            <w:tcW w:w="155" w:type="dxa"/>
            <w:tcBorders/>
            <w:vAlign w:val="bottom"/>
          </w:tcPr>
          <w:p>
            <w:pPr>
              <w:pStyle w:val="TableContents"/>
              <w:bidi w:val="0"/>
              <w:spacing w:before="0" w:after="283"/>
              <w:jc w:val="left"/>
              <w:rPr/>
            </w:pPr>
            <w:r>
              <w:rPr/>
              <w:t> </w:t>
            </w:r>
          </w:p>
        </w:tc>
        <w:tc>
          <w:tcPr>
            <w:tcW w:w="2819" w:type="dxa"/>
            <w:tcBorders/>
          </w:tcPr>
          <w:p>
            <w:pPr>
              <w:pStyle w:val="TableContents"/>
              <w:bidi w:val="0"/>
              <w:spacing w:before="0" w:after="283"/>
              <w:jc w:val="left"/>
              <w:rPr/>
            </w:pPr>
            <w:r>
              <w:rPr/>
              <w:t>Neil Scott</w:t>
            </w:r>
          </w:p>
        </w:tc>
      </w:tr>
      <w:tr>
        <w:trPr/>
        <w:tc>
          <w:tcPr>
            <w:tcW w:w="1531" w:type="dxa"/>
            <w:tcBorders/>
          </w:tcPr>
          <w:p>
            <w:pPr>
              <w:pStyle w:val="TableContents"/>
              <w:bidi w:val="0"/>
              <w:spacing w:before="0" w:after="283"/>
              <w:jc w:val="left"/>
              <w:rPr/>
            </w:pPr>
            <w:r>
              <w:rPr/>
              <w:t>Title:</w:t>
            </w:r>
          </w:p>
        </w:tc>
        <w:tc>
          <w:tcPr>
            <w:tcW w:w="155" w:type="dxa"/>
            <w:tcBorders/>
            <w:vAlign w:val="bottom"/>
          </w:tcPr>
          <w:p>
            <w:pPr>
              <w:pStyle w:val="TableContents"/>
              <w:bidi w:val="0"/>
              <w:spacing w:before="0" w:after="283"/>
              <w:jc w:val="left"/>
              <w:rPr/>
            </w:pPr>
            <w:r>
              <w:rPr/>
              <w:t> </w:t>
            </w:r>
          </w:p>
        </w:tc>
        <w:tc>
          <w:tcPr>
            <w:tcW w:w="2819" w:type="dxa"/>
            <w:tcBorders/>
          </w:tcPr>
          <w:p>
            <w:pPr>
              <w:pStyle w:val="TableContents"/>
              <w:bidi w:val="0"/>
              <w:spacing w:before="0" w:after="283"/>
              <w:jc w:val="left"/>
              <w:rPr/>
            </w:pPr>
            <w:r>
              <w:rPr/>
              <w:t>Corporate Trust Officer</w:t>
            </w:r>
          </w:p>
        </w:tc>
      </w:tr>
      <w:tr>
        <w:trPr>
          <w:trHeight w:val="360" w:hRule="atLeast"/>
        </w:trPr>
        <w:tc>
          <w:tcPr>
            <w:tcW w:w="1531" w:type="dxa"/>
            <w:tcBorders/>
            <w:vAlign w:val="center"/>
          </w:tcPr>
          <w:p>
            <w:pPr>
              <w:pStyle w:val="TableContents"/>
              <w:bidi w:val="0"/>
              <w:spacing w:before="0" w:after="283"/>
              <w:jc w:val="left"/>
              <w:rPr>
                <w:sz w:val="4"/>
                <w:szCs w:val="4"/>
              </w:rPr>
            </w:pPr>
            <w:r>
              <w:rPr>
                <w:sz w:val="4"/>
                <w:szCs w:val="4"/>
              </w:rPr>
            </w:r>
          </w:p>
        </w:tc>
        <w:tc>
          <w:tcPr>
            <w:tcW w:w="2974" w:type="dxa"/>
            <w:gridSpan w:val="2"/>
            <w:tcBorders/>
            <w:vAlign w:val="center"/>
          </w:tcPr>
          <w:p>
            <w:pPr>
              <w:pStyle w:val="TableContents"/>
              <w:bidi w:val="0"/>
              <w:spacing w:before="0" w:after="283"/>
              <w:jc w:val="left"/>
              <w:rPr>
                <w:sz w:val="4"/>
                <w:szCs w:val="4"/>
              </w:rPr>
            </w:pPr>
            <w:r>
              <w:rPr>
                <w:sz w:val="4"/>
                <w:szCs w:val="4"/>
              </w:rPr>
            </w:r>
          </w:p>
        </w:tc>
      </w:tr>
      <w:tr>
        <w:trPr/>
        <w:tc>
          <w:tcPr>
            <w:tcW w:w="1531" w:type="dxa"/>
            <w:tcBorders/>
          </w:tcPr>
          <w:p>
            <w:pPr>
              <w:pStyle w:val="TableContents"/>
              <w:bidi w:val="0"/>
              <w:spacing w:before="0" w:after="283"/>
              <w:jc w:val="left"/>
              <w:rPr/>
            </w:pPr>
            <w:r>
              <w:rPr/>
              <w:t>By:</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819" w:type="dxa"/>
            <w:tcBorders>
              <w:bottom w:val="single" w:sz="2" w:space="0" w:color="000000"/>
            </w:tcBorders>
            <w:tcMar>
              <w:bottom w:w="28" w:type="dxa"/>
            </w:tcMar>
          </w:tcPr>
          <w:p>
            <w:pPr>
              <w:pStyle w:val="TableContents"/>
              <w:bidi w:val="0"/>
              <w:spacing w:before="0" w:after="283"/>
              <w:jc w:val="left"/>
              <w:rPr>
                <w:i/>
              </w:rPr>
            </w:pPr>
            <w:r>
              <w:rPr>
                <w:i/>
              </w:rPr>
              <w:t>/s/ Mohanie Shivprasad</w:t>
            </w:r>
          </w:p>
        </w:tc>
      </w:tr>
      <w:tr>
        <w:trPr/>
        <w:tc>
          <w:tcPr>
            <w:tcW w:w="1531" w:type="dxa"/>
            <w:tcBorders/>
          </w:tcPr>
          <w:p>
            <w:pPr>
              <w:pStyle w:val="TableContents"/>
              <w:bidi w:val="0"/>
              <w:spacing w:before="0" w:after="283"/>
              <w:jc w:val="left"/>
              <w:rPr/>
            </w:pPr>
            <w:r>
              <w:rPr/>
              <w:t>Name:</w:t>
            </w:r>
          </w:p>
        </w:tc>
        <w:tc>
          <w:tcPr>
            <w:tcW w:w="155" w:type="dxa"/>
            <w:tcBorders/>
            <w:vAlign w:val="bottom"/>
          </w:tcPr>
          <w:p>
            <w:pPr>
              <w:pStyle w:val="TableContents"/>
              <w:bidi w:val="0"/>
              <w:spacing w:before="0" w:after="283"/>
              <w:jc w:val="left"/>
              <w:rPr/>
            </w:pPr>
            <w:r>
              <w:rPr/>
              <w:t> </w:t>
            </w:r>
          </w:p>
        </w:tc>
        <w:tc>
          <w:tcPr>
            <w:tcW w:w="2819" w:type="dxa"/>
            <w:tcBorders/>
          </w:tcPr>
          <w:p>
            <w:pPr>
              <w:pStyle w:val="TableContents"/>
              <w:bidi w:val="0"/>
              <w:spacing w:before="0" w:after="283"/>
              <w:jc w:val="left"/>
              <w:rPr/>
            </w:pPr>
            <w:r>
              <w:rPr/>
              <w:t>Mohanie Shivprasad</w:t>
            </w:r>
          </w:p>
        </w:tc>
      </w:tr>
      <w:tr>
        <w:trPr/>
        <w:tc>
          <w:tcPr>
            <w:tcW w:w="1531" w:type="dxa"/>
            <w:tcBorders/>
          </w:tcPr>
          <w:p>
            <w:pPr>
              <w:pStyle w:val="TableContents"/>
              <w:bidi w:val="0"/>
              <w:spacing w:before="0" w:after="283"/>
              <w:jc w:val="left"/>
              <w:rPr/>
            </w:pPr>
            <w:r>
              <w:rPr/>
              <w:t>Title:</w:t>
            </w:r>
          </w:p>
        </w:tc>
        <w:tc>
          <w:tcPr>
            <w:tcW w:w="155" w:type="dxa"/>
            <w:tcBorders/>
            <w:vAlign w:val="bottom"/>
          </w:tcPr>
          <w:p>
            <w:pPr>
              <w:pStyle w:val="TableContents"/>
              <w:bidi w:val="0"/>
              <w:spacing w:before="0" w:after="283"/>
              <w:jc w:val="left"/>
              <w:rPr/>
            </w:pPr>
            <w:r>
              <w:rPr/>
              <w:t> </w:t>
            </w:r>
          </w:p>
        </w:tc>
        <w:tc>
          <w:tcPr>
            <w:tcW w:w="2819" w:type="dxa"/>
            <w:tcBorders/>
          </w:tcPr>
          <w:p>
            <w:pPr>
              <w:pStyle w:val="TableContents"/>
              <w:bidi w:val="0"/>
              <w:spacing w:before="0" w:after="283"/>
              <w:jc w:val="left"/>
              <w:rPr/>
            </w:pPr>
            <w:r>
              <w:rPr/>
              <w:t>Associate Trust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66"/>
        <w:gridCol w:w="60"/>
        <w:gridCol w:w="3256"/>
      </w:tblGrid>
      <w:tr>
        <w:trPr/>
        <w:tc>
          <w:tcPr>
            <w:tcW w:w="7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DEUTSCHE BANK TRUST COMPANY AMERICAS</w:t>
            </w:r>
            <w:r>
              <w:rPr/>
              <w:t>, as U.S. Trustee</w:t>
            </w:r>
          </w:p>
        </w:tc>
      </w:tr>
      <w:tr>
        <w:trPr>
          <w:trHeight w:val="360" w:hRule="atLeast"/>
        </w:trPr>
        <w:tc>
          <w:tcPr>
            <w:tcW w:w="766" w:type="dxa"/>
            <w:tcBorders/>
            <w:vAlign w:val="center"/>
          </w:tcPr>
          <w:p>
            <w:pPr>
              <w:pStyle w:val="TableContents"/>
              <w:bidi w:val="0"/>
              <w:spacing w:before="0" w:after="283"/>
              <w:jc w:val="left"/>
              <w:rPr>
                <w:sz w:val="4"/>
                <w:szCs w:val="4"/>
              </w:rPr>
            </w:pPr>
            <w:r>
              <w:rPr>
                <w:sz w:val="4"/>
                <w:szCs w:val="4"/>
              </w:rPr>
            </w:r>
          </w:p>
        </w:tc>
        <w:tc>
          <w:tcPr>
            <w:tcW w:w="3316" w:type="dxa"/>
            <w:gridSpan w:val="2"/>
            <w:tcBorders/>
            <w:vAlign w:val="center"/>
          </w:tcPr>
          <w:p>
            <w:pPr>
              <w:pStyle w:val="TableContents"/>
              <w:bidi w:val="0"/>
              <w:spacing w:before="0" w:after="283"/>
              <w:jc w:val="left"/>
              <w:rPr>
                <w:sz w:val="4"/>
                <w:szCs w:val="4"/>
              </w:rPr>
            </w:pPr>
            <w:r>
              <w:rPr>
                <w:sz w:val="4"/>
                <w:szCs w:val="4"/>
              </w:rPr>
            </w:r>
          </w:p>
        </w:tc>
      </w:tr>
      <w:tr>
        <w:trPr/>
        <w:tc>
          <w:tcPr>
            <w:tcW w:w="7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6" w:type="dxa"/>
            <w:tcBorders>
              <w:bottom w:val="single" w:sz="2" w:space="0" w:color="000000"/>
            </w:tcBorders>
            <w:tcMar>
              <w:bottom w:w="28" w:type="dxa"/>
            </w:tcMar>
          </w:tcPr>
          <w:p>
            <w:pPr>
              <w:pStyle w:val="TableContents"/>
              <w:bidi w:val="0"/>
              <w:spacing w:before="0" w:after="283"/>
              <w:jc w:val="left"/>
              <w:rPr>
                <w:i/>
              </w:rPr>
            </w:pPr>
            <w:r>
              <w:rPr>
                <w:i/>
              </w:rPr>
              <w:t>/s/ Rodney Gaughan</w:t>
            </w:r>
          </w:p>
        </w:tc>
      </w:tr>
      <w:tr>
        <w:trPr/>
        <w:tc>
          <w:tcPr>
            <w:tcW w:w="7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20"/>
              <w:jc w:val="left"/>
              <w:rPr>
                <w:rFonts w:ascii="Times New Roman" w:hAnsi="Times New Roman"/>
                <w:sz w:val="24"/>
              </w:rPr>
            </w:pPr>
            <w:r>
              <w:rPr>
                <w:rFonts w:ascii="Times New Roman" w:hAnsi="Times New Roman"/>
                <w:sz w:val="24"/>
              </w:rPr>
              <w:t>Rodney Gaughan</w:t>
            </w:r>
          </w:p>
        </w:tc>
      </w:tr>
      <w:tr>
        <w:trPr/>
        <w:tc>
          <w:tcPr>
            <w:tcW w:w="7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20"/>
              <w:jc w:val="left"/>
              <w:rPr>
                <w:rFonts w:ascii="Times New Roman" w:hAnsi="Times New Roman"/>
                <w:sz w:val="24"/>
              </w:rPr>
            </w:pPr>
            <w:r>
              <w:rPr>
                <w:rFonts w:ascii="Times New Roman" w:hAnsi="Times New Roman"/>
                <w:sz w:val="24"/>
              </w:rPr>
              <w:t>Vice President</w:t>
            </w:r>
          </w:p>
        </w:tc>
      </w:tr>
      <w:tr>
        <w:trPr>
          <w:trHeight w:val="360" w:hRule="atLeast"/>
        </w:trPr>
        <w:tc>
          <w:tcPr>
            <w:tcW w:w="766" w:type="dxa"/>
            <w:tcBorders/>
            <w:vAlign w:val="center"/>
          </w:tcPr>
          <w:p>
            <w:pPr>
              <w:pStyle w:val="TableContents"/>
              <w:bidi w:val="0"/>
              <w:spacing w:before="0" w:after="283"/>
              <w:jc w:val="left"/>
              <w:rPr>
                <w:sz w:val="4"/>
                <w:szCs w:val="4"/>
              </w:rPr>
            </w:pPr>
            <w:r>
              <w:rPr>
                <w:sz w:val="4"/>
                <w:szCs w:val="4"/>
              </w:rPr>
            </w:r>
          </w:p>
        </w:tc>
        <w:tc>
          <w:tcPr>
            <w:tcW w:w="3316" w:type="dxa"/>
            <w:gridSpan w:val="2"/>
            <w:tcBorders/>
            <w:vAlign w:val="center"/>
          </w:tcPr>
          <w:p>
            <w:pPr>
              <w:pStyle w:val="TableContents"/>
              <w:bidi w:val="0"/>
              <w:spacing w:before="0" w:after="283"/>
              <w:jc w:val="left"/>
              <w:rPr>
                <w:sz w:val="4"/>
                <w:szCs w:val="4"/>
              </w:rPr>
            </w:pPr>
            <w:r>
              <w:rPr>
                <w:sz w:val="4"/>
                <w:szCs w:val="4"/>
              </w:rPr>
            </w:r>
          </w:p>
        </w:tc>
      </w:tr>
      <w:tr>
        <w:trPr/>
        <w:tc>
          <w:tcPr>
            <w:tcW w:w="7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6" w:type="dxa"/>
            <w:tcBorders>
              <w:bottom w:val="single" w:sz="2" w:space="0" w:color="000000"/>
            </w:tcBorders>
            <w:tcMar>
              <w:bottom w:w="28" w:type="dxa"/>
            </w:tcMar>
          </w:tcPr>
          <w:p>
            <w:pPr>
              <w:pStyle w:val="TableContents"/>
              <w:bidi w:val="0"/>
              <w:spacing w:before="0" w:after="283"/>
              <w:jc w:val="left"/>
              <w:rPr>
                <w:i/>
              </w:rPr>
            </w:pPr>
            <w:r>
              <w:rPr>
                <w:i/>
              </w:rPr>
              <w:t>/s/ Denise Kellerk</w:t>
            </w:r>
          </w:p>
        </w:tc>
      </w:tr>
      <w:tr>
        <w:trPr/>
        <w:tc>
          <w:tcPr>
            <w:tcW w:w="7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283"/>
              <w:jc w:val="left"/>
              <w:rPr/>
            </w:pPr>
            <w:r>
              <w:rPr/>
              <w:t>Denise Kellerk</w:t>
            </w:r>
          </w:p>
        </w:tc>
      </w:tr>
      <w:tr>
        <w:trPr/>
        <w:tc>
          <w:tcPr>
            <w:tcW w:w="7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56" w:type="dxa"/>
            <w:tcBorders/>
          </w:tcPr>
          <w:p>
            <w:pPr>
              <w:pStyle w:val="TableContents"/>
              <w:bidi w:val="0"/>
              <w:spacing w:before="0" w:after="283"/>
              <w:jc w:val="left"/>
              <w:rPr/>
            </w:pPr>
            <w:r>
              <w:rPr/>
              <w:t>Vice President</w:t>
            </w:r>
          </w:p>
        </w:tc>
      </w:tr>
    </w:tbl>
    <w:p>
      <w:pPr>
        <w:pStyle w:val="TextBody"/>
        <w:bidi w:val="0"/>
        <w:spacing w:before="0" w:after="0"/>
        <w:jc w:val="right"/>
        <w:rPr>
          <w:rFonts w:ascii="Times New Roman" w:hAnsi="Times New Roman"/>
          <w:b/>
          <w:sz w:val="24"/>
        </w:rPr>
      </w:pPr>
      <w:bookmarkStart w:id="144" w:name="d528636dex992.htm"/>
      <w:bookmarkStart w:id="145" w:name="ksd528636dex992"/>
      <w:bookmarkEnd w:id="144"/>
      <w:bookmarkEnd w:id="145"/>
      <w:r>
        <w:rPr>
          <w:rFonts w:ascii="Times New Roman" w:hAnsi="Times New Roman"/>
          <w:b/>
          <w:sz w:val="24"/>
        </w:rPr>
        <w:t xml:space="preserve">Exhibit 99.2 </w:t>
      </w:r>
      <w:r>
        <w:br w:type="page"/>
      </w:r>
    </w:p>
    <w:p>
      <w:pPr>
        <w:pStyle w:val="TextBody"/>
        <w:bidi w:val="0"/>
        <w:spacing w:before="240" w:after="0"/>
        <w:jc w:val="center"/>
        <w:rPr>
          <w:rFonts w:ascii="Times New Roman" w:hAnsi="Times New Roman"/>
          <w:sz w:val="24"/>
        </w:rPr>
      </w:pPr>
      <w:r>
        <w:rPr>
          <w:rFonts w:ascii="Times New Roman" w:hAnsi="Times New Roman"/>
          <w:sz w:val="24"/>
        </w:rPr>
        <w:t xml:space="preserve">FIRST SUPPLEMENTAL INDENTURE </w:t>
      </w:r>
    </w:p>
    <w:p>
      <w:pPr>
        <w:pStyle w:val="TextBody"/>
        <w:bidi w:val="0"/>
        <w:spacing w:before="240" w:after="0"/>
        <w:jc w:val="center"/>
        <w:rPr>
          <w:rFonts w:ascii="Times New Roman" w:hAnsi="Times New Roman"/>
          <w:sz w:val="24"/>
        </w:rPr>
      </w:pPr>
      <w:r>
        <w:rPr>
          <w:rFonts w:ascii="Times New Roman" w:hAnsi="Times New Roman"/>
          <w:sz w:val="24"/>
        </w:rPr>
        <w:t xml:space="preserve">Dated as of September 17, 2026 </w:t>
      </w:r>
    </w:p>
    <w:p>
      <w:pPr>
        <w:pStyle w:val="TextBody"/>
        <w:bidi w:val="0"/>
        <w:spacing w:before="240" w:after="0"/>
        <w:jc w:val="center"/>
        <w:rPr>
          <w:rFonts w:ascii="Times New Roman" w:hAnsi="Times New Roman"/>
          <w:sz w:val="24"/>
        </w:rPr>
      </w:pPr>
      <w:r>
        <w:rPr>
          <w:rFonts w:ascii="Times New Roman" w:hAnsi="Times New Roman"/>
          <w:sz w:val="24"/>
        </w:rPr>
        <w:t xml:space="preserve">among </w:t>
      </w:r>
    </w:p>
    <w:p>
      <w:pPr>
        <w:pStyle w:val="TextBody"/>
        <w:bidi w:val="0"/>
        <w:spacing w:before="240" w:after="0"/>
        <w:jc w:val="center"/>
        <w:rPr>
          <w:rFonts w:ascii="Times New Roman" w:hAnsi="Times New Roman"/>
          <w:sz w:val="24"/>
        </w:rPr>
      </w:pPr>
      <w:r>
        <w:rPr>
          <w:rFonts w:ascii="Times New Roman" w:hAnsi="Times New Roman"/>
          <w:sz w:val="24"/>
        </w:rPr>
        <w:t xml:space="preserve">THOMSON REUTERS CORPORATION, </w:t>
      </w:r>
    </w:p>
    <w:p>
      <w:pPr>
        <w:pStyle w:val="TextBody"/>
        <w:bidi w:val="0"/>
        <w:spacing w:before="240" w:after="0"/>
        <w:jc w:val="center"/>
        <w:rPr>
          <w:rFonts w:ascii="Times New Roman" w:hAnsi="Times New Roman"/>
          <w:sz w:val="24"/>
        </w:rPr>
      </w:pPr>
      <w:r>
        <w:rPr>
          <w:rFonts w:ascii="Times New Roman" w:hAnsi="Times New Roman"/>
          <w:sz w:val="24"/>
        </w:rPr>
        <w:t xml:space="preserve">as Issuer, </w:t>
      </w:r>
    </w:p>
    <w:p>
      <w:pPr>
        <w:pStyle w:val="TextBody"/>
        <w:bidi w:val="0"/>
        <w:spacing w:before="240" w:after="0"/>
        <w:jc w:val="center"/>
        <w:rPr>
          <w:rFonts w:ascii="Times New Roman" w:hAnsi="Times New Roman"/>
          <w:sz w:val="24"/>
        </w:rPr>
      </w:pPr>
      <w:r>
        <w:rPr>
          <w:rFonts w:ascii="Times New Roman" w:hAnsi="Times New Roman"/>
          <w:sz w:val="24"/>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THE SUBSIDIARY GUARANTORS PARTY HERETO </w:t>
      </w:r>
    </w:p>
    <w:p>
      <w:pPr>
        <w:pStyle w:val="TextBody"/>
        <w:bidi w:val="0"/>
        <w:spacing w:before="240" w:after="0"/>
        <w:jc w:val="center"/>
        <w:rPr>
          <w:rFonts w:ascii="Times New Roman" w:hAnsi="Times New Roman"/>
          <w:sz w:val="24"/>
        </w:rPr>
      </w:pPr>
      <w:r>
        <w:rPr>
          <w:rFonts w:ascii="Times New Roman" w:hAnsi="Times New Roman"/>
          <w:sz w:val="24"/>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COMPUTERSHARE TRUST COMPANY OF CANADA, </w:t>
      </w:r>
    </w:p>
    <w:p>
      <w:pPr>
        <w:pStyle w:val="TextBody"/>
        <w:bidi w:val="0"/>
        <w:spacing w:before="0" w:after="0"/>
        <w:jc w:val="center"/>
        <w:rPr>
          <w:rFonts w:ascii="Times New Roman" w:hAnsi="Times New Roman"/>
          <w:sz w:val="24"/>
        </w:rPr>
      </w:pPr>
      <w:r>
        <w:rPr>
          <w:rFonts w:ascii="Times New Roman" w:hAnsi="Times New Roman"/>
          <w:sz w:val="24"/>
        </w:rPr>
        <w:t xml:space="preserve">as Notes Trustee, </w:t>
      </w:r>
    </w:p>
    <w:p>
      <w:pPr>
        <w:pStyle w:val="TextBody"/>
        <w:bidi w:val="0"/>
        <w:spacing w:before="240" w:after="0"/>
        <w:jc w:val="center"/>
        <w:rPr>
          <w:rFonts w:ascii="Times New Roman" w:hAnsi="Times New Roman"/>
          <w:sz w:val="24"/>
        </w:rPr>
      </w:pPr>
      <w:r>
        <w:rPr>
          <w:rFonts w:ascii="Times New Roman" w:hAnsi="Times New Roman"/>
          <w:sz w:val="24"/>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DEUTSCHE BANK TRUST COMPANY AMERICAS, </w:t>
      </w:r>
    </w:p>
    <w:p>
      <w:pPr>
        <w:pStyle w:val="TextBody"/>
        <w:bidi w:val="0"/>
        <w:spacing w:before="0" w:after="0"/>
        <w:jc w:val="center"/>
        <w:rPr>
          <w:rFonts w:ascii="Times New Roman" w:hAnsi="Times New Roman"/>
          <w:sz w:val="24"/>
        </w:rPr>
      </w:pPr>
      <w:r>
        <w:rPr>
          <w:rFonts w:ascii="Times New Roman" w:hAnsi="Times New Roman"/>
          <w:sz w:val="24"/>
        </w:rPr>
        <w:t xml:space="preserve">as Co-Trustee, </w:t>
      </w:r>
    </w:p>
    <w:p>
      <w:pPr>
        <w:pStyle w:val="TextBody"/>
        <w:bidi w:val="0"/>
        <w:spacing w:before="240" w:after="0"/>
        <w:jc w:val="center"/>
        <w:rPr>
          <w:rFonts w:ascii="Times New Roman" w:hAnsi="Times New Roman"/>
          <w:sz w:val="24"/>
        </w:rPr>
      </w:pPr>
      <w:r>
        <w:rPr>
          <w:rFonts w:ascii="Times New Roman" w:hAnsi="Times New Roman"/>
          <w:sz w:val="24"/>
        </w:rPr>
        <w:t xml:space="preserve">to </w:t>
      </w:r>
    </w:p>
    <w:p>
      <w:pPr>
        <w:pStyle w:val="TextBody"/>
        <w:bidi w:val="0"/>
        <w:spacing w:before="240" w:after="0"/>
        <w:jc w:val="center"/>
        <w:rPr>
          <w:rFonts w:ascii="Times New Roman" w:hAnsi="Times New Roman"/>
          <w:sz w:val="24"/>
        </w:rPr>
      </w:pPr>
      <w:r>
        <w:rPr>
          <w:rFonts w:ascii="Times New Roman" w:hAnsi="Times New Roman"/>
          <w:sz w:val="24"/>
        </w:rPr>
        <w:t xml:space="preserve">INDENTURE </w:t>
      </w:r>
    </w:p>
    <w:p>
      <w:pPr>
        <w:pStyle w:val="TextBody"/>
        <w:bidi w:val="0"/>
        <w:spacing w:before="240" w:after="0"/>
        <w:jc w:val="center"/>
        <w:rPr>
          <w:rFonts w:ascii="Times New Roman" w:hAnsi="Times New Roman"/>
          <w:sz w:val="24"/>
        </w:rPr>
      </w:pPr>
      <w:r>
        <w:rPr>
          <w:rFonts w:ascii="Times New Roman" w:hAnsi="Times New Roman"/>
          <w:sz w:val="24"/>
        </w:rPr>
        <w:t xml:space="preserve">Dated as of September 17,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4"/>
        </w:rPr>
      </w:pPr>
      <w:r>
        <w:rPr>
          <w:rFonts w:ascii="Times New Roman" w:hAnsi="Times New Roman"/>
          <w:sz w:val="24"/>
        </w:rPr>
        <w:t xml:space="preserve">Floating Rate Notes due 2029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This First Supplemental Indenture, dated as of the 17th day of September, 2026, among Thomson Reuters Corporation, a corporation organized under the laws of the Province of Ontario (hereinafter called the “</w:t>
      </w:r>
      <w:r>
        <w:rPr>
          <w:rFonts w:ascii="Times New Roman" w:hAnsi="Times New Roman"/>
          <w:b/>
          <w:sz w:val="24"/>
        </w:rPr>
        <w:t>Company</w:t>
      </w:r>
      <w:r>
        <w:rPr>
          <w:rFonts w:ascii="Times New Roman" w:hAnsi="Times New Roman"/>
          <w:sz w:val="24"/>
        </w:rPr>
        <w:t>”), West Publishing Corporation, a corporation formed under the laws of the State of Minnesota (herein called “</w:t>
      </w:r>
      <w:r>
        <w:rPr>
          <w:rFonts w:ascii="Times New Roman" w:hAnsi="Times New Roman"/>
          <w:b/>
          <w:sz w:val="24"/>
        </w:rPr>
        <w:t>West</w:t>
      </w:r>
      <w:r>
        <w:rPr>
          <w:rFonts w:ascii="Times New Roman" w:hAnsi="Times New Roman"/>
          <w:sz w:val="24"/>
        </w:rPr>
        <w:t xml:space="preserve"> </w:t>
      </w:r>
      <w:r>
        <w:rPr>
          <w:rFonts w:ascii="Times New Roman" w:hAnsi="Times New Roman"/>
          <w:b/>
          <w:sz w:val="24"/>
        </w:rPr>
        <w:t>Publishing</w:t>
      </w:r>
      <w:r>
        <w:rPr>
          <w:rFonts w:ascii="Times New Roman" w:hAnsi="Times New Roman"/>
          <w:sz w:val="24"/>
        </w:rPr>
        <w:t>”), Thomson Reuters Applications Inc., a corporation formed under the laws of the State of Delaware (herein called “</w:t>
      </w:r>
      <w:r>
        <w:rPr>
          <w:rFonts w:ascii="Times New Roman" w:hAnsi="Times New Roman"/>
          <w:b/>
          <w:sz w:val="24"/>
        </w:rPr>
        <w:t>Thomson</w:t>
      </w:r>
      <w:r>
        <w:rPr>
          <w:rFonts w:ascii="Times New Roman" w:hAnsi="Times New Roman"/>
          <w:sz w:val="24"/>
        </w:rPr>
        <w:t xml:space="preserve"> </w:t>
      </w:r>
      <w:r>
        <w:rPr>
          <w:rFonts w:ascii="Times New Roman" w:hAnsi="Times New Roman"/>
          <w:b/>
          <w:sz w:val="24"/>
        </w:rPr>
        <w:t>Reuters</w:t>
      </w:r>
      <w:r>
        <w:rPr>
          <w:rFonts w:ascii="Times New Roman" w:hAnsi="Times New Roman"/>
          <w:sz w:val="24"/>
        </w:rPr>
        <w:t xml:space="preserve"> </w:t>
      </w:r>
      <w:r>
        <w:rPr>
          <w:rFonts w:ascii="Times New Roman" w:hAnsi="Times New Roman"/>
          <w:b/>
          <w:sz w:val="24"/>
        </w:rPr>
        <w:t>Applications</w:t>
      </w:r>
      <w:r>
        <w:rPr>
          <w:rFonts w:ascii="Times New Roman" w:hAnsi="Times New Roman"/>
          <w:sz w:val="24"/>
        </w:rPr>
        <w:t>”), Thomson Reuters (Tax &amp; Accounting) Inc., a corporation formed under the laws of the State of Texas (herein called “</w:t>
      </w:r>
      <w:r>
        <w:rPr>
          <w:rFonts w:ascii="Times New Roman" w:hAnsi="Times New Roman"/>
          <w:b/>
          <w:sz w:val="24"/>
        </w:rPr>
        <w:t>Thomson</w:t>
      </w:r>
      <w:r>
        <w:rPr>
          <w:rFonts w:ascii="Times New Roman" w:hAnsi="Times New Roman"/>
          <w:sz w:val="24"/>
        </w:rPr>
        <w:t xml:space="preserve"> </w:t>
      </w:r>
      <w:r>
        <w:rPr>
          <w:rFonts w:ascii="Times New Roman" w:hAnsi="Times New Roman"/>
          <w:b/>
          <w:sz w:val="24"/>
        </w:rPr>
        <w:t>Reuters (Tax</w:t>
      </w:r>
      <w:r>
        <w:rPr>
          <w:rFonts w:ascii="Times New Roman" w:hAnsi="Times New Roman"/>
          <w:sz w:val="24"/>
        </w:rPr>
        <w:t> </w:t>
      </w:r>
      <w:r>
        <w:rPr>
          <w:rFonts w:ascii="Times New Roman" w:hAnsi="Times New Roman"/>
          <w:b/>
          <w:sz w:val="24"/>
        </w:rPr>
        <w:t>&amp; Accounting)</w:t>
      </w:r>
      <w:r>
        <w:rPr>
          <w:rFonts w:ascii="Times New Roman" w:hAnsi="Times New Roman"/>
          <w:sz w:val="24"/>
        </w:rPr>
        <w:t>” and together, with West Publishing and Thomson Reuters Applications, the “</w:t>
      </w:r>
      <w:r>
        <w:rPr>
          <w:rFonts w:ascii="Times New Roman" w:hAnsi="Times New Roman"/>
          <w:b/>
          <w:sz w:val="24"/>
        </w:rPr>
        <w:t>Subsidiary</w:t>
      </w:r>
      <w:r>
        <w:rPr>
          <w:rFonts w:ascii="Times New Roman" w:hAnsi="Times New Roman"/>
          <w:sz w:val="24"/>
        </w:rPr>
        <w:t xml:space="preserve"> </w:t>
      </w:r>
      <w:r>
        <w:rPr>
          <w:rFonts w:ascii="Times New Roman" w:hAnsi="Times New Roman"/>
          <w:b/>
          <w:sz w:val="24"/>
        </w:rPr>
        <w:t>Guarantors</w:t>
      </w:r>
      <w:r>
        <w:rPr>
          <w:rFonts w:ascii="Times New Roman" w:hAnsi="Times New Roman"/>
          <w:sz w:val="24"/>
        </w:rPr>
        <w:t>”), Computershare Trust Company of Canada, a trust company incorporated under the laws of Canada, as trustee (hereinafter called the “</w:t>
      </w:r>
      <w:r>
        <w:rPr>
          <w:rFonts w:ascii="Times New Roman" w:hAnsi="Times New Roman"/>
          <w:b/>
          <w:sz w:val="24"/>
        </w:rPr>
        <w:t>Notes Trustee</w:t>
      </w:r>
      <w:r>
        <w:rPr>
          <w:rFonts w:ascii="Times New Roman" w:hAnsi="Times New Roman"/>
          <w:sz w:val="24"/>
        </w:rPr>
        <w:t>”) and Deutsche Bank Trust Company Americas, a New York banking corporation (hereinafter called the “</w:t>
      </w:r>
      <w:r>
        <w:rPr>
          <w:rFonts w:ascii="Times New Roman" w:hAnsi="Times New Roman"/>
          <w:b/>
          <w:sz w:val="24"/>
        </w:rPr>
        <w:t>Co-Trustee</w:t>
      </w:r>
      <w:r>
        <w:rPr>
          <w:rFonts w:ascii="Times New Roman" w:hAnsi="Times New Roman"/>
          <w:sz w:val="24"/>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WITNESSETH: </w:t>
      </w:r>
    </w:p>
    <w:p>
      <w:pPr>
        <w:pStyle w:val="TextBody"/>
        <w:bidi w:val="0"/>
        <w:spacing w:before="240" w:after="0"/>
        <w:jc w:val="both"/>
        <w:rPr>
          <w:rFonts w:ascii="Times New Roman" w:hAnsi="Times New Roman"/>
          <w:sz w:val="24"/>
        </w:rPr>
      </w:pPr>
      <w:r>
        <w:rPr>
          <w:rFonts w:ascii="Times New Roman" w:hAnsi="Times New Roman"/>
          <w:sz w:val="24"/>
        </w:rPr>
        <w:t>WHEREAS, the Company, the Subsidiary Guarantors, the Notes Trustee and the Co-Trustee entered into an indenture, dated as of September 17, 2026 (the “</w:t>
      </w:r>
      <w:r>
        <w:rPr>
          <w:rFonts w:ascii="Times New Roman" w:hAnsi="Times New Roman"/>
          <w:b/>
          <w:sz w:val="24"/>
        </w:rPr>
        <w:t>Indenture</w:t>
      </w:r>
      <w:r>
        <w:rPr>
          <w:rFonts w:ascii="Times New Roman" w:hAnsi="Times New Roman"/>
          <w:sz w:val="24"/>
        </w:rPr>
        <w:t>”), pursuant to which one or more series of debt securities of the Company (the “</w:t>
      </w:r>
      <w:r>
        <w:rPr>
          <w:rFonts w:ascii="Times New Roman" w:hAnsi="Times New Roman"/>
          <w:b/>
          <w:sz w:val="24"/>
        </w:rPr>
        <w:t>Securities</w:t>
      </w:r>
      <w:r>
        <w:rPr>
          <w:rFonts w:ascii="Times New Roman" w:hAnsi="Times New Roman"/>
          <w:sz w:val="24"/>
        </w:rPr>
        <w:t xml:space="preserve">”) may be issued from time to time; and </w:t>
      </w:r>
    </w:p>
    <w:p>
      <w:pPr>
        <w:pStyle w:val="TextBody"/>
        <w:bidi w:val="0"/>
        <w:spacing w:before="240" w:after="0"/>
        <w:jc w:val="both"/>
        <w:rPr>
          <w:rFonts w:ascii="Times New Roman" w:hAnsi="Times New Roman"/>
          <w:sz w:val="24"/>
        </w:rPr>
      </w:pPr>
      <w:r>
        <w:rPr>
          <w:rFonts w:ascii="Times New Roman" w:hAnsi="Times New Roman"/>
          <w:sz w:val="24"/>
        </w:rPr>
        <w:t xml:space="preserve">WHEREAS, Section 301 of the Indenture permits the terms of any series of Securities to be established in an indenture supplemental to the Indenture; and </w:t>
      </w:r>
    </w:p>
    <w:p>
      <w:pPr>
        <w:pStyle w:val="TextBody"/>
        <w:bidi w:val="0"/>
        <w:spacing w:before="240" w:after="0"/>
        <w:jc w:val="both"/>
        <w:rPr>
          <w:rFonts w:ascii="Times New Roman" w:hAnsi="Times New Roman"/>
          <w:sz w:val="24"/>
        </w:rPr>
      </w:pPr>
      <w:r>
        <w:rPr>
          <w:rFonts w:ascii="Times New Roman" w:hAnsi="Times New Roman"/>
          <w:sz w:val="24"/>
        </w:rPr>
        <w:t xml:space="preserve">WHEREAS, Section 901 of the Indenture provides that a supplemental indenture may be entered into by the Company, the Subsidiary Guarantors and a Trustee without the consent of any Holders of the Securities for certain purposes stated therein; and </w:t>
      </w:r>
    </w:p>
    <w:p>
      <w:pPr>
        <w:pStyle w:val="TextBody"/>
        <w:bidi w:val="0"/>
        <w:spacing w:before="240" w:after="0"/>
        <w:jc w:val="both"/>
        <w:rPr>
          <w:rFonts w:ascii="Times New Roman" w:hAnsi="Times New Roman"/>
          <w:sz w:val="24"/>
        </w:rPr>
      </w:pPr>
      <w:r>
        <w:rPr>
          <w:rFonts w:ascii="Times New Roman" w:hAnsi="Times New Roman"/>
          <w:sz w:val="24"/>
        </w:rPr>
        <w:t>WHEREAS, the Company has requested the Notes Trustee and the Co-Trustee to join with it in the execution and delivery of this First Supplemental Indenture in order to supplement the Indenture by, among other things, establishing certain terms of one series of Securities to be known as the Company’s “Floating Rate Notes due 2029” (the “</w:t>
      </w:r>
      <w:r>
        <w:rPr>
          <w:rFonts w:ascii="Times New Roman" w:hAnsi="Times New Roman"/>
          <w:b/>
          <w:sz w:val="24"/>
        </w:rPr>
        <w:t>Notes</w:t>
      </w:r>
      <w:r>
        <w:rPr>
          <w:rFonts w:ascii="Times New Roman" w:hAnsi="Times New Roman"/>
          <w:sz w:val="24"/>
        </w:rPr>
        <w:t xml:space="preserve">”), and adding certain provisions thereof for the benefit of the Holders of the Notes; and </w:t>
      </w:r>
    </w:p>
    <w:p>
      <w:pPr>
        <w:pStyle w:val="TextBody"/>
        <w:bidi w:val="0"/>
        <w:spacing w:before="240" w:after="0"/>
        <w:jc w:val="both"/>
        <w:rPr>
          <w:rFonts w:ascii="Times New Roman" w:hAnsi="Times New Roman"/>
          <w:sz w:val="24"/>
        </w:rPr>
      </w:pPr>
      <w:r>
        <w:rPr>
          <w:rFonts w:ascii="Times New Roman" w:hAnsi="Times New Roman"/>
          <w:sz w:val="24"/>
        </w:rPr>
        <w:t xml:space="preserve">WHEREAS, the Company has furnished the Notes Trustee and the Co-Trustee with an Opinion of Counsel and a duly authorized and executed Company Order dated September 17, 2026 authorizing the execution of this First Supplemental Indenture and the issuance of the Notes; and </w:t>
      </w:r>
    </w:p>
    <w:p>
      <w:pPr>
        <w:pStyle w:val="TextBody"/>
        <w:bidi w:val="0"/>
        <w:spacing w:before="240" w:after="0"/>
        <w:jc w:val="both"/>
        <w:rPr>
          <w:rFonts w:ascii="Times New Roman" w:hAnsi="Times New Roman"/>
          <w:sz w:val="24"/>
        </w:rPr>
      </w:pPr>
      <w:r>
        <w:rPr>
          <w:rFonts w:ascii="Times New Roman" w:hAnsi="Times New Roman"/>
          <w:sz w:val="24"/>
        </w:rPr>
        <w:t xml:space="preserve">WHEREAS, all things necessary to make this First Supplemental Indenture a valid agreement of the Company, the Subsidiary Guarantors, the Notes Trustee and the Co-Trustee and a valid supplement to the Indenture have been done; and </w:t>
      </w:r>
    </w:p>
    <w:p>
      <w:pPr>
        <w:pStyle w:val="TextBody"/>
        <w:bidi w:val="0"/>
        <w:spacing w:before="240" w:after="0"/>
        <w:jc w:val="both"/>
        <w:rPr>
          <w:rFonts w:ascii="Times New Roman" w:hAnsi="Times New Roman"/>
          <w:sz w:val="24"/>
        </w:rPr>
      </w:pPr>
      <w:r>
        <w:rPr>
          <w:rFonts w:ascii="Times New Roman" w:hAnsi="Times New Roman"/>
          <w:sz w:val="24"/>
        </w:rPr>
        <w:t xml:space="preserve">WHEREAS, the foregoing recitals are made as representations and statements of fact by the Company and not the Notes Trustee or Co-Trustee. </w:t>
      </w:r>
    </w:p>
    <w:p>
      <w:pPr>
        <w:pStyle w:val="TextBody"/>
        <w:bidi w:val="0"/>
        <w:spacing w:before="240" w:after="0"/>
        <w:jc w:val="both"/>
        <w:rPr>
          <w:rFonts w:ascii="Times New Roman" w:hAnsi="Times New Roman"/>
          <w:sz w:val="24"/>
        </w:rPr>
      </w:pPr>
      <w:r>
        <w:rPr>
          <w:rFonts w:ascii="Times New Roman" w:hAnsi="Times New Roman"/>
          <w:sz w:val="24"/>
        </w:rPr>
        <w:t xml:space="preserve">NOW, THEREFORE, THIS FIRST SUPPLEMENTAL INDENTURE for and in consideration of the premises and the purchase of the Notes to be issued hereunder by Holders thereof, the Company, the Subsidiary Guarantors, the Notes Trustee and the Co-Trustee, mutually covenant and agree, for the equal and proportionate benefit of the Holders from time to time of the Notes, as follows: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- 3 - </w:t>
      </w:r>
    </w:p>
    <w:p>
      <w:pPr>
        <w:pStyle w:val="TextBody"/>
        <w:bidi w:val="0"/>
        <w:spacing w:before="0" w:after="0"/>
        <w:jc w:val="left"/>
        <w:rPr/>
      </w:pPr>
      <w:r>
        <w:rPr/>
        <w:t> </w:t>
      </w:r>
    </w:p>
    <w:p>
      <w:pPr>
        <w:pStyle w:val="TextBody"/>
        <w:bidi w:val="0"/>
        <w:spacing w:before="0" w:after="0"/>
        <w:jc w:val="center"/>
        <w:rPr>
          <w:rFonts w:ascii="Times New Roman" w:hAnsi="Times New Roman"/>
          <w:b/>
          <w:sz w:val="24"/>
        </w:rPr>
      </w:pPr>
      <w:r>
        <w:rPr>
          <w:rFonts w:ascii="Times New Roman" w:hAnsi="Times New Roman"/>
          <w:b/>
          <w:sz w:val="24"/>
        </w:rPr>
        <w:t xml:space="preserve">ARTICLE I </w:t>
      </w:r>
    </w:p>
    <w:p>
      <w:pPr>
        <w:pStyle w:val="TextBody"/>
        <w:bidi w:val="0"/>
        <w:spacing w:before="240" w:after="0"/>
        <w:jc w:val="center"/>
        <w:rPr>
          <w:rFonts w:ascii="Times New Roman" w:hAnsi="Times New Roman"/>
          <w:b/>
          <w:sz w:val="24"/>
        </w:rPr>
      </w:pPr>
      <w:r>
        <w:rPr>
          <w:rFonts w:ascii="Times New Roman" w:hAnsi="Times New Roman"/>
          <w:b/>
          <w:sz w:val="24"/>
        </w:rPr>
        <w:t xml:space="preserve">DEFINITIONS </w:t>
      </w:r>
    </w:p>
    <w:p>
      <w:pPr>
        <w:pStyle w:val="TextBody"/>
        <w:bidi w:val="0"/>
        <w:spacing w:before="240" w:after="0"/>
        <w:jc w:val="both"/>
        <w:rPr>
          <w:rFonts w:ascii="Times New Roman" w:hAnsi="Times New Roman"/>
          <w:sz w:val="24"/>
        </w:rPr>
      </w:pPr>
      <w:r>
        <w:rPr>
          <w:rFonts w:ascii="Times New Roman" w:hAnsi="Times New Roman"/>
          <w:sz w:val="24"/>
        </w:rPr>
        <w:t xml:space="preserve">The Indenture together with this First Supplemental Indenture is hereinafter sometimes collectively referred to as the “Indenture.” All capitalized terms which are used herein and not otherwise defined herein are defined in the Indenture and are used herein with the same meanings as in the Indenture. </w:t>
      </w:r>
    </w:p>
    <w:p>
      <w:pPr>
        <w:pStyle w:val="TextBody"/>
        <w:bidi w:val="0"/>
        <w:spacing w:before="240" w:after="0"/>
        <w:jc w:val="both"/>
        <w:rPr>
          <w:rFonts w:ascii="Times New Roman" w:hAnsi="Times New Roman"/>
          <w:sz w:val="24"/>
        </w:rPr>
      </w:pPr>
      <w:r>
        <w:rPr>
          <w:rFonts w:ascii="Times New Roman" w:hAnsi="Times New Roman"/>
          <w:sz w:val="24"/>
        </w:rPr>
        <w:t xml:space="preserve">For all purposes of this First Supplemental Indenture and the Notes, except as otherwise expressly provided or unless the subject matter or the context otherwise requires: </w:t>
      </w:r>
    </w:p>
    <w:p>
      <w:pPr>
        <w:pStyle w:val="TextBody"/>
        <w:bidi w:val="0"/>
        <w:spacing w:before="240" w:after="0"/>
        <w:jc w:val="both"/>
        <w:rPr/>
      </w:pPr>
      <w:r>
        <w:rPr/>
        <w:t>“</w:t>
      </w:r>
      <w:r>
        <w:rPr>
          <w:rFonts w:ascii="Times New Roman" w:hAnsi="Times New Roman"/>
          <w:b/>
          <w:sz w:val="24"/>
        </w:rPr>
        <w:t>Applicable CORRA Fallback Rate</w:t>
      </w:r>
      <w:r>
        <w:rPr>
          <w:rFonts w:ascii="Times New Roman" w:hAnsi="Times New Roman"/>
          <w:sz w:val="24"/>
        </w:rPr>
        <w:t xml:space="preserve">” means one of the CAD Recommended Rate or the BOC Target Rate, as applicable. </w:t>
      </w:r>
    </w:p>
    <w:p>
      <w:pPr>
        <w:pStyle w:val="TextBody"/>
        <w:bidi w:val="0"/>
        <w:spacing w:before="240" w:after="0"/>
        <w:jc w:val="both"/>
        <w:rPr/>
      </w:pPr>
      <w:r>
        <w:rPr/>
        <w:t>“</w:t>
      </w:r>
      <w:r>
        <w:rPr>
          <w:rFonts w:ascii="Times New Roman" w:hAnsi="Times New Roman"/>
          <w:b/>
          <w:sz w:val="24"/>
        </w:rPr>
        <w:t>Bank of Canada Business Day</w:t>
      </w:r>
      <w:r>
        <w:rPr>
          <w:rFonts w:ascii="Times New Roman" w:hAnsi="Times New Roman"/>
          <w:sz w:val="24"/>
        </w:rPr>
        <w:t xml:space="preserve">” means each day that Schedule I banks under the </w:t>
      </w:r>
      <w:r>
        <w:rPr>
          <w:rFonts w:ascii="Times New Roman" w:hAnsi="Times New Roman"/>
          <w:i/>
          <w:sz w:val="24"/>
        </w:rPr>
        <w:t xml:space="preserve">Bank Act </w:t>
      </w:r>
      <w:r>
        <w:rPr>
          <w:rFonts w:ascii="Times New Roman" w:hAnsi="Times New Roman"/>
          <w:sz w:val="24"/>
        </w:rPr>
        <w:t xml:space="preserve">(Canada) are open for business in Toronto, Ontario, Canada, other than a Saturday or a Sunday or a public holiday in Toronto (or such revised regular publication calendar for CORRA Compounded Index, CORRA or an Applicable CORRA Fallback Rate as may be adopted by the Reference Rate Administrator from time to time). </w:t>
      </w:r>
    </w:p>
    <w:p>
      <w:pPr>
        <w:pStyle w:val="TextBody"/>
        <w:bidi w:val="0"/>
        <w:spacing w:before="240" w:after="0"/>
        <w:jc w:val="both"/>
        <w:rPr/>
      </w:pPr>
      <w:r>
        <w:rPr/>
        <w:t>“</w:t>
      </w:r>
      <w:r>
        <w:rPr>
          <w:rFonts w:ascii="Times New Roman" w:hAnsi="Times New Roman"/>
          <w:b/>
          <w:sz w:val="24"/>
        </w:rPr>
        <w:t>BOC Target Rate</w:t>
      </w:r>
      <w:r>
        <w:rPr>
          <w:rFonts w:ascii="Times New Roman" w:hAnsi="Times New Roman"/>
          <w:sz w:val="24"/>
        </w:rPr>
        <w:t xml:space="preserve">” means the Bank of Canada’s target for the overnight rate as set by the Bank of Canada and published on the Bank of Canada’s website from time to time. </w:t>
      </w:r>
    </w:p>
    <w:p>
      <w:pPr>
        <w:pStyle w:val="TextBody"/>
        <w:bidi w:val="0"/>
        <w:spacing w:before="240" w:after="0"/>
        <w:jc w:val="both"/>
        <w:rPr/>
      </w:pPr>
      <w:r>
        <w:rPr/>
        <w:t>“</w:t>
      </w:r>
      <w:r>
        <w:rPr>
          <w:rFonts w:ascii="Times New Roman" w:hAnsi="Times New Roman"/>
          <w:b/>
          <w:sz w:val="24"/>
        </w:rPr>
        <w:t>CAD Recommended Rate</w:t>
      </w:r>
      <w:r>
        <w:rPr>
          <w:rFonts w:ascii="Times New Roman" w:hAnsi="Times New Roman"/>
          <w:sz w:val="24"/>
        </w:rPr>
        <w:t xml:space="preserve">” means the rate (inclusive of any spreads or adjustments) recommended as the replacement for CORRA by a committee officially endorsed or convened by the Bank of Canada for the purpose of recommending a replacement for CORRA (which rate may be produced by the Bank of Canada or another administrator) and as provided by the administrator of that rate or, if that rate is not provided by the administrator thereof (or a successor administrator), published by an authorized distributor. </w:t>
      </w:r>
    </w:p>
    <w:p>
      <w:pPr>
        <w:pStyle w:val="TextBody"/>
        <w:bidi w:val="0"/>
        <w:spacing w:before="240" w:after="0"/>
        <w:jc w:val="both"/>
        <w:rPr/>
      </w:pPr>
      <w:r>
        <w:rPr/>
        <w:t>“</w:t>
      </w:r>
      <w:r>
        <w:rPr>
          <w:rFonts w:ascii="Times New Roman" w:hAnsi="Times New Roman"/>
          <w:b/>
          <w:sz w:val="24"/>
        </w:rPr>
        <w:t>Calculation Agent</w:t>
      </w:r>
      <w:r>
        <w:rPr>
          <w:rFonts w:ascii="Times New Roman" w:hAnsi="Times New Roman"/>
          <w:sz w:val="24"/>
        </w:rPr>
        <w:t xml:space="preserve">” means a third-party trustee or financial institution of national standing with experience providing such services, which has been selected by the Company. </w:t>
      </w:r>
    </w:p>
    <w:p>
      <w:pPr>
        <w:pStyle w:val="TextBody"/>
        <w:bidi w:val="0"/>
        <w:spacing w:before="240" w:after="0"/>
        <w:jc w:val="both"/>
        <w:rPr/>
      </w:pPr>
      <w:r>
        <w:rPr/>
        <w:t>“</w:t>
      </w:r>
      <w:r>
        <w:rPr>
          <w:rFonts w:ascii="Times New Roman" w:hAnsi="Times New Roman"/>
          <w:b/>
          <w:sz w:val="24"/>
        </w:rPr>
        <w:t>Change of Control</w:t>
      </w:r>
      <w:r>
        <w:rPr>
          <w:rFonts w:ascii="Times New Roman" w:hAnsi="Times New Roman"/>
          <w:sz w:val="24"/>
        </w:rPr>
        <w:t xml:space="preserve">” means the occurrence of any one of the following: (1) the direct or indirect sale, transfer, conveyance or other disposition (other than by way of merger, amalgamation, arrangement or consolidation), in one or a series of related transactions, of all or substantially all of the properties or assets of Thomson Reuters, taken as a whole, to any person or group, other than to a Thomson Reuters Entity; (2) the first day on which a majority of the members of the Board of Directors are not Continuing Directors; (3) the consummation of any transaction including, without limitation, any merger, amalgamation, arrangement or consolidation the result of which is that any person or group of related persons, other than the Woodbridge Group, becomes the beneficial owner (as defined in Rules 13d-3 and 13d-5 under the Exchange Act), directly or indirectly, of more than 50% of the Company Voting Stock (which, for greater certainty, excludes the Thomson Reuters Founders Share in the Company held by Thomson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Reuters Founders Share Company), measured by voting power rather than number of shares; or (4) the consummation of a so-called “going private/Rule 13e-3 transaction” that results in any of the effects described in paragraph (a)(3)(ii) of Rule 13e-3 under the Exchange Act (or any successor provision), following which the Woodbridge Group beneficially owns, directly or indirectly, more than 50% of the Company Voting Stock (which, for greater certainty, excludes the Thomson Reuters Founders Share), measured by voting power rather than number of shares. For the purposes of this definition, “person” and “group” have the meanings used in Sections 13(d) and 14(d) of the Exchange Act. </w:t>
      </w:r>
    </w:p>
    <w:p>
      <w:pPr>
        <w:pStyle w:val="TextBody"/>
        <w:bidi w:val="0"/>
        <w:spacing w:before="240" w:after="0"/>
        <w:jc w:val="both"/>
        <w:rPr/>
      </w:pPr>
      <w:r>
        <w:rPr/>
        <w:t>“</w:t>
      </w:r>
      <w:r>
        <w:rPr>
          <w:rFonts w:ascii="Times New Roman" w:hAnsi="Times New Roman"/>
          <w:b/>
          <w:sz w:val="24"/>
        </w:rPr>
        <w:t>Change of Control Triggering Event</w:t>
      </w:r>
      <w:r>
        <w:rPr>
          <w:rFonts w:ascii="Times New Roman" w:hAnsi="Times New Roman"/>
          <w:sz w:val="24"/>
        </w:rPr>
        <w:t xml:space="preserve">” means the occurrence of both a Change of Control and a Rating Event. </w:t>
      </w:r>
    </w:p>
    <w:p>
      <w:pPr>
        <w:pStyle w:val="TextBody"/>
        <w:bidi w:val="0"/>
        <w:spacing w:before="240" w:after="0"/>
        <w:jc w:val="both"/>
        <w:rPr/>
      </w:pPr>
      <w:r>
        <w:rPr/>
        <w:t>“</w:t>
      </w:r>
      <w:r>
        <w:rPr>
          <w:rFonts w:ascii="Times New Roman" w:hAnsi="Times New Roman"/>
          <w:b/>
          <w:sz w:val="24"/>
        </w:rPr>
        <w:t>Company Voting Stock</w:t>
      </w:r>
      <w:r>
        <w:rPr>
          <w:rFonts w:ascii="Times New Roman" w:hAnsi="Times New Roman"/>
          <w:sz w:val="24"/>
        </w:rPr>
        <w:t xml:space="preserve">” means, collectively, stock of the class or classes of the Company having general voting power under ordinary circumstances to elect at least a majority of the Board of Directors (irrespective of whether or not at the time stock of any other class or classes shall have or might have voting power by reason of the happening of any contingency) and, at any particular time, any other securities of the Company (excluding debt securities and the Thomson Reuters Founders Share in the Company held by Thomson Reuters Founders Share Company) carrying at that time a voting right ordinarily exercisable at meetings of shareholders either under all circumstances or under some circumstances that have occurred and are continuing. </w:t>
      </w:r>
    </w:p>
    <w:p>
      <w:pPr>
        <w:pStyle w:val="TextBody"/>
        <w:bidi w:val="0"/>
        <w:spacing w:before="240" w:after="0"/>
        <w:jc w:val="both"/>
        <w:rPr/>
      </w:pPr>
      <w:r>
        <w:rPr/>
        <w:t>“</w:t>
      </w:r>
      <w:r>
        <w:rPr>
          <w:rFonts w:ascii="Times New Roman" w:hAnsi="Times New Roman"/>
          <w:b/>
          <w:sz w:val="24"/>
        </w:rPr>
        <w:t>Consolidated Shareholders’ Equity</w:t>
      </w:r>
      <w:r>
        <w:rPr>
          <w:rFonts w:ascii="Times New Roman" w:hAnsi="Times New Roman"/>
          <w:sz w:val="24"/>
        </w:rPr>
        <w:t xml:space="preserve">” means the aggregate of the stated capital accounts for all of the Company’s outstanding shares and the amount of the Company’s consolidated surplus, whether paid in, earned, or otherwise, as such consolidated surplus is shown on its then most recent audited consolidated balance sheet, determined in accordance with GAAP. </w:t>
      </w:r>
    </w:p>
    <w:p>
      <w:pPr>
        <w:pStyle w:val="TextBody"/>
        <w:bidi w:val="0"/>
        <w:spacing w:before="240" w:after="0"/>
        <w:jc w:val="both"/>
        <w:rPr/>
      </w:pPr>
      <w:r>
        <w:rPr/>
        <w:t>“</w:t>
      </w:r>
      <w:r>
        <w:rPr>
          <w:rFonts w:ascii="Times New Roman" w:hAnsi="Times New Roman"/>
          <w:b/>
          <w:sz w:val="24"/>
        </w:rPr>
        <w:t>Continuing Directors</w:t>
      </w:r>
      <w:r>
        <w:rPr>
          <w:rFonts w:ascii="Times New Roman" w:hAnsi="Times New Roman"/>
          <w:sz w:val="24"/>
        </w:rPr>
        <w:t xml:space="preserve">” means, as of any date of determination, any member of the Board of Directors who (1) was a member of the Board of Directors on the date of the issuance of the Notes; or (2) was nominated for election, elected or appointed to the Board of Directors with the approval of a majority of the Continuing Directors who were members of the Board of Directors at the time of such nomination, election or appointment (either by a specific vote or by approval of the Company’s management information circular in which such member was named as a nominee for election as a director). </w:t>
      </w:r>
    </w:p>
    <w:p>
      <w:pPr>
        <w:pStyle w:val="TextBody"/>
        <w:bidi w:val="0"/>
        <w:spacing w:before="240" w:after="0"/>
        <w:jc w:val="both"/>
        <w:rPr/>
      </w:pPr>
      <w:r>
        <w:rPr/>
        <w:t>“</w:t>
      </w:r>
      <w:r>
        <w:rPr>
          <w:rFonts w:ascii="Times New Roman" w:hAnsi="Times New Roman"/>
          <w:b/>
          <w:sz w:val="24"/>
        </w:rPr>
        <w:t>Co-Obligor</w:t>
      </w:r>
      <w:r>
        <w:rPr>
          <w:rFonts w:ascii="Times New Roman" w:hAnsi="Times New Roman"/>
          <w:sz w:val="24"/>
        </w:rPr>
        <w:t xml:space="preserve">” has the meaning set forth in Section 2.03(k) hereof. </w:t>
      </w:r>
    </w:p>
    <w:p>
      <w:pPr>
        <w:pStyle w:val="TextBody"/>
        <w:bidi w:val="0"/>
        <w:spacing w:before="240" w:after="0"/>
        <w:jc w:val="both"/>
        <w:rPr/>
      </w:pPr>
      <w:r>
        <w:rPr/>
        <w:t>“</w:t>
      </w:r>
      <w:r>
        <w:rPr>
          <w:rFonts w:ascii="Times New Roman" w:hAnsi="Times New Roman"/>
          <w:b/>
          <w:sz w:val="24"/>
        </w:rPr>
        <w:t>CORRA</w:t>
      </w:r>
      <w:r>
        <w:rPr>
          <w:rFonts w:ascii="Times New Roman" w:hAnsi="Times New Roman"/>
          <w:sz w:val="24"/>
        </w:rPr>
        <w:t xml:space="preserve">” means, with respect to any Bank of Canada Business Day, a reference rate equal to the daily Canadian Overnight Repo Rate Average for that day, as published by the Reference Rate Administrator for CORRA (or any successor Reference Rate Administrator), on the website of such Reference Rate Administrator or any successor website on the immediately following Bank of Canada Business Day. </w:t>
      </w:r>
    </w:p>
    <w:p>
      <w:pPr>
        <w:pStyle w:val="TextBody"/>
        <w:bidi w:val="0"/>
        <w:spacing w:before="240" w:after="0"/>
        <w:jc w:val="both"/>
        <w:rPr/>
      </w:pPr>
      <w:r>
        <w:rPr/>
        <w:t>“</w:t>
      </w:r>
      <w:r>
        <w:rPr>
          <w:rFonts w:ascii="Times New Roman" w:hAnsi="Times New Roman"/>
          <w:b/>
          <w:sz w:val="24"/>
        </w:rPr>
        <w:t>CORRA Cessation Effective Date</w:t>
      </w:r>
      <w:r>
        <w:rPr>
          <w:rFonts w:ascii="Times New Roman" w:hAnsi="Times New Roman"/>
          <w:sz w:val="24"/>
        </w:rPr>
        <w:t xml:space="preserve">” means, in respect of one or more CORRA Cessation Events, the first date on which CORRA is no longer provided. If CORRA ceases to be provided on the same day that it is required to determine the rate for an Interest Period, but it was provided on the Interest Determination Date for such Interest Period, then the CORRA Cessation Effective Date will be the next day on which the rate would ordinarily have been published. </w:t>
      </w:r>
    </w:p>
    <w:p>
      <w:pPr>
        <w:pStyle w:val="TextBody"/>
        <w:bidi w:val="0"/>
        <w:spacing w:before="240" w:after="0"/>
        <w:jc w:val="both"/>
        <w:rPr/>
      </w:pPr>
      <w:r>
        <w:rPr/>
        <w:t>“</w:t>
      </w:r>
      <w:r>
        <w:rPr>
          <w:rFonts w:ascii="Times New Roman" w:hAnsi="Times New Roman"/>
          <w:b/>
          <w:sz w:val="24"/>
        </w:rPr>
        <w:t>CORRA Cessation Event</w:t>
      </w:r>
      <w:r>
        <w:rPr>
          <w:rFonts w:ascii="Times New Roman" w:hAnsi="Times New Roman"/>
          <w:sz w:val="24"/>
        </w:rPr>
        <w:t xml:space="preserve">” means (a) a public statement or publication of information by or on behalf of the Reference Rate Administrator or provider of CORRA announcing that it has ceased or will cease to provide CORRA permanently or indefinitely, provided that, at the time of the statement or publication, there is no successor Reference Rate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- 5 -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Administrator or provider of CORRA that will continue to provide CORRA; or (b) a public statement or publication of information by the regulatory supervisor for the Reference Rate Administrator or provider of CORRA, the Bank of Canada, an insolvency official with jurisdiction over the Reference Rate Administrator or provider of CORRA, a resolution authority with jurisdiction over the Reference Rate Administrator or provider of CORRA or a court or an entity with similar insolvency or resolution authority over the Reference Rate Administrator or provider of CORRA, which states that the Reference Rate Administrator or provider of CORRA has ceased or will cease to provide CORRA permanently or indefinitely, provided that, at the time of the statement or publication, there is no successor Reference Rate Administrator or provider of CORRA that will continue to provide CORRA. </w:t>
      </w:r>
    </w:p>
    <w:p>
      <w:pPr>
        <w:pStyle w:val="TextBody"/>
        <w:bidi w:val="0"/>
        <w:spacing w:before="240" w:after="0"/>
        <w:jc w:val="both"/>
        <w:rPr/>
      </w:pPr>
      <w:r>
        <w:rPr/>
        <w:t>“</w:t>
      </w:r>
      <w:r>
        <w:rPr>
          <w:rFonts w:ascii="Times New Roman" w:hAnsi="Times New Roman"/>
          <w:b/>
          <w:sz w:val="24"/>
        </w:rPr>
        <w:t>CORRA Compounded Index</w:t>
      </w:r>
      <w:r>
        <w:rPr>
          <w:rFonts w:ascii="Times New Roman" w:hAnsi="Times New Roman"/>
          <w:sz w:val="24"/>
        </w:rPr>
        <w:t xml:space="preserve">” means the measure of the cumulative impact of CORRA compounding over time administered and published by the Bank of Canada (or any successor Reference Rate Administrator). </w:t>
      </w:r>
    </w:p>
    <w:p>
      <w:pPr>
        <w:pStyle w:val="TextBody"/>
        <w:bidi w:val="0"/>
        <w:spacing w:before="240" w:after="0"/>
        <w:jc w:val="both"/>
        <w:rPr/>
      </w:pPr>
      <w:r>
        <w:rPr/>
        <w:t>“</w:t>
      </w:r>
      <w:r>
        <w:rPr>
          <w:rFonts w:ascii="Times New Roman" w:hAnsi="Times New Roman"/>
          <w:b/>
          <w:sz w:val="24"/>
        </w:rPr>
        <w:t>CORRA Compounded Index Cessation Effective Date</w:t>
      </w:r>
      <w:r>
        <w:rPr>
          <w:rFonts w:ascii="Times New Roman" w:hAnsi="Times New Roman"/>
          <w:sz w:val="24"/>
        </w:rPr>
        <w:t xml:space="preserve">” means, in respect of one or more CORRA Compounded Index Cessation Events, the first date on which the CORRA Compounded Index is no longer provided. If the CORRA Compounded Index ceases to be provided on the same day that it is required to determine the rate for an Interest Period, but it was provided on the Interest Determination Date for such Interest Period, then the CORRA Compounded Index Cessation Effective Date will be the next day on which the rate would ordinarily have been published. </w:t>
      </w:r>
    </w:p>
    <w:p>
      <w:pPr>
        <w:pStyle w:val="TextBody"/>
        <w:bidi w:val="0"/>
        <w:spacing w:before="240" w:after="0"/>
        <w:jc w:val="both"/>
        <w:rPr/>
      </w:pPr>
      <w:r>
        <w:rPr/>
        <w:t>“</w:t>
      </w:r>
      <w:r>
        <w:rPr>
          <w:rFonts w:ascii="Times New Roman" w:hAnsi="Times New Roman"/>
          <w:b/>
          <w:sz w:val="24"/>
        </w:rPr>
        <w:t>CORRA Compounded Index Cessation Event</w:t>
      </w:r>
      <w:r>
        <w:rPr>
          <w:rFonts w:ascii="Times New Roman" w:hAnsi="Times New Roman"/>
          <w:sz w:val="24"/>
        </w:rPr>
        <w:t xml:space="preserve">” means: (a) a public statement or publication of information by or on behalf of the Reference Rate Administrator or provider of CORRA Compounded Index announcing that it has ceased or will cease to provide CORRA Compounded Index permanently or indefinitely, provided that, at the time of the statement or publication, there is no successor Reference Rate Administrator or provider of CORRA Compounded Index that will continue to provide CORRA Compounded Index; or (b) a public statement or publication of information by the regulatory supervisor for the Reference Rate Administrator or provider of CORRA Compounded Index, the Bank of Canada, an insolvency official with jurisdiction over the Reference Rate Administrator or provider of CORRA Compounded Index, a resolution authority with jurisdiction over the Reference Rate Administrator or provider of CORRA Compounded Index or a court or an entity with similar insolvency or resolution authority over the Reference Rate Administrator or provider of CORRA Compounded Index, which states that the Reference Rate Administrator or provider of CORRA Compounded Index has ceased or will cease to provide CORRA Compounded Index permanently or indefinitely, provided that, at the time of the statement or publication, there is no successor Reference Rate Administrator or provider of CORRA Compounded Index that will continue to provide CORRA Compounded Index. </w:t>
      </w:r>
    </w:p>
    <w:p>
      <w:pPr>
        <w:pStyle w:val="TextBody"/>
        <w:bidi w:val="0"/>
        <w:spacing w:before="240" w:after="0"/>
        <w:jc w:val="both"/>
        <w:rPr/>
      </w:pPr>
      <w:r>
        <w:rPr/>
        <w:t>“</w:t>
      </w:r>
      <w:r>
        <w:rPr>
          <w:rFonts w:ascii="Times New Roman" w:hAnsi="Times New Roman"/>
          <w:b/>
          <w:sz w:val="24"/>
        </w:rPr>
        <w:t>CORRA Yield</w:t>
      </w:r>
      <w:r>
        <w:rPr>
          <w:rFonts w:ascii="Times New Roman" w:hAnsi="Times New Roman"/>
          <w:sz w:val="24"/>
        </w:rPr>
        <w:t xml:space="preserve">” means CORRA on the CORRA Yield Determination Date plus 0.00%. </w:t>
      </w:r>
    </w:p>
    <w:p>
      <w:pPr>
        <w:pStyle w:val="TextBody"/>
        <w:bidi w:val="0"/>
        <w:spacing w:before="240" w:after="0"/>
        <w:jc w:val="both"/>
        <w:rPr/>
      </w:pPr>
      <w:r>
        <w:rPr/>
        <w:t>“</w:t>
      </w:r>
      <w:r>
        <w:rPr>
          <w:rFonts w:ascii="Times New Roman" w:hAnsi="Times New Roman"/>
          <w:b/>
          <w:sz w:val="24"/>
        </w:rPr>
        <w:t>CORRA Yield Determination Date</w:t>
      </w:r>
      <w:r>
        <w:rPr>
          <w:rFonts w:ascii="Times New Roman" w:hAnsi="Times New Roman"/>
          <w:sz w:val="24"/>
        </w:rPr>
        <w:t xml:space="preserve">” means the date that is two Bank of Canada Business Days preceding the redemption date for the Notes.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- 6 -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sz w:val="24"/>
        </w:rPr>
        <w:t>CORRA Yield Price</w:t>
      </w:r>
      <w:r>
        <w:rPr>
          <w:rFonts w:ascii="Times New Roman" w:hAnsi="Times New Roman"/>
          <w:sz w:val="24"/>
        </w:rPr>
        <w:t xml:space="preserve">” means a price equal to the sum of the discounted values, calculated using the CORRA Yield, of all remaining scheduled payments of interest (at a rate equal to CORRA on the CORRA Yield Determination Date, compounded daily, plus 0.76%) and principal on the Notes from, but not including, the redemption date to, and including, the maturity date of the Notes calculated in accordance with generally accepted financial practice. </w:t>
      </w:r>
    </w:p>
    <w:p>
      <w:pPr>
        <w:pStyle w:val="TextBody"/>
        <w:bidi w:val="0"/>
        <w:spacing w:before="240" w:after="0"/>
        <w:jc w:val="both"/>
        <w:rPr/>
      </w:pPr>
      <w:r>
        <w:rPr/>
        <w:t>“</w:t>
      </w:r>
      <w:r>
        <w:rPr>
          <w:rFonts w:ascii="Times New Roman" w:hAnsi="Times New Roman"/>
          <w:b/>
          <w:sz w:val="24"/>
        </w:rPr>
        <w:t>Daily Compounded CORRA</w:t>
      </w:r>
      <w:r>
        <w:rPr>
          <w:rFonts w:ascii="Times New Roman" w:hAnsi="Times New Roman"/>
          <w:sz w:val="24"/>
        </w:rPr>
        <w:t xml:space="preserve">” means, for an Observation Period in respect of an Interest Period, the rate calculated using the following method, with the resulting percentage rounded, if necessary, to the fifth decimal place, with 0.000005% being rounded upwards and (-) 0.000005% being rounded downwards: </w:t>
      </w:r>
    </w:p>
    <w:p>
      <w:pPr>
        <w:pStyle w:val="TextBody"/>
        <w:bidi w:val="0"/>
        <w:spacing w:before="0" w:after="0"/>
        <w:jc w:val="left"/>
        <w:rPr/>
      </w:pPr>
      <w:r>
        <w:rPr/>
        <w:t> </w:t>
      </w:r>
    </w:p>
    <w:p>
      <w:pPr>
        <w:pStyle w:val="TextBody"/>
        <w:bidi w:val="0"/>
        <w:spacing w:before="0" w:after="0"/>
        <w:jc w:val="center"/>
        <w:rPr/>
      </w:pPr>
      <w:r>
        <w:rPr/>
        <w:drawing>
          <wp:inline distT="0" distB="0" distL="0" distR="0">
            <wp:extent cx="4253230" cy="3003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53230" cy="300355"/>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8575" w:type="dxa"/>
            <w:tcBorders/>
          </w:tcPr>
          <w:p>
            <w:pPr>
              <w:pStyle w:val="TableContents"/>
              <w:bidi w:val="0"/>
              <w:spacing w:before="0" w:after="0"/>
              <w:jc w:val="both"/>
              <w:rPr/>
            </w:pPr>
            <w:r>
              <w:rPr/>
              <w:t>“</w:t>
            </w:r>
            <w:r>
              <w:rPr>
                <w:rFonts w:ascii="Times New Roman" w:hAnsi="Times New Roman"/>
                <w:sz w:val="24"/>
              </w:rPr>
              <w:t xml:space="preserve">CORRA Compounded Indexstart” is equal to the CORRA Compounded Index value on the date that is two Bank of Canada Business Days preceding the first date of the relevant Interest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8575" w:type="dxa"/>
            <w:tcBorders/>
          </w:tcPr>
          <w:p>
            <w:pPr>
              <w:pStyle w:val="TableContents"/>
              <w:bidi w:val="0"/>
              <w:spacing w:before="0" w:after="0"/>
              <w:jc w:val="both"/>
              <w:rPr/>
            </w:pPr>
            <w:r>
              <w:rPr/>
              <w:t>“</w:t>
            </w:r>
            <w:r>
              <w:rPr>
                <w:rFonts w:ascii="Times New Roman" w:hAnsi="Times New Roman"/>
                <w:sz w:val="24"/>
              </w:rPr>
              <w:t xml:space="preserve">CORRA Compounded Indexend” is equal to the CORRA Compounded Index value on the date that is two Bank of Canada Business Days preceding the Interest Payment Date relating to such Interest Period (or, in the case of the final Interest Payment Date, the Maturity Date or, in respect of any Notes repurchased prior to the Maturity Date following the occurrence of a Change of Control Triggering Event, the date of repurchase of any such Notes so repurchased or, in respect of any Notes redeemed prior to the Maturity Date, the date of redemption of any such Notes so redeemed,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8575" w:type="dxa"/>
            <w:tcBorders/>
          </w:tcPr>
          <w:p>
            <w:pPr>
              <w:pStyle w:val="TableContents"/>
              <w:bidi w:val="0"/>
              <w:spacing w:before="0" w:after="0"/>
              <w:jc w:val="both"/>
              <w:rPr/>
            </w:pPr>
            <w:r>
              <w:rPr/>
              <w:t>“</w:t>
            </w:r>
            <w:r>
              <w:rPr>
                <w:rFonts w:ascii="Times New Roman" w:hAnsi="Times New Roman"/>
                <w:sz w:val="24"/>
              </w:rPr>
              <w:t xml:space="preserve">d” is the number of calendar days in the relevant Observation Period. </w:t>
            </w:r>
          </w:p>
        </w:tc>
      </w:tr>
    </w:tbl>
    <w:p>
      <w:pPr>
        <w:pStyle w:val="TextBody"/>
        <w:bidi w:val="0"/>
        <w:spacing w:before="240" w:after="0"/>
        <w:jc w:val="both"/>
        <w:rPr/>
      </w:pPr>
      <w:r>
        <w:rPr/>
        <w:t>“</w:t>
      </w:r>
      <w:r>
        <w:rPr>
          <w:rFonts w:ascii="Times New Roman" w:hAnsi="Times New Roman"/>
          <w:b/>
          <w:sz w:val="24"/>
        </w:rPr>
        <w:t>Debt</w:t>
      </w:r>
      <w:r>
        <w:rPr>
          <w:rFonts w:ascii="Times New Roman" w:hAnsi="Times New Roman"/>
          <w:sz w:val="24"/>
        </w:rPr>
        <w:t xml:space="preserve">” means notes, bonds, debentures or other similar evidences of indebtedness for money borrowed. </w:t>
      </w:r>
    </w:p>
    <w:p>
      <w:pPr>
        <w:pStyle w:val="TextBody"/>
        <w:bidi w:val="0"/>
        <w:spacing w:before="240" w:after="0"/>
        <w:jc w:val="both"/>
        <w:rPr/>
      </w:pPr>
      <w:r>
        <w:rPr/>
        <w:t>“</w:t>
      </w:r>
      <w:r>
        <w:rPr>
          <w:rFonts w:ascii="Times New Roman" w:hAnsi="Times New Roman"/>
          <w:b/>
          <w:sz w:val="24"/>
        </w:rPr>
        <w:t>Exchange Act</w:t>
      </w:r>
      <w:r>
        <w:rPr>
          <w:rFonts w:ascii="Times New Roman" w:hAnsi="Times New Roman"/>
          <w:sz w:val="24"/>
        </w:rPr>
        <w:t xml:space="preserve">” means the United States Securities Exchange Act of 1934 and the rules and regulations promulgated thereunder, as amended. </w:t>
      </w:r>
    </w:p>
    <w:p>
      <w:pPr>
        <w:pStyle w:val="TextBody"/>
        <w:bidi w:val="0"/>
        <w:spacing w:before="240" w:after="0"/>
        <w:jc w:val="both"/>
        <w:rPr/>
      </w:pPr>
      <w:r>
        <w:rPr/>
        <w:t>“</w:t>
      </w:r>
      <w:r>
        <w:rPr>
          <w:rFonts w:ascii="Times New Roman" w:hAnsi="Times New Roman"/>
          <w:b/>
          <w:sz w:val="24"/>
        </w:rPr>
        <w:t>Fallback Index Cessation Effective Date</w:t>
      </w:r>
      <w:r>
        <w:rPr>
          <w:rFonts w:ascii="Times New Roman" w:hAnsi="Times New Roman"/>
          <w:sz w:val="24"/>
        </w:rPr>
        <w:t xml:space="preserve">” means, in respect of one or more Fallback Index Cessation Events, the first date on which the Applicable CORRA Fallback Rate is no longer provided. If the Applicable CORRA Fallback Rate ceases to be provided on the same day that it is required to determine the rate for an Interest Determination Date, but it was provided at the time at which it is to be observed (or, if no such time is specified, at the time at which it is ordinarily published), then the Fallback Index Cessation Effective Date will be the next day on which the rate would ordinarily have been published. </w:t>
      </w:r>
    </w:p>
    <w:p>
      <w:pPr>
        <w:pStyle w:val="TextBody"/>
        <w:bidi w:val="0"/>
        <w:spacing w:before="240" w:after="0"/>
        <w:jc w:val="both"/>
        <w:rPr/>
      </w:pPr>
      <w:r>
        <w:rPr/>
        <w:t>“</w:t>
      </w:r>
      <w:r>
        <w:rPr>
          <w:rFonts w:ascii="Times New Roman" w:hAnsi="Times New Roman"/>
          <w:b/>
          <w:sz w:val="24"/>
        </w:rPr>
        <w:t>Fallback Index Cessation Event</w:t>
      </w:r>
      <w:r>
        <w:rPr>
          <w:rFonts w:ascii="Times New Roman" w:hAnsi="Times New Roman"/>
          <w:sz w:val="24"/>
        </w:rPr>
        <w:t xml:space="preserve">” means: (a) a public statement or publication of information by or on behalf of the Reference Rate Administrator or provider of the Applicable CORRA Fallback Rate announcing that it has ceased or will cease to provide the Applicable CORRA Fallback Rate permanently or indefinitely, provided that, at the time of the statement or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- 7 -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publication, there is no successor Reference Rate Administrator or provider of the Applicable CORRA Fallback Rate that will continue to provide the Applicable CORRA Fallback Rate; or (b) a public statement or publication of information by the regulatory supervisor for the Reference Rate Administrator or provider of the Applicable CORRA Fallback Rate, the Bank of Canada, an insolvency official with jurisdiction over the Reference Rate Administrator or provider of the Applicable CORRA Fallback Rate, a resolution authority with jurisdiction over the Reference Rate Administrator or provider of the Applicable CORRA Fallback Rate or a court or an entity with similar insolvency or resolution authority over the Reference Rate Administrator or provider of the Applicable CORRA Fallback Rate, which states that the Reference Rate Administrator or provider of the Applicable CORRA Fallback Rate has ceased or will cease to provide the Applicable CORRA Fallback Rate permanently or indefinitely, provided that, at the time of the statement or publication, there is no successor Reference Rate Administrator or provider of the Applicable CORRA Fallback Rate that will continue to provide the Applicable CORRA Fallback Rate. </w:t>
      </w:r>
    </w:p>
    <w:p>
      <w:pPr>
        <w:pStyle w:val="TextBody"/>
        <w:bidi w:val="0"/>
        <w:spacing w:before="240" w:after="0"/>
        <w:jc w:val="both"/>
        <w:rPr/>
      </w:pPr>
      <w:r>
        <w:rPr/>
        <w:t>“</w:t>
      </w:r>
      <w:r>
        <w:rPr>
          <w:rFonts w:ascii="Times New Roman" w:hAnsi="Times New Roman"/>
          <w:b/>
          <w:sz w:val="24"/>
        </w:rPr>
        <w:t>FATCA</w:t>
      </w:r>
      <w:r>
        <w:rPr>
          <w:rFonts w:ascii="Times New Roman" w:hAnsi="Times New Roman"/>
          <w:sz w:val="24"/>
        </w:rPr>
        <w:t xml:space="preserve">” has the meaning set forth in Section 2.03(k)(B)(II)(viii) hereof. </w:t>
      </w:r>
    </w:p>
    <w:p>
      <w:pPr>
        <w:pStyle w:val="TextBody"/>
        <w:bidi w:val="0"/>
        <w:spacing w:before="240" w:after="0"/>
        <w:jc w:val="both"/>
        <w:rPr/>
      </w:pPr>
      <w:r>
        <w:rPr/>
        <w:t>“</w:t>
      </w:r>
      <w:r>
        <w:rPr>
          <w:rFonts w:ascii="Times New Roman" w:hAnsi="Times New Roman"/>
          <w:b/>
          <w:sz w:val="24"/>
        </w:rPr>
        <w:t>Fitch</w:t>
      </w:r>
      <w:r>
        <w:rPr>
          <w:rFonts w:ascii="Times New Roman" w:hAnsi="Times New Roman"/>
          <w:sz w:val="24"/>
        </w:rPr>
        <w:t xml:space="preserve">” means Fitch Ratings Ltd. </w:t>
      </w:r>
    </w:p>
    <w:p>
      <w:pPr>
        <w:pStyle w:val="TextBody"/>
        <w:bidi w:val="0"/>
        <w:spacing w:before="240" w:after="0"/>
        <w:jc w:val="both"/>
        <w:rPr/>
      </w:pPr>
      <w:r>
        <w:rPr/>
        <w:t>“</w:t>
      </w:r>
      <w:r>
        <w:rPr>
          <w:rFonts w:ascii="Times New Roman" w:hAnsi="Times New Roman"/>
          <w:b/>
          <w:sz w:val="24"/>
        </w:rPr>
        <w:t>Funded Obligation</w:t>
      </w:r>
      <w:r>
        <w:rPr>
          <w:rFonts w:ascii="Times New Roman" w:hAnsi="Times New Roman"/>
          <w:sz w:val="24"/>
        </w:rPr>
        <w:t xml:space="preserve">” means any Debt, the principal amount of which by its terms is not payable on demand and the due date of payment of which, after giving effect to any right of extension or renewal exercisable unilaterally on the part of the obligor, is more than 18 months from the date of the creation, issue or incurring of the same. </w:t>
      </w:r>
    </w:p>
    <w:p>
      <w:pPr>
        <w:pStyle w:val="TextBody"/>
        <w:bidi w:val="0"/>
        <w:spacing w:before="240" w:after="0"/>
        <w:jc w:val="both"/>
        <w:rPr/>
      </w:pPr>
      <w:r>
        <w:rPr/>
        <w:t>“</w:t>
      </w:r>
      <w:r>
        <w:rPr>
          <w:rFonts w:ascii="Times New Roman" w:hAnsi="Times New Roman"/>
          <w:b/>
          <w:sz w:val="24"/>
        </w:rPr>
        <w:t>Interest Determination Date</w:t>
      </w:r>
      <w:r>
        <w:rPr>
          <w:rFonts w:ascii="Times New Roman" w:hAnsi="Times New Roman"/>
          <w:sz w:val="24"/>
        </w:rPr>
        <w:t xml:space="preserve">” means the date that is two Bank of Canada Business Days preceding each Interest Payment Date (or, in the case of the final Interest Period, preceding the Maturity Date, or, in respect of any Notes repurchased prior to the Maturity Date following the occurrence of a Change of Control Triggering Event, the date of repurchase of any such Notes so repurchased or, in respect of any Notes redeemed prior to the Maturity Date, the date of redemption of any such Notes so redeemed, as applicable). </w:t>
      </w:r>
    </w:p>
    <w:p>
      <w:pPr>
        <w:pStyle w:val="TextBody"/>
        <w:bidi w:val="0"/>
        <w:spacing w:before="240" w:after="0"/>
        <w:jc w:val="both"/>
        <w:rPr/>
      </w:pPr>
      <w:r>
        <w:rPr/>
        <w:t>“</w:t>
      </w:r>
      <w:r>
        <w:rPr>
          <w:rFonts w:ascii="Times New Roman" w:hAnsi="Times New Roman"/>
          <w:b/>
          <w:sz w:val="24"/>
        </w:rPr>
        <w:t>Interest Payment Date</w:t>
      </w:r>
      <w:r>
        <w:rPr>
          <w:rFonts w:ascii="Times New Roman" w:hAnsi="Times New Roman"/>
          <w:sz w:val="24"/>
        </w:rPr>
        <w:t xml:space="preserve">” has the meaning attributed to it in Section 2.03(c)(A) hereof. </w:t>
      </w:r>
    </w:p>
    <w:p>
      <w:pPr>
        <w:pStyle w:val="TextBody"/>
        <w:bidi w:val="0"/>
        <w:spacing w:before="240" w:after="0"/>
        <w:jc w:val="both"/>
        <w:rPr/>
      </w:pPr>
      <w:r>
        <w:rPr/>
        <w:t>“</w:t>
      </w:r>
      <w:r>
        <w:rPr>
          <w:rFonts w:ascii="Times New Roman" w:hAnsi="Times New Roman"/>
          <w:b/>
          <w:sz w:val="24"/>
        </w:rPr>
        <w:t>Interest Period</w:t>
      </w:r>
      <w:r>
        <w:rPr>
          <w:rFonts w:ascii="Times New Roman" w:hAnsi="Times New Roman"/>
          <w:sz w:val="24"/>
        </w:rPr>
        <w:t xml:space="preserve">” means, the period from and including each Interest Payment Date (or, in the case of the first Interest Period, the date of the first issuance of the Notes) to, but excluding the next succeeding Interest Payment Date or, in the case of the final Interest Payment Date, the Maturity Date or, if the Notes are repurchased prior to the Maturity Date following the occurrence of a Change of Control Triggering Event, the date of repurchase of such Notes or, in respect of any Notes redeemed prior to the Maturity Date, the date of redemption of any such Notes so redeemed, as applicable. </w:t>
      </w:r>
    </w:p>
    <w:p>
      <w:pPr>
        <w:pStyle w:val="TextBody"/>
        <w:bidi w:val="0"/>
        <w:spacing w:before="240" w:after="0"/>
        <w:jc w:val="both"/>
        <w:rPr/>
      </w:pPr>
      <w:r>
        <w:rPr/>
        <w:t>“</w:t>
      </w:r>
      <w:r>
        <w:rPr>
          <w:rFonts w:ascii="Times New Roman" w:hAnsi="Times New Roman"/>
          <w:b/>
          <w:sz w:val="24"/>
        </w:rPr>
        <w:t>Investment Grade Rating</w:t>
      </w:r>
      <w:r>
        <w:rPr>
          <w:rFonts w:ascii="Times New Roman" w:hAnsi="Times New Roman"/>
          <w:sz w:val="24"/>
        </w:rPr>
        <w:t xml:space="preserve">” means a rating equal to or higher than Baa3 (or the equivalent) by Moody’s, BBB- (or the equivalent) by S&amp;P or BBB- (or the equivalent) by Fitch, and the equivalent investment grade credit rating from any replacement Rating Agency or Rating Agencies selected by the Company. </w:t>
      </w:r>
    </w:p>
    <w:p>
      <w:pPr>
        <w:pStyle w:val="TextBody"/>
        <w:bidi w:val="0"/>
        <w:spacing w:before="240" w:after="0"/>
        <w:jc w:val="both"/>
        <w:rPr/>
      </w:pPr>
      <w:r>
        <w:rPr/>
        <w:t>“</w:t>
      </w:r>
      <w:r>
        <w:rPr>
          <w:rFonts w:ascii="Times New Roman" w:hAnsi="Times New Roman"/>
          <w:b/>
          <w:sz w:val="24"/>
        </w:rPr>
        <w:t>Issuance Date</w:t>
      </w:r>
      <w:r>
        <w:rPr>
          <w:rFonts w:ascii="Times New Roman" w:hAnsi="Times New Roman"/>
          <w:sz w:val="24"/>
        </w:rPr>
        <w:t xml:space="preserve">” has the meaning attributed to it in Section 2.03(a) hereof.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- 8 -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sz w:val="24"/>
        </w:rPr>
        <w:t>Material Subsidiary</w:t>
      </w:r>
      <w:r>
        <w:rPr>
          <w:rFonts w:ascii="Times New Roman" w:hAnsi="Times New Roman"/>
          <w:sz w:val="24"/>
        </w:rPr>
        <w:t xml:space="preserve">” means any Subsidiary of the Company the revenues of which for the 12 months ending at the end of the most recently completed fiscal year of such Subsidiary represent 10% or more of the revenues of the Company and its Subsidiaries taken as a whole for the 12 months ending at the end of the most recently completed fiscal year of the Company, or the gross assets of which as at the end of the most recently completed fiscal year of such Subsidiary represent 10% or more of the gross assets of the Company and its Subsidiaries taken as a whole as at the end of the most recently completed fiscal year of the Company, calculated in each case in accordance with GAAP. </w:t>
      </w:r>
    </w:p>
    <w:p>
      <w:pPr>
        <w:pStyle w:val="TextBody"/>
        <w:bidi w:val="0"/>
        <w:spacing w:before="240" w:after="0"/>
        <w:jc w:val="both"/>
        <w:rPr/>
      </w:pPr>
      <w:r>
        <w:rPr/>
        <w:t>“</w:t>
      </w:r>
      <w:r>
        <w:rPr>
          <w:rFonts w:ascii="Times New Roman" w:hAnsi="Times New Roman"/>
          <w:b/>
          <w:sz w:val="24"/>
        </w:rPr>
        <w:t>Maturity Date</w:t>
      </w:r>
      <w:r>
        <w:rPr>
          <w:rFonts w:ascii="Times New Roman" w:hAnsi="Times New Roman"/>
          <w:sz w:val="24"/>
        </w:rPr>
        <w:t xml:space="preserve">” has the meaning attributed to it in Section 2.03(a) hereof. </w:t>
      </w:r>
    </w:p>
    <w:p>
      <w:pPr>
        <w:pStyle w:val="TextBody"/>
        <w:bidi w:val="0"/>
        <w:spacing w:before="240" w:after="0"/>
        <w:jc w:val="both"/>
        <w:rPr/>
      </w:pPr>
      <w:r>
        <w:rPr/>
        <w:t>“</w:t>
      </w:r>
      <w:r>
        <w:rPr>
          <w:rFonts w:ascii="Times New Roman" w:hAnsi="Times New Roman"/>
          <w:b/>
          <w:sz w:val="24"/>
        </w:rPr>
        <w:t>Moody’s</w:t>
      </w:r>
      <w:r>
        <w:rPr>
          <w:rFonts w:ascii="Times New Roman" w:hAnsi="Times New Roman"/>
          <w:sz w:val="24"/>
        </w:rPr>
        <w:t xml:space="preserve">” means Moody’s Investors Service, Inc. </w:t>
      </w:r>
    </w:p>
    <w:p>
      <w:pPr>
        <w:pStyle w:val="TextBody"/>
        <w:bidi w:val="0"/>
        <w:spacing w:before="240" w:after="0"/>
        <w:jc w:val="both"/>
        <w:rPr/>
      </w:pPr>
      <w:r>
        <w:rPr/>
        <w:t>“</w:t>
      </w:r>
      <w:r>
        <w:rPr>
          <w:rFonts w:ascii="Times New Roman" w:hAnsi="Times New Roman"/>
          <w:b/>
          <w:sz w:val="24"/>
        </w:rPr>
        <w:t>Non-Canadian Person</w:t>
      </w:r>
      <w:r>
        <w:rPr>
          <w:rFonts w:ascii="Times New Roman" w:hAnsi="Times New Roman"/>
          <w:sz w:val="24"/>
        </w:rPr>
        <w:t xml:space="preserve">” has the meaning set forth in Section 2.03(j) hereof. </w:t>
      </w:r>
    </w:p>
    <w:p>
      <w:pPr>
        <w:pStyle w:val="TextBody"/>
        <w:bidi w:val="0"/>
        <w:spacing w:before="240" w:after="0"/>
        <w:jc w:val="both"/>
        <w:rPr/>
      </w:pPr>
      <w:r>
        <w:rPr/>
        <w:t>“</w:t>
      </w:r>
      <w:r>
        <w:rPr>
          <w:rFonts w:ascii="Times New Roman" w:hAnsi="Times New Roman"/>
          <w:b/>
          <w:sz w:val="24"/>
        </w:rPr>
        <w:t>Non-Canadian Taxing Jurisdiction</w:t>
      </w:r>
      <w:r>
        <w:rPr>
          <w:rFonts w:ascii="Times New Roman" w:hAnsi="Times New Roman"/>
          <w:sz w:val="24"/>
        </w:rPr>
        <w:t xml:space="preserve">” has the meaning set forth in Section 2.03(k) hereof. </w:t>
      </w:r>
    </w:p>
    <w:p>
      <w:pPr>
        <w:pStyle w:val="TextBody"/>
        <w:bidi w:val="0"/>
        <w:spacing w:before="240" w:after="0"/>
        <w:jc w:val="both"/>
        <w:rPr/>
      </w:pPr>
      <w:r>
        <w:rPr/>
        <w:t>“</w:t>
      </w:r>
      <w:r>
        <w:rPr>
          <w:rFonts w:ascii="Times New Roman" w:hAnsi="Times New Roman"/>
          <w:b/>
          <w:sz w:val="24"/>
        </w:rPr>
        <w:t>Observation Period</w:t>
      </w:r>
      <w:r>
        <w:rPr>
          <w:rFonts w:ascii="Times New Roman" w:hAnsi="Times New Roman"/>
          <w:sz w:val="24"/>
        </w:rPr>
        <w:t xml:space="preserve">” means, in respect of each Interest Period, the period from, and including, the date that is two Bank of Canada Business Days preceding the first date in such Interest Period to, but excluding, the date that is two Bank of Canada Business Days preceding the Interest Payment Date for such Interest Period (or, in the case of the final Interest Period, the Maturity Date or, in respect of any Notes repurchased prior to the Maturity Date following the occurrence of a Change of Control Triggering Event, the date of repurchase of any such Notes so repurchased or, in respect of any Notes redeemed prior to the Maturity Date, the date of redemption of any such Notes so redeemed, as applicable). </w:t>
      </w:r>
    </w:p>
    <w:p>
      <w:pPr>
        <w:pStyle w:val="TextBody"/>
        <w:bidi w:val="0"/>
        <w:spacing w:before="240" w:after="0"/>
        <w:jc w:val="both"/>
        <w:rPr/>
      </w:pPr>
      <w:r>
        <w:rPr/>
        <w:t>“</w:t>
      </w:r>
      <w:r>
        <w:rPr>
          <w:rFonts w:ascii="Times New Roman" w:hAnsi="Times New Roman"/>
          <w:b/>
          <w:sz w:val="24"/>
        </w:rPr>
        <w:t>Officer’s Certificate</w:t>
      </w:r>
      <w:r>
        <w:rPr>
          <w:rFonts w:ascii="Times New Roman" w:hAnsi="Times New Roman"/>
          <w:sz w:val="24"/>
        </w:rPr>
        <w:t xml:space="preserve">” means a certificate signed by the Chairman, Deputy Chairman, the President, the Chief Financial Officer or a Vice President, and by the Treasurer, an Assistant Treasurer, the Secretary, the Deputy Company Secretary or an Assistant Secretary of the Company, and delivered to the Trustee. </w:t>
      </w:r>
    </w:p>
    <w:p>
      <w:pPr>
        <w:pStyle w:val="TextBody"/>
        <w:bidi w:val="0"/>
        <w:spacing w:before="240" w:after="0"/>
        <w:jc w:val="both"/>
        <w:rPr/>
      </w:pPr>
      <w:r>
        <w:rPr/>
        <w:t>“</w:t>
      </w:r>
      <w:r>
        <w:rPr>
          <w:rFonts w:ascii="Times New Roman" w:hAnsi="Times New Roman"/>
          <w:b/>
          <w:sz w:val="24"/>
        </w:rPr>
        <w:t>Rating Agencies</w:t>
      </w:r>
      <w:r>
        <w:rPr>
          <w:rFonts w:ascii="Times New Roman" w:hAnsi="Times New Roman"/>
          <w:sz w:val="24"/>
        </w:rPr>
        <w:t xml:space="preserve">” means (a) each of Moody’s, S&amp;P and Fitch; and (b) with respect to the Notes, if any of the Rating Agencies ceases to rate the Notes or fails to make a rating of the Notes publicly available for reasons outside of the Company’s control, a “nationally recognized statistical rating organization” within the meaning of Section 3(a)(62) under the Exchange Act selected by the Company (as certified by a resolution of the Board of Directors) as a replacement for Moody’s, S&amp;P or Fitch, or some or all of them, as the case may be. </w:t>
      </w:r>
    </w:p>
    <w:p>
      <w:pPr>
        <w:pStyle w:val="TextBody"/>
        <w:bidi w:val="0"/>
        <w:spacing w:before="240" w:after="0"/>
        <w:jc w:val="both"/>
        <w:rPr/>
      </w:pPr>
      <w:r>
        <w:rPr/>
        <w:t>“</w:t>
      </w:r>
      <w:r>
        <w:rPr>
          <w:rFonts w:ascii="Times New Roman" w:hAnsi="Times New Roman"/>
          <w:b/>
          <w:sz w:val="24"/>
        </w:rPr>
        <w:t>Rating Event</w:t>
      </w:r>
      <w:r>
        <w:rPr>
          <w:rFonts w:ascii="Times New Roman" w:hAnsi="Times New Roman"/>
          <w:sz w:val="24"/>
        </w:rPr>
        <w:t xml:space="preserve">” means, with respect to the Notes, the rating of the Notes is lowered by all of the Rating Agencies, and the Notes are rated below an Investment Grade Rating by all of the Rating Agencies on any day within the 60-day period (which 60-day period will be extended so long as the rating of the Notes is under publicly announced consideration for a possible downgrade by such number of Rating Agencies) after the earlier of (1) the occurrence of a Change of Control and (2) public notice of the occurrence of a Change of Control or the Company’s intention to effect a Change of Control; provided, however, that a rating event otherwise arising by virtue of a particular reduction in rating will be deemed not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- 9 -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to have occurred in respect of a particular Change of Control (and thus will not be deemed a rating event for purposes of the definition of Change of Control Triggering Event) if the Rating Agencies making the reduction in rating to which this definition would otherwise apply do not announce or publicly confirm or inform the Company that the reduction was the result, in whole or in part, of any event or circumstance comprised of or arising as a result of, or in respect of, the applicable Change of Control, whether or not the applicable Change of Control has occurred at the time of the rating event. </w:t>
      </w:r>
    </w:p>
    <w:p>
      <w:pPr>
        <w:pStyle w:val="TextBody"/>
        <w:bidi w:val="0"/>
        <w:spacing w:before="240" w:after="0"/>
        <w:jc w:val="both"/>
        <w:rPr/>
      </w:pPr>
      <w:r>
        <w:rPr/>
        <w:t>“</w:t>
      </w:r>
      <w:r>
        <w:rPr>
          <w:rFonts w:ascii="Times New Roman" w:hAnsi="Times New Roman"/>
          <w:b/>
          <w:sz w:val="24"/>
        </w:rPr>
        <w:t>Reference Rate Administrator</w:t>
      </w:r>
      <w:r>
        <w:rPr>
          <w:rFonts w:ascii="Times New Roman" w:hAnsi="Times New Roman"/>
          <w:sz w:val="24"/>
        </w:rPr>
        <w:t xml:space="preserve">” means the Bank of Canada or any successor administrator for CORRA and/or the CORRA Compounded Index or the administrator (or its successor) of another Applicable CORRA Fallback Rate, as applicable. </w:t>
      </w:r>
    </w:p>
    <w:p>
      <w:pPr>
        <w:pStyle w:val="TextBody"/>
        <w:bidi w:val="0"/>
        <w:spacing w:before="240" w:after="0"/>
        <w:jc w:val="both"/>
        <w:rPr/>
      </w:pPr>
      <w:r>
        <w:rPr/>
        <w:t>“</w:t>
      </w:r>
      <w:r>
        <w:rPr>
          <w:rFonts w:ascii="Times New Roman" w:hAnsi="Times New Roman"/>
          <w:b/>
          <w:sz w:val="24"/>
        </w:rPr>
        <w:t>Regular Record Date</w:t>
      </w:r>
      <w:r>
        <w:rPr>
          <w:rFonts w:ascii="Times New Roman" w:hAnsi="Times New Roman"/>
          <w:sz w:val="24"/>
        </w:rPr>
        <w:t xml:space="preserve">” means the date specified for determining holders entitled to receive interest on the Notes on any Interest Payment Date. </w:t>
      </w:r>
    </w:p>
    <w:p>
      <w:pPr>
        <w:pStyle w:val="TextBody"/>
        <w:bidi w:val="0"/>
        <w:spacing w:before="240" w:after="0"/>
        <w:jc w:val="both"/>
        <w:rPr/>
      </w:pPr>
      <w:r>
        <w:rPr/>
        <w:t>“</w:t>
      </w:r>
      <w:r>
        <w:rPr>
          <w:rFonts w:ascii="Times New Roman" w:hAnsi="Times New Roman"/>
          <w:b/>
          <w:sz w:val="24"/>
        </w:rPr>
        <w:t>S&amp;P</w:t>
      </w:r>
      <w:r>
        <w:rPr>
          <w:rFonts w:ascii="Times New Roman" w:hAnsi="Times New Roman"/>
          <w:sz w:val="24"/>
        </w:rPr>
        <w:t xml:space="preserve">” means S&amp;P Global Rating Services, a division of S&amp;P Global Inc. </w:t>
      </w:r>
    </w:p>
    <w:p>
      <w:pPr>
        <w:pStyle w:val="TextBody"/>
        <w:bidi w:val="0"/>
        <w:spacing w:before="240" w:after="0"/>
        <w:jc w:val="both"/>
        <w:rPr/>
      </w:pPr>
      <w:r>
        <w:rPr/>
        <w:t>“</w:t>
      </w:r>
      <w:r>
        <w:rPr>
          <w:rFonts w:ascii="Times New Roman" w:hAnsi="Times New Roman"/>
          <w:b/>
          <w:sz w:val="24"/>
        </w:rPr>
        <w:t>Thomson Reuters</w:t>
      </w:r>
      <w:r>
        <w:rPr>
          <w:rFonts w:ascii="Times New Roman" w:hAnsi="Times New Roman"/>
          <w:sz w:val="24"/>
        </w:rPr>
        <w:t xml:space="preserve">” means the Company and its Subsidiaries and “Thomson Reuters Entity” means any one of them. </w:t>
      </w:r>
    </w:p>
    <w:p>
      <w:pPr>
        <w:pStyle w:val="TextBody"/>
        <w:bidi w:val="0"/>
        <w:spacing w:before="240" w:after="0"/>
        <w:jc w:val="both"/>
        <w:rPr/>
      </w:pPr>
      <w:r>
        <w:rPr/>
        <w:t>“</w:t>
      </w:r>
      <w:r>
        <w:rPr>
          <w:rFonts w:ascii="Times New Roman" w:hAnsi="Times New Roman"/>
          <w:b/>
          <w:sz w:val="24"/>
        </w:rPr>
        <w:t>Thomson Reuters Founders Share</w:t>
      </w:r>
      <w:r>
        <w:rPr>
          <w:rFonts w:ascii="Times New Roman" w:hAnsi="Times New Roman"/>
          <w:sz w:val="24"/>
        </w:rPr>
        <w:t xml:space="preserve">” means the Thomson Reuters Founders Share in the capital of the Company. </w:t>
      </w:r>
    </w:p>
    <w:p>
      <w:pPr>
        <w:pStyle w:val="TextBody"/>
        <w:bidi w:val="0"/>
        <w:spacing w:before="240" w:after="0"/>
        <w:jc w:val="both"/>
        <w:rPr/>
      </w:pPr>
      <w:r>
        <w:rPr/>
        <w:t>“</w:t>
      </w:r>
      <w:r>
        <w:rPr>
          <w:rFonts w:ascii="Times New Roman" w:hAnsi="Times New Roman"/>
          <w:b/>
          <w:sz w:val="24"/>
        </w:rPr>
        <w:t>Thomson Reuters Founders Share Company</w:t>
      </w:r>
      <w:r>
        <w:rPr>
          <w:rFonts w:ascii="Times New Roman" w:hAnsi="Times New Roman"/>
          <w:sz w:val="24"/>
        </w:rPr>
        <w:t xml:space="preserve">” means Thomson Reuters Founders Share Company Limited, a corporation incorporated and existing in accordance with the laws of England and Wales. </w:t>
      </w:r>
    </w:p>
    <w:p>
      <w:pPr>
        <w:pStyle w:val="TextBody"/>
        <w:bidi w:val="0"/>
        <w:spacing w:before="240" w:after="0"/>
        <w:jc w:val="both"/>
        <w:rPr/>
      </w:pPr>
      <w:r>
        <w:rPr/>
        <w:t>“</w:t>
      </w:r>
      <w:r>
        <w:rPr>
          <w:rFonts w:ascii="Times New Roman" w:hAnsi="Times New Roman"/>
          <w:b/>
          <w:sz w:val="24"/>
        </w:rPr>
        <w:t>Wholly-Owned Subsidiary</w:t>
      </w:r>
      <w:r>
        <w:rPr>
          <w:rFonts w:ascii="Times New Roman" w:hAnsi="Times New Roman"/>
          <w:sz w:val="24"/>
        </w:rPr>
        <w:t xml:space="preserve">” means any Subsidiary of which the Company, at the time of determination, directly and/or indirectly, through one or more other Subsidiaries, owns 100% of the shares of Voting Stock/Interests of such Subsidiary. </w:t>
      </w:r>
    </w:p>
    <w:p>
      <w:pPr>
        <w:pStyle w:val="TextBody"/>
        <w:bidi w:val="0"/>
        <w:spacing w:before="240" w:after="0"/>
        <w:jc w:val="both"/>
        <w:rPr/>
      </w:pPr>
      <w:r>
        <w:rPr/>
        <w:t>“</w:t>
      </w:r>
      <w:r>
        <w:rPr>
          <w:rFonts w:ascii="Times New Roman" w:hAnsi="Times New Roman"/>
          <w:b/>
          <w:sz w:val="24"/>
        </w:rPr>
        <w:t>Woodbridge</w:t>
      </w:r>
      <w:r>
        <w:rPr>
          <w:rFonts w:ascii="Times New Roman" w:hAnsi="Times New Roman"/>
          <w:sz w:val="24"/>
        </w:rPr>
        <w:t xml:space="preserve">” means The Woodbridge Company Limited, a corporation incorporated under the laws of the Province of Ontario. </w:t>
      </w:r>
    </w:p>
    <w:p>
      <w:pPr>
        <w:pStyle w:val="TextBody"/>
        <w:bidi w:val="0"/>
        <w:spacing w:before="240" w:after="0"/>
        <w:jc w:val="both"/>
        <w:rPr/>
      </w:pPr>
      <w:r>
        <w:rPr/>
        <w:t>“</w:t>
      </w:r>
      <w:r>
        <w:rPr>
          <w:rFonts w:ascii="Times New Roman" w:hAnsi="Times New Roman"/>
          <w:b/>
          <w:sz w:val="24"/>
        </w:rPr>
        <w:t>Woodbridge Group</w:t>
      </w:r>
      <w:r>
        <w:rPr>
          <w:rFonts w:ascii="Times New Roman" w:hAnsi="Times New Roman"/>
          <w:sz w:val="24"/>
        </w:rPr>
        <w:t xml:space="preserve">” means at any particular time such of (a) Woodbridge, (b) the Affiliates of Woodbridge, and (c) the respective successors and assigns of Woodbridge or any such Affiliate, as, at such time, are controlled directly or indirectly by one or more corporations all of the shares of which are held by one or more individuals who are members of the family of the late first Lord Thomson of Fleet or trusts for their benefit.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- 10 - </w:t>
      </w:r>
    </w:p>
    <w:p>
      <w:pPr>
        <w:pStyle w:val="TextBody"/>
        <w:bidi w:val="0"/>
        <w:spacing w:before="0" w:after="0"/>
        <w:jc w:val="left"/>
        <w:rPr/>
      </w:pPr>
      <w:r>
        <w:rPr/>
        <w:t> </w:t>
      </w:r>
    </w:p>
    <w:p>
      <w:pPr>
        <w:pStyle w:val="TextBody"/>
        <w:bidi w:val="0"/>
        <w:spacing w:before="0" w:after="0"/>
        <w:jc w:val="center"/>
        <w:rPr>
          <w:rFonts w:ascii="Times New Roman" w:hAnsi="Times New Roman"/>
          <w:b/>
          <w:sz w:val="24"/>
        </w:rPr>
      </w:pPr>
      <w:r>
        <w:rPr>
          <w:rFonts w:ascii="Times New Roman" w:hAnsi="Times New Roman"/>
          <w:b/>
          <w:sz w:val="24"/>
        </w:rPr>
        <w:t xml:space="preserve">ARTICLE II </w:t>
      </w:r>
    </w:p>
    <w:p>
      <w:pPr>
        <w:pStyle w:val="TextBody"/>
        <w:bidi w:val="0"/>
        <w:spacing w:before="240" w:after="0"/>
        <w:jc w:val="center"/>
        <w:rPr>
          <w:rFonts w:ascii="Times New Roman" w:hAnsi="Times New Roman"/>
          <w:b/>
          <w:sz w:val="24"/>
        </w:rPr>
      </w:pPr>
      <w:r>
        <w:rPr>
          <w:rFonts w:ascii="Times New Roman" w:hAnsi="Times New Roman"/>
          <w:b/>
          <w:sz w:val="24"/>
        </w:rPr>
        <w:t xml:space="preserve">STANDARD PROVISIONS; THE NOTES </w:t>
      </w:r>
    </w:p>
    <w:p>
      <w:pPr>
        <w:pStyle w:val="TextBody"/>
        <w:bidi w:val="0"/>
        <w:spacing w:before="240" w:after="0"/>
        <w:jc w:val="both"/>
        <w:rPr>
          <w:rFonts w:ascii="Times New Roman" w:hAnsi="Times New Roman"/>
          <w:b/>
          <w:sz w:val="24"/>
        </w:rPr>
      </w:pPr>
      <w:r>
        <w:rPr>
          <w:rFonts w:ascii="Times New Roman" w:hAnsi="Times New Roman"/>
          <w:b/>
          <w:sz w:val="24"/>
        </w:rPr>
        <w:t xml:space="preserve">Section 2.01 Creation of the Notes; Designation. </w:t>
      </w:r>
    </w:p>
    <w:p>
      <w:pPr>
        <w:pStyle w:val="TextBody"/>
        <w:bidi w:val="0"/>
        <w:spacing w:before="240" w:after="0"/>
        <w:jc w:val="both"/>
        <w:rPr>
          <w:rFonts w:ascii="Times New Roman" w:hAnsi="Times New Roman"/>
          <w:sz w:val="24"/>
        </w:rPr>
      </w:pPr>
      <w:r>
        <w:rPr>
          <w:rFonts w:ascii="Times New Roman" w:hAnsi="Times New Roman"/>
          <w:sz w:val="24"/>
        </w:rPr>
        <w:t xml:space="preserve">In accordance with Section 301 of the Indenture, the Company, as principal, hereby creates the Notes as a series of its Securities issued pursuant to the Indenture. The Notes shall be designated as the “Floating Rate Notes due 2029.” </w:t>
      </w:r>
    </w:p>
    <w:p>
      <w:pPr>
        <w:pStyle w:val="TextBody"/>
        <w:bidi w:val="0"/>
        <w:spacing w:before="240" w:after="0"/>
        <w:jc w:val="both"/>
        <w:rPr>
          <w:rFonts w:ascii="Times New Roman" w:hAnsi="Times New Roman"/>
          <w:b/>
          <w:sz w:val="24"/>
        </w:rPr>
      </w:pPr>
      <w:r>
        <w:rPr>
          <w:rFonts w:ascii="Times New Roman" w:hAnsi="Times New Roman"/>
          <w:b/>
          <w:sz w:val="24"/>
        </w:rPr>
        <w:t xml:space="preserve">Section 2.02 Form of the Notes. </w:t>
      </w:r>
    </w:p>
    <w:p>
      <w:pPr>
        <w:pStyle w:val="TextBody"/>
        <w:bidi w:val="0"/>
        <w:spacing w:before="240" w:after="0"/>
        <w:jc w:val="both"/>
        <w:rPr>
          <w:rFonts w:ascii="Times New Roman" w:hAnsi="Times New Roman"/>
          <w:sz w:val="24"/>
        </w:rPr>
      </w:pPr>
      <w:r>
        <w:rPr>
          <w:rFonts w:ascii="Times New Roman" w:hAnsi="Times New Roman"/>
          <w:sz w:val="24"/>
        </w:rPr>
        <w:t>The Notes shall be represented by one or more fully-registered global notes in book-entry form (each, a “</w:t>
      </w:r>
      <w:r>
        <w:rPr>
          <w:rFonts w:ascii="Times New Roman" w:hAnsi="Times New Roman"/>
          <w:b/>
          <w:sz w:val="24"/>
        </w:rPr>
        <w:t>Global Note</w:t>
      </w:r>
      <w:r>
        <w:rPr>
          <w:rFonts w:ascii="Times New Roman" w:hAnsi="Times New Roman"/>
          <w:sz w:val="24"/>
        </w:rPr>
        <w:t>”) which shall each be deposited with, or on behalf of, CDS Clearing and Depository Services Inc. (“</w:t>
      </w:r>
      <w:r>
        <w:rPr>
          <w:rFonts w:ascii="Times New Roman" w:hAnsi="Times New Roman"/>
          <w:b/>
          <w:sz w:val="24"/>
        </w:rPr>
        <w:t>CDS</w:t>
      </w:r>
      <w:r>
        <w:rPr>
          <w:rFonts w:ascii="Times New Roman" w:hAnsi="Times New Roman"/>
          <w:sz w:val="24"/>
        </w:rPr>
        <w:t xml:space="preserve">”) and registered in the name of CDS &amp; Co. The Global Note in respect of the Notes shall be in the form of Exhibit I attached hereto. So long as CDS, or its nominee, is the registered owner of a Global Note, CDS or its nominee, as the case may be, shall be considered the sole owner or Holder of the Notes represented by a Global Note for all purposes under the Indenture. Ownership of beneficial interests in a Global Note shall be shown on, and transfers thereof shall be effected only through, records maintained by CDS (with respect to beneficial interests of participants or persons that hold interests through participants) or by participants or persons that hold interest through participants (with respect to beneficial interests of beneficial owners). Beneficial interests in a Global Note will be held in initial denominations of C$2,000 and subsequent multiples of C$1,000 in excess thereof. A Global Note may be transferred, in whole and not in part, only to another nominee of CDS or to a successor of CDS or its nominee. </w:t>
      </w:r>
    </w:p>
    <w:p>
      <w:pPr>
        <w:pStyle w:val="TextBody"/>
        <w:bidi w:val="0"/>
        <w:spacing w:before="240" w:after="0"/>
        <w:jc w:val="both"/>
        <w:rPr>
          <w:rFonts w:ascii="Times New Roman" w:hAnsi="Times New Roman"/>
          <w:b/>
          <w:sz w:val="24"/>
        </w:rPr>
      </w:pPr>
      <w:r>
        <w:rPr>
          <w:rFonts w:ascii="Times New Roman" w:hAnsi="Times New Roman"/>
          <w:b/>
          <w:sz w:val="24"/>
        </w:rPr>
        <w:t xml:space="preserve">Section 2.03 Terms and Conditions of the Notes. </w:t>
      </w:r>
    </w:p>
    <w:p>
      <w:pPr>
        <w:pStyle w:val="TextBody"/>
        <w:bidi w:val="0"/>
        <w:spacing w:before="240" w:after="0"/>
        <w:jc w:val="both"/>
        <w:rPr>
          <w:rFonts w:ascii="Times New Roman" w:hAnsi="Times New Roman"/>
          <w:sz w:val="24"/>
        </w:rPr>
      </w:pPr>
      <w:r>
        <w:rPr>
          <w:rFonts w:ascii="Times New Roman" w:hAnsi="Times New Roman"/>
          <w:sz w:val="24"/>
        </w:rPr>
        <w:t xml:space="preserve">The Notes shall be governed by all the terms and conditions of the Indenture, as supplemented by this First Supplemental Indenture, and in particular, the following provisions shall be terms of the Notes: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b/>
          <w:sz w:val="24"/>
        </w:rPr>
        <w:t>Date of Issue and Maturity</w:t>
      </w:r>
      <w:r>
        <w:rPr>
          <w:rFonts w:ascii="Times New Roman" w:hAnsi="Times New Roman"/>
          <w:sz w:val="24"/>
        </w:rPr>
        <w:t>. The Notes will be dated September 17, 2026 (regardless of their actual date of issue) (the “</w:t>
      </w:r>
      <w:r>
        <w:rPr>
          <w:rFonts w:ascii="Times New Roman" w:hAnsi="Times New Roman"/>
          <w:b/>
          <w:sz w:val="24"/>
        </w:rPr>
        <w:t>Issuance Date</w:t>
      </w:r>
      <w:r>
        <w:rPr>
          <w:rFonts w:ascii="Times New Roman" w:hAnsi="Times New Roman"/>
          <w:sz w:val="24"/>
        </w:rPr>
        <w:t>”) and will become due and payable, together with all accrued and unpaid interest thereon, on September 17, 2029 (the “</w:t>
      </w:r>
      <w:r>
        <w:rPr>
          <w:rFonts w:ascii="Times New Roman" w:hAnsi="Times New Roman"/>
          <w:b/>
          <w:sz w:val="24"/>
        </w:rPr>
        <w:t>Maturity Date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b/>
          <w:sz w:val="24"/>
        </w:rPr>
        <w:t>Issue Price.</w:t>
      </w:r>
      <w:r>
        <w:rPr>
          <w:rFonts w:ascii="Times New Roman" w:hAnsi="Times New Roman"/>
          <w:sz w:val="24"/>
        </w:rPr>
        <w:t xml:space="preserve"> The Notes issued on the date hereof shall be issued at 100.00% of the principal amount thereof.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b/>
          <w:sz w:val="24"/>
        </w:rPr>
        <w:t>Interest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(A) The Notes shall bear interest on the unpaid principal amount thereof based on the Daily Compounded CORRA determined for the relevant Observation Period plus 0.76% per annum, payable quarterly in arrears on March 17, June 17, September 17 and December 17 of each year, with the exception of the final interest payment on the Maturity Date (each, an “</w:t>
      </w:r>
      <w:r>
        <w:rPr>
          <w:rFonts w:ascii="Times New Roman" w:hAnsi="Times New Roman"/>
          <w:b/>
          <w:sz w:val="24"/>
        </w:rPr>
        <w:t>Interest Payment Date</w:t>
      </w:r>
      <w:r>
        <w:rPr>
          <w:rFonts w:ascii="Times New Roman" w:hAnsi="Times New Roman"/>
          <w:sz w:val="24"/>
        </w:rPr>
        <w:t xml:space="preserve">”) for so long as the Notes remain outstanding. The first Interest Payment Date will be December 17, 2026. Interest on the Notes shall be computed on the basis of a 365-day year.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- 11 -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(B) If any Interest Payment Date is not a Bank of Canada Business Day, then such Interest Payment Date will be the next day that is a Bank of Canada Business Day, unless the next Bank of Canada Business Day falls in the next calendar month, in which case such Interest Payment Date will instead be the immediately preceding day that is a Bank of Canada Business Day. If the Maturity Date falls on a day that is not a Bank of Canada Business Day, the Company will make the required payment of principal and interest on the next succeeding Bank of Canada Business Day. The determination of when to pay principal and/or interest on the Notes if an Interest Payment Date and/or the Maturity Date is not a Bank of Canada Business Day is referred to herein as the “</w:t>
      </w:r>
      <w:r>
        <w:rPr>
          <w:rFonts w:ascii="Times New Roman" w:hAnsi="Times New Roman"/>
          <w:b/>
          <w:sz w:val="24"/>
        </w:rPr>
        <w:t>Business Day Convention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(C) Interest will be payable in respect of each Interest Period (after as well as before maturity, default and judgment, with overdue interest at the same rate) on each Interest Payment Date in accordance with Section 307 of the Indenture. Interest on the Notes will accrue from day to day. </w:t>
      </w:r>
    </w:p>
    <w:p>
      <w:pPr>
        <w:pStyle w:val="TextBody"/>
        <w:bidi w:val="0"/>
        <w:spacing w:before="240" w:after="0"/>
        <w:jc w:val="both"/>
        <w:rPr>
          <w:rFonts w:ascii="Times New Roman" w:hAnsi="Times New Roman"/>
          <w:sz w:val="24"/>
        </w:rPr>
      </w:pPr>
      <w:r>
        <w:rPr>
          <w:rFonts w:ascii="Times New Roman" w:hAnsi="Times New Roman"/>
          <w:sz w:val="24"/>
        </w:rPr>
        <w:t xml:space="preserve">(D) The Regular Record Dates for interest in respect of the Notes shall be February 28, May 31, August 31 and November 30 (whether or not a Bank of Canada Business Day) in respect of the interest payable on March 17, June 17, September 17 and December 17, respectively.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b/>
          <w:sz w:val="24"/>
        </w:rPr>
        <w:t>Payment of Principal and Interest</w:t>
      </w:r>
      <w:r>
        <w:rPr>
          <w:rFonts w:ascii="Times New Roman" w:hAnsi="Times New Roman"/>
          <w:sz w:val="24"/>
        </w:rPr>
        <w:t xml:space="preserve">. Settlement for the Notes shall be made in immediately available funds. All payments of principal and interest shall be made by the Company in immediately available funds. The Notes shall trade in the depository system of CDS until Maturity, and secondary market trading activity for the Notes shall settle in immediately available funds.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b/>
          <w:sz w:val="24"/>
        </w:rPr>
        <w:t>Floating Interest Rate Fallback</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i/>
          <w:sz w:val="24"/>
        </w:rPr>
        <w:t>CORRA Compounded Index Not Available or CORRA Compounded Index Cessation Effective Date:</w:t>
      </w:r>
      <w:r>
        <w:rPr>
          <w:rFonts w:ascii="Times New Roman" w:hAnsi="Times New Roman"/>
          <w:sz w:val="24"/>
        </w:rPr>
        <w:t xml:space="preserve"> If (i) the CORRA Compounded Indexstart or the CORRA Compounded Indexend is not published or displayed by the Reference Rate Administrator or an authorized distributor by 11:30 a.m. Toronto time (or an amended publication time, if any, as specified in the Reference Rate Administrator’s methodology for calculating the CORRA Compounded Index) on the Interest Determination Date for an Interest Period, but a CORRA Compounded Index Cessation Effective Date has not occurred, or (ii) a CORRA Compounded Index Cessation Effective Date has occurred, and, in the case of either (i) or (ii), a CORRA Cessation Effective Date has not occurred, then Daily Compounded CORRA for the applicable Interest Period will be calculated by the Calculation Agent as follows, with the resulting percentage being rounded, if necessary, to the fifth decimal place, with 0.000005% being rounded upwards and (-) 0.000005% being rounded downwards: </w:t>
      </w:r>
    </w:p>
    <w:p>
      <w:pPr>
        <w:pStyle w:val="TextBody"/>
        <w:bidi w:val="0"/>
        <w:spacing w:before="0" w:after="0"/>
        <w:jc w:val="left"/>
        <w:rPr/>
      </w:pPr>
      <w:r>
        <w:rPr/>
        <w:t> </w:t>
      </w:r>
    </w:p>
    <w:p>
      <w:pPr>
        <w:pStyle w:val="TextBody"/>
        <w:bidi w:val="0"/>
        <w:spacing w:before="0" w:after="0"/>
        <w:jc w:val="center"/>
        <w:rPr/>
      </w:pPr>
      <w:r>
        <w:rPr/>
        <w:drawing>
          <wp:inline distT="0" distB="0" distL="0" distR="0">
            <wp:extent cx="3943350"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943350" cy="5334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- 12 -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where: </w:t>
      </w:r>
    </w:p>
    <w:p>
      <w:pPr>
        <w:pStyle w:val="TextBody"/>
        <w:bidi w:val="0"/>
        <w:spacing w:before="240" w:after="0"/>
        <w:jc w:val="both"/>
        <w:rPr>
          <w:rFonts w:ascii="Times New Roman" w:hAnsi="Times New Roman"/>
          <w:sz w:val="24"/>
        </w:rPr>
      </w:pPr>
      <w:r>
        <w:rPr>
          <w:rFonts w:ascii="Times New Roman" w:hAnsi="Times New Roman"/>
          <w:sz w:val="24"/>
        </w:rPr>
        <w:t xml:space="preserve">(I) “d0” for any Observation Period is the number of Bank of Canada Business Days in the relevant Observation Period; </w:t>
      </w:r>
    </w:p>
    <w:p>
      <w:pPr>
        <w:pStyle w:val="TextBody"/>
        <w:bidi w:val="0"/>
        <w:spacing w:before="240" w:after="0"/>
        <w:jc w:val="both"/>
        <w:rPr>
          <w:rFonts w:ascii="Times New Roman" w:hAnsi="Times New Roman"/>
          <w:sz w:val="24"/>
        </w:rPr>
      </w:pPr>
      <w:r>
        <w:rPr>
          <w:rFonts w:ascii="Times New Roman" w:hAnsi="Times New Roman"/>
          <w:sz w:val="24"/>
        </w:rPr>
        <w:t xml:space="preserve">(II) “i” is a series of whole numbers from one to d0, each representing the relevant Bank of Canada Business Day in chronological order from, and including, the first Bank of Canada Business Day in the relevant Observation Period; </w:t>
      </w:r>
    </w:p>
    <w:p>
      <w:pPr>
        <w:pStyle w:val="TextBody"/>
        <w:bidi w:val="0"/>
        <w:spacing w:before="240" w:after="0"/>
        <w:jc w:val="both"/>
        <w:rPr>
          <w:rFonts w:ascii="Times New Roman" w:hAnsi="Times New Roman"/>
          <w:sz w:val="24"/>
        </w:rPr>
      </w:pPr>
      <w:r>
        <w:rPr>
          <w:rFonts w:ascii="Times New Roman" w:hAnsi="Times New Roman"/>
          <w:sz w:val="24"/>
        </w:rPr>
        <w:t xml:space="preserve">(III) “CORRAi” means, in respect of any Bank of Canada Business Day “i” in the relevant Observation Period, a reference rate equal to the daily CORRA rate for that day, as published or displayed by the Reference Rate Administrator for CORRA on the website of such Reference Rate Administrator or any successor website on the immediately following Bank of Canada Business Day, which is the Bank of Canada Business Day “i” + 1, provided that, if by not later than at 11:00 a.m. Toronto time (or the amended publication deadline for CORRA, if any, as specified in the Reference Rate Administrator’s methodology for calculating CORRA) neither the Reference Rate Administrator for CORRA nor authorized distributors provide or publish CORRA in respect of that day and a CORRA Cessation Effective Date has not occurred, then references to CORRA will be deemed to be references to the last provided or published CORRA as of the close of business in Toronto on that day; </w:t>
      </w:r>
    </w:p>
    <w:p>
      <w:pPr>
        <w:pStyle w:val="TextBody"/>
        <w:bidi w:val="0"/>
        <w:spacing w:before="240" w:after="0"/>
        <w:jc w:val="both"/>
        <w:rPr>
          <w:rFonts w:ascii="Times New Roman" w:hAnsi="Times New Roman"/>
          <w:sz w:val="24"/>
        </w:rPr>
      </w:pPr>
      <w:r>
        <w:rPr>
          <w:rFonts w:ascii="Times New Roman" w:hAnsi="Times New Roman"/>
          <w:sz w:val="24"/>
        </w:rPr>
        <w:t xml:space="preserve">(IV)  “ni” means, for any Bank of Canada Business Day “i” in the relevant Observation Period, the number of calendar days from, and including, such Bank of Canada Business Day “i” to, but excluding, the following Bank of Canada Business Day, which is Bank of Canada Business Day “i” + 1; and </w:t>
      </w:r>
    </w:p>
    <w:p>
      <w:pPr>
        <w:pStyle w:val="TextBody"/>
        <w:bidi w:val="0"/>
        <w:spacing w:before="240" w:after="0"/>
        <w:jc w:val="both"/>
        <w:rPr>
          <w:rFonts w:ascii="Times New Roman" w:hAnsi="Times New Roman"/>
          <w:sz w:val="24"/>
        </w:rPr>
      </w:pPr>
      <w:r>
        <w:rPr>
          <w:rFonts w:ascii="Times New Roman" w:hAnsi="Times New Roman"/>
          <w:sz w:val="24"/>
        </w:rPr>
        <w:t xml:space="preserve">(V) “d” is the number of calendar days in the relevant Observation Period.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i/>
          <w:sz w:val="24"/>
        </w:rPr>
        <w:t>CORRA Cessation Effective Date</w:t>
      </w:r>
      <w:r>
        <w:rPr>
          <w:rFonts w:ascii="Times New Roman" w:hAnsi="Times New Roman"/>
          <w:sz w:val="24"/>
        </w:rPr>
        <w:t xml:space="preserve">: If a CORRA Cessation Effective Date has occurred, then the interest rate for an Interest Period in respect of which an Interest Determination Date occurs on or after such CORRA Cessation Effective Date will be the CAD Recommended Rate, to which the Calculation Agent will apply the most recently published spread, as at the CORRA Cessation Effective Date, and make such adjustments to the CAD Recommended Rate as are determined necessary to account for any difference in the term, structure or tenor of the CAD Recommended Rate in comparison to CORRA. If there is a CAD Recommended Rate before the end of the first Bank of Canada Business Day following the CORRA Cessation Effective Date, but neither the Reference Rate Administrator nor authorized distributors provide or publish the CAD Recommended Rate and a Fallback Index Cessation Effective Date with respect to the CAD Recommended Rate has not occurred, then, in respect of any day for which the CAD Recommended Rate is required, references to the CAD Recommended Rate will be deemed to be references to the last provided or published CAD Recommended Rate.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- 13 -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(C) </w:t>
      </w:r>
      <w:r>
        <w:rPr>
          <w:rFonts w:ascii="Times New Roman" w:hAnsi="Times New Roman"/>
          <w:i/>
          <w:sz w:val="24"/>
        </w:rPr>
        <w:t>CAD Recommended Rate Not Available or Fallback Index Cessation Effective Date with respect to the CAD Recommended Rate</w:t>
      </w:r>
      <w:r>
        <w:rPr>
          <w:rFonts w:ascii="Times New Roman" w:hAnsi="Times New Roman"/>
          <w:sz w:val="24"/>
        </w:rPr>
        <w:t xml:space="preserve">: If: (i) there is no CAD Recommended Rate before the end of the first Bank of Canada Business Day following a CORRA Cessation Effective Date, or (ii) there is a CAD Recommended Rate and a Fallback Index Cessation Effective Date subsequently occurs with respect to the CAD Recommended Rate, then the interest rate for an Interest Determination Date which occurs on or after the CORRA Cessation Effective Date or the Fallback Index Cessation Effective Date with respect to the CAD Recommended Rate (as applicable) will be the BOC Target Rate, to which the Calculation Agent will apply the most recently published spread, as at the CORRA Cessation Effective Date, and make such adjustments to the BOC Target Rate as are determined necessary to account for any difference in the term, structure or tenor of the BOC Target Rate in comparison to CORRA.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i/>
          <w:sz w:val="24"/>
        </w:rPr>
        <w:t>BOC Target Rate</w:t>
      </w:r>
      <w:r>
        <w:rPr>
          <w:rFonts w:ascii="Times New Roman" w:hAnsi="Times New Roman"/>
          <w:sz w:val="24"/>
        </w:rPr>
        <w:t xml:space="preserve">: If neither the Reference Rate Administrator nor authorized distributors provide or publish the BOC Target Rate and a Fallback Index Cessation Effective Date with respect to the BOC Target Rate has not occurred, then, in respect of any day for which the BOC Target Rate is required, references to the BOC Target Rate will be deemed to be references to the last provided or published BOC Target Rate as of the close of business in Toronto on that day.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i/>
          <w:sz w:val="24"/>
        </w:rPr>
        <w:t>Applicable CORRA Fallback Rate Conforming Changes</w:t>
      </w:r>
      <w:r>
        <w:rPr>
          <w:rFonts w:ascii="Times New Roman" w:hAnsi="Times New Roman"/>
          <w:sz w:val="24"/>
        </w:rPr>
        <w:t xml:space="preserve">: Notwithstanding the foregoing provisions of this Section 2.03(e), in connection with the implementation of an Applicable CORRA Fallback Rate, the Calculation Agent may, in consultation with the Company, make such changes or adjustments to: (i) the Applicable CORRA Fallback Rate or the spread thereon, and (ii) any business day convention (including the Business Day Convention), the calendar day count convention, Interest Determination Dates, and any other terms or provisions of the Notes and related definitions (including observation dates for reference rates), in each case as are consistent with accepted market practice or applicable regulatory or legislative action or guidance for the use of the Applicable CORRA Fallback Rate for debt obligations comparable to the Notes in such circumstances.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i/>
          <w:sz w:val="24"/>
        </w:rPr>
        <w:t>Binding Effect</w:t>
      </w:r>
      <w:r>
        <w:rPr>
          <w:rFonts w:ascii="Times New Roman" w:hAnsi="Times New Roman"/>
          <w:sz w:val="24"/>
        </w:rPr>
        <w:t xml:space="preserve">: Any determination, decision or election that may be made by the Company or the Calculation Agent, as applicable, pursuant to the foregoing provisions of this Section 2.03(e), including any determination with respect to a rate or adjustment or of the occurrence or non-occurrence of any event, circumstance or date and any decision to take or refrain from taking any action or any selection: (i) will be conclusive and binding, absent manifest error, (ii) if made by the Company, will be made in the sole discretion of the Company, or, as applicable, if made by the Calculation Agent, will be made after consultation with the Company and the Calculation Agent will not make any such determination, decision or election to which the Company objects and will have no liability for not making any such determination, decision or election, and (iii) notwithstanding anything to the contrary herein, shall become effective without consent from the holders of the Notes or any other party. </w:t>
      </w:r>
    </w:p>
    <w:p>
      <w:pPr>
        <w:pStyle w:val="TextBody"/>
        <w:bidi w:val="0"/>
        <w:spacing w:before="240" w:after="0"/>
        <w:jc w:val="both"/>
        <w:rPr>
          <w:rFonts w:ascii="Times New Roman" w:hAnsi="Times New Roman"/>
          <w:sz w:val="24"/>
        </w:rPr>
      </w:pPr>
      <w:r>
        <w:rPr>
          <w:rFonts w:ascii="Times New Roman" w:hAnsi="Times New Roman"/>
          <w:sz w:val="24"/>
        </w:rPr>
        <w:t xml:space="preserve">(G) The Notes Trustee shall not be responsible for making or verifying any of the calculations called for hereunder. The Company or the Calculation Agent shall be responsible for all such calculations and either the Company or the Calculation Agent, as applicable, shall deliver to the Notes Trustee, no later than two Bank of Canada Business Days prior to the relevant Interest Payment Date, a certificate setting forth, in reasonable detail, the method of calculation. The Notes Trustee shall be entitled to rely conclusively on such certificate and the accuracy of the calculations specified therein without independent verification.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b/>
          <w:sz w:val="24"/>
        </w:rPr>
        <w:t>Optional Redemption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Notes shall be redeemable at the election of the Company on any Interest Payment Date (provided that in each case if such date is not a Bank of Canada Business Day, then such redemption date will be the next following Bank of Canada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Business Day unless such day falls in the next calendar month, in which case the relevant redemption date shall be the immediately preceding Bank of Canada Business Day), in whole or in part, from time to time on not less than 10 days’ and not more than 60 days’ prior notice in accordance with Article 11 of the Indenture. The Redemption Price for the Notes to be redeemed shall be an amount equal to the greater of (i) the CORRA Yield Price and (ii) par, in each case together with accrued and unpaid interest thereon to the Redemption Date (less any taxes required by law to be deducted or withheld). Such accrued interest and the Redemption Price will be calculated on the basis of a 365-day year. Unless the Company defaults in the payment of the Redemption Price, on or after the Redemption Date, interest will cease to accrue on the Notes or the portions thereof called for redemption. </w:t>
      </w:r>
    </w:p>
    <w:p>
      <w:pPr>
        <w:pStyle w:val="TextBody"/>
        <w:bidi w:val="0"/>
        <w:spacing w:before="240" w:after="0"/>
        <w:jc w:val="both"/>
        <w:rPr>
          <w:rFonts w:ascii="Times New Roman" w:hAnsi="Times New Roman"/>
          <w:sz w:val="24"/>
        </w:rPr>
      </w:pPr>
      <w:r>
        <w:rPr>
          <w:rFonts w:ascii="Times New Roman" w:hAnsi="Times New Roman"/>
          <w:sz w:val="24"/>
        </w:rPr>
        <w:t xml:space="preserve">(B) Where fewer than all of the Notes are to be redeemed, the applicable Notes to be so redeemed will be redeemed on a </w:t>
      </w:r>
      <w:r>
        <w:rPr>
          <w:rFonts w:ascii="Times New Roman" w:hAnsi="Times New Roman"/>
          <w:i/>
          <w:sz w:val="24"/>
        </w:rPr>
        <w:t xml:space="preserve">pro rata </w:t>
      </w:r>
      <w:r>
        <w:rPr>
          <w:rFonts w:ascii="Times New Roman" w:hAnsi="Times New Roman"/>
          <w:sz w:val="24"/>
        </w:rPr>
        <w:t xml:space="preserve">basis according to the principal amount of such Notes registered in the respective name of each holder of such Notes or in such other manner as the Notes Trustee may consider fair and appropriate in accordance with the procedures of CDS, provided that no such partial redemption shall reduce the non-redeemed portion of the principal amount of Notes to less than the minimum authorized denomination of the Notes. </w:t>
      </w:r>
    </w:p>
    <w:p>
      <w:pPr>
        <w:pStyle w:val="TextBody"/>
        <w:bidi w:val="0"/>
        <w:spacing w:before="240" w:after="0"/>
        <w:jc w:val="both"/>
        <w:rPr>
          <w:rFonts w:ascii="Times New Roman" w:hAnsi="Times New Roman"/>
          <w:sz w:val="24"/>
        </w:rPr>
      </w:pPr>
      <w:r>
        <w:rPr>
          <w:rFonts w:ascii="Times New Roman" w:hAnsi="Times New Roman"/>
          <w:sz w:val="24"/>
        </w:rPr>
        <w:t>(g)  </w:t>
      </w:r>
      <w:r>
        <w:rPr>
          <w:rFonts w:ascii="Times New Roman" w:hAnsi="Times New Roman"/>
          <w:b/>
          <w:sz w:val="24"/>
        </w:rPr>
        <w:t>Negative Pledge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So long as any of the Notes are Outstanding: </w:t>
      </w:r>
    </w:p>
    <w:p>
      <w:pPr>
        <w:pStyle w:val="TextBody"/>
        <w:bidi w:val="0"/>
        <w:spacing w:before="240" w:after="0"/>
        <w:jc w:val="both"/>
        <w:rPr>
          <w:rFonts w:ascii="Times New Roman" w:hAnsi="Times New Roman"/>
          <w:sz w:val="24"/>
        </w:rPr>
      </w:pPr>
      <w:r>
        <w:rPr>
          <w:rFonts w:ascii="Times New Roman" w:hAnsi="Times New Roman"/>
          <w:sz w:val="24"/>
        </w:rPr>
        <w:t xml:space="preserve">(A)  the Company will not create or permit to subsist after knowledge of the existence thereof any Security Interest upon any part of its undertaking or assets to secure any Debt of the Company; or </w:t>
      </w:r>
    </w:p>
    <w:p>
      <w:pPr>
        <w:pStyle w:val="TextBody"/>
        <w:bidi w:val="0"/>
        <w:spacing w:before="240" w:after="0"/>
        <w:jc w:val="both"/>
        <w:rPr>
          <w:rFonts w:ascii="Times New Roman" w:hAnsi="Times New Roman"/>
          <w:sz w:val="24"/>
        </w:rPr>
      </w:pPr>
      <w:r>
        <w:rPr>
          <w:rFonts w:ascii="Times New Roman" w:hAnsi="Times New Roman"/>
          <w:sz w:val="24"/>
        </w:rPr>
        <w:t xml:space="preserve">(B)  the Company will not permit any Material Subsidiary to give any Guarantee to secure any Debt of the Company, </w:t>
      </w:r>
    </w:p>
    <w:p>
      <w:pPr>
        <w:pStyle w:val="TextBody"/>
        <w:bidi w:val="0"/>
        <w:spacing w:before="240" w:after="0"/>
        <w:jc w:val="both"/>
        <w:rPr>
          <w:rFonts w:ascii="Times New Roman" w:hAnsi="Times New Roman"/>
          <w:sz w:val="24"/>
        </w:rPr>
      </w:pPr>
      <w:r>
        <w:rPr>
          <w:rFonts w:ascii="Times New Roman" w:hAnsi="Times New Roman"/>
          <w:sz w:val="24"/>
        </w:rPr>
        <w:t xml:space="preserve">without at the same time or as soon as reasonably practicable thereafter offering to the Holders of Notes a ratable and </w:t>
      </w:r>
      <w:r>
        <w:rPr>
          <w:rFonts w:ascii="Times New Roman" w:hAnsi="Times New Roman"/>
          <w:i/>
          <w:sz w:val="24"/>
        </w:rPr>
        <w:t xml:space="preserve">pari passu </w:t>
      </w:r>
      <w:r>
        <w:rPr>
          <w:rFonts w:ascii="Times New Roman" w:hAnsi="Times New Roman"/>
          <w:sz w:val="24"/>
        </w:rPr>
        <w:t xml:space="preserve">interest in the same Security Interest or Guarantee, as applicable, but the covenant in this Section 2.03(g) will not apply to, or operate to prevent: </w:t>
      </w:r>
    </w:p>
    <w:p>
      <w:pPr>
        <w:pStyle w:val="TextBody"/>
        <w:bidi w:val="0"/>
        <w:spacing w:before="240" w:after="0"/>
        <w:jc w:val="both"/>
        <w:rPr>
          <w:rFonts w:ascii="Times New Roman" w:hAnsi="Times New Roman"/>
          <w:sz w:val="24"/>
        </w:rPr>
      </w:pPr>
      <w:r>
        <w:rPr>
          <w:rFonts w:ascii="Times New Roman" w:hAnsi="Times New Roman"/>
          <w:sz w:val="24"/>
        </w:rPr>
        <w:t xml:space="preserve">(I) any Security Interest for, or any Guarantee by a Material Subsidiary of, any Debt of the Company, as applicable, the amount of which, when aggregated with the amount of all other Debt of the Company then outstanding in respect of which Security Interest or a Guarantee by a Material Subsidiary has been given, excluding any Security Interest or Guarantee given pursuant to the exceptions in subparagraphs (II) to (IV) below, would not exceed 10% of Consolidated Shareholders’ Equity; </w:t>
      </w:r>
    </w:p>
    <w:p>
      <w:pPr>
        <w:pStyle w:val="TextBody"/>
        <w:bidi w:val="0"/>
        <w:spacing w:before="240" w:after="0"/>
        <w:jc w:val="both"/>
        <w:rPr>
          <w:rFonts w:ascii="Times New Roman" w:hAnsi="Times New Roman"/>
          <w:sz w:val="24"/>
        </w:rPr>
      </w:pPr>
      <w:r>
        <w:rPr>
          <w:rFonts w:ascii="Times New Roman" w:hAnsi="Times New Roman"/>
          <w:sz w:val="24"/>
        </w:rPr>
        <w:t xml:space="preserve">(II) any Security Interest on (a) any asset (including shares) acquired or held by the Company to secure Debt of the Company, respectively, incurred solely for the purpose of financing the acquisition, construction, research, development or improvement of such asset, or (b) shares of a Subsidiary organized solely to acquire any such asset; </w:t>
      </w:r>
    </w:p>
    <w:p>
      <w:pPr>
        <w:pStyle w:val="TextBody"/>
        <w:bidi w:val="0"/>
        <w:spacing w:before="240" w:after="0"/>
        <w:jc w:val="both"/>
        <w:rPr>
          <w:rFonts w:ascii="Times New Roman" w:hAnsi="Times New Roman"/>
          <w:sz w:val="24"/>
        </w:rPr>
      </w:pPr>
      <w:r>
        <w:rPr>
          <w:rFonts w:ascii="Times New Roman" w:hAnsi="Times New Roman"/>
          <w:sz w:val="24"/>
        </w:rPr>
        <w:t xml:space="preserve">(III) the assumption by the Company of any Security Interest in existence on any asset at the time of acquisition thereof, including any such assumption consequent upon any amalgamation, merger, arrangement or other corporate reorganization;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- 15 -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(IV) the Company giving any Security Interest (other than on shares or fixed assets) in the ordinary course of its business to any bank or banks or others to secure any Debt of the Company that is not a Funded Obligation; or </w:t>
      </w:r>
    </w:p>
    <w:p>
      <w:pPr>
        <w:pStyle w:val="TextBody"/>
        <w:bidi w:val="0"/>
        <w:spacing w:before="240" w:after="0"/>
        <w:jc w:val="both"/>
        <w:rPr>
          <w:rFonts w:ascii="Times New Roman" w:hAnsi="Times New Roman"/>
          <w:sz w:val="24"/>
        </w:rPr>
      </w:pPr>
      <w:r>
        <w:rPr>
          <w:rFonts w:ascii="Times New Roman" w:hAnsi="Times New Roman"/>
          <w:sz w:val="24"/>
        </w:rPr>
        <w:t xml:space="preserve">(V) the extension, renewal or refunding of any Security Interest permitted under subparagraphs (II) to (IV) above to the extent of the principal amount of the Debt of the Company, as applicable, secured by and owing under any such Security Interest at the time of such extension, renewal or refunding. </w:t>
      </w:r>
    </w:p>
    <w:p>
      <w:pPr>
        <w:pStyle w:val="TextBody"/>
        <w:bidi w:val="0"/>
        <w:spacing w:before="240" w:after="0"/>
        <w:jc w:val="both"/>
        <w:rPr>
          <w:rFonts w:ascii="Times New Roman" w:hAnsi="Times New Roman"/>
          <w:sz w:val="24"/>
        </w:rPr>
      </w:pPr>
      <w:r>
        <w:rPr>
          <w:rFonts w:ascii="Times New Roman" w:hAnsi="Times New Roman"/>
          <w:sz w:val="24"/>
        </w:rPr>
        <w:t>(h)  </w:t>
      </w:r>
      <w:r>
        <w:rPr>
          <w:rFonts w:ascii="Times New Roman" w:hAnsi="Times New Roman"/>
          <w:b/>
          <w:sz w:val="24"/>
        </w:rPr>
        <w:t>Merger, Consolidation or Amalgamation</w:t>
      </w:r>
      <w:r>
        <w:rPr>
          <w:rFonts w:ascii="Times New Roman" w:hAnsi="Times New Roman"/>
          <w:sz w:val="24"/>
        </w:rPr>
        <w:t xml:space="preserve">. For purposes of the Notes, Section 801 of the Indenture shall not apply in respect of (i) any consolidation, amalgamation or merger involving the Company and any one or more of its Subsidiaries; (ii) any conveyance, transfer, or sale of lease of the Company’s properties or assets to any one or more of its Subsidiaries; or (iii) any other transaction between the Company and any one or more of its Subsidiaries.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b/>
          <w:sz w:val="24"/>
        </w:rPr>
        <w:t>Applicability of Defeasance or Covenant Defeasance</w:t>
      </w:r>
      <w:r>
        <w:rPr>
          <w:rFonts w:ascii="Times New Roman" w:hAnsi="Times New Roman"/>
          <w:sz w:val="24"/>
        </w:rPr>
        <w:t xml:space="preserve">. The provisions of Article 12 of the Indenture shall apply to the Notes. </w:t>
      </w:r>
    </w:p>
    <w:p>
      <w:pPr>
        <w:pStyle w:val="TextBody"/>
        <w:bidi w:val="0"/>
        <w:spacing w:before="240" w:after="0"/>
        <w:jc w:val="both"/>
        <w:rPr>
          <w:rFonts w:ascii="Times New Roman" w:hAnsi="Times New Roman"/>
          <w:sz w:val="24"/>
        </w:rPr>
      </w:pPr>
      <w:r>
        <w:rPr>
          <w:rFonts w:ascii="Times New Roman" w:hAnsi="Times New Roman"/>
          <w:sz w:val="24"/>
        </w:rPr>
        <w:t>(j)  </w:t>
      </w:r>
      <w:r>
        <w:rPr>
          <w:rFonts w:ascii="Times New Roman" w:hAnsi="Times New Roman"/>
          <w:b/>
          <w:sz w:val="24"/>
        </w:rPr>
        <w:t xml:space="preserve">Additional Amounts. </w:t>
      </w:r>
      <w:r>
        <w:rPr>
          <w:rFonts w:ascii="Times New Roman" w:hAnsi="Times New Roman"/>
          <w:sz w:val="24"/>
        </w:rPr>
        <w:t xml:space="preserve">For purposes of the Notes, Section 1005 of the Indenture shall be replaced with the following: </w:t>
      </w:r>
    </w:p>
    <w:p>
      <w:pPr>
        <w:pStyle w:val="TextBody"/>
        <w:bidi w:val="0"/>
        <w:spacing w:before="240" w:after="0"/>
        <w:jc w:val="both"/>
        <w:rPr>
          <w:rFonts w:ascii="Times New Roman" w:hAnsi="Times New Roman"/>
          <w:sz w:val="24"/>
        </w:rPr>
      </w:pPr>
      <w:r>
        <w:rPr>
          <w:rFonts w:ascii="Times New Roman" w:hAnsi="Times New Roman"/>
          <w:sz w:val="24"/>
        </w:rPr>
        <w:t>Where any Person assumes the Company’s obligations under this Indenture as a result of an amalgamation, consolidation, merger, conveyance, transfer or lease effected in compliance with Article Eight and such Person is domiciled or otherwise resident for Tax purposes in or makes payment on or in respect of the Notes from a jurisdiction other than Canada or a political subdivision thereof (each such Person, a “</w:t>
      </w:r>
      <w:r>
        <w:rPr>
          <w:rFonts w:ascii="Times New Roman" w:hAnsi="Times New Roman"/>
          <w:b/>
          <w:sz w:val="24"/>
        </w:rPr>
        <w:t>Non-Canadian Person</w:t>
      </w:r>
      <w:r>
        <w:rPr>
          <w:rFonts w:ascii="Times New Roman" w:hAnsi="Times New Roman"/>
          <w:sz w:val="24"/>
        </w:rPr>
        <w:t xml:space="preserve">”), then: </w:t>
      </w:r>
    </w:p>
    <w:p>
      <w:pPr>
        <w:pStyle w:val="TextBody"/>
        <w:bidi w:val="0"/>
        <w:spacing w:before="240" w:after="0"/>
        <w:jc w:val="both"/>
        <w:rPr>
          <w:rFonts w:ascii="Times New Roman" w:hAnsi="Times New Roman"/>
          <w:sz w:val="24"/>
        </w:rPr>
      </w:pPr>
      <w:r>
        <w:rPr>
          <w:rFonts w:ascii="Times New Roman" w:hAnsi="Times New Roman"/>
          <w:sz w:val="24"/>
        </w:rPr>
        <w:t xml:space="preserve">(A)  the provisions of 2.03(k)(B)(I) through (VII) and 2.03(k)(C) of the First Supplemental Indenture shall apply to such Non-Canadian Person, with such modifications, additions or substitutions as may be appropriate with respect to such jurisdiction, including, without limitation, that “Co-Obligor” shall be read as such Person and “Non-Canadian Taxing Jurisdiction” shall be read as the jurisdiction of domicile or residence for Tax purposes of such Non-Canadian Person or any jurisdiction from which payments on or in respect of the Notes are made or any authority or agency therein or thereof having the power to tax, subject to customary exceptions consistent with the nature of the exceptions set forth in Section 2.03(k)(B)(II)(i) through (x) of the First Supplemental Indenture; </w:t>
      </w:r>
    </w:p>
    <w:p>
      <w:pPr>
        <w:pStyle w:val="TextBody"/>
        <w:bidi w:val="0"/>
        <w:spacing w:before="240" w:after="0"/>
        <w:jc w:val="both"/>
        <w:rPr>
          <w:rFonts w:ascii="Times New Roman" w:hAnsi="Times New Roman"/>
          <w:sz w:val="24"/>
        </w:rPr>
      </w:pPr>
      <w:r>
        <w:rPr>
          <w:rFonts w:ascii="Times New Roman" w:hAnsi="Times New Roman"/>
          <w:sz w:val="24"/>
        </w:rPr>
        <w:t xml:space="preserve">(B)  at least 10 days prior to each date on which any payment under or with respect to the Securities is due and payable, if such Non-Canadian Person will be obligated to pay Foreign Additional Amounts with respect to such payment, such Non-Canadian Person will deliver to the Trustee an Officer’s Certificate stating the fact that such Foreign Additional Amounts will be payable, the amounts so payable and will set forth such other information necessary to enable the Trustee to pay such Foreign Additional Amounts to Holders on the payment date; </w:t>
      </w:r>
    </w:p>
    <w:p>
      <w:pPr>
        <w:pStyle w:val="TextBody"/>
        <w:bidi w:val="0"/>
        <w:spacing w:before="240" w:after="0"/>
        <w:jc w:val="both"/>
        <w:rPr>
          <w:rFonts w:ascii="Times New Roman" w:hAnsi="Times New Roman"/>
          <w:sz w:val="24"/>
        </w:rPr>
      </w:pPr>
      <w:r>
        <w:rPr>
          <w:rFonts w:ascii="Times New Roman" w:hAnsi="Times New Roman"/>
          <w:sz w:val="24"/>
        </w:rPr>
        <w:t xml:space="preserve">(C)  whenever in this Indenture there is mentioned, in any context, the payment of principal (and premium, if any), Redemption Price, interest or any other amount payable under or with respect to any Security such mention shall be deemed to include mention of the payment of Foreign Additional Amounts provided for in this Section 1005 to the extent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- 16 -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that, in such context, Foreign Additional Amounts are, were or would be payable in respect thereof pursuant to the provisions of this Section 1005 and express mention of the payment of Foreign Additional Amounts (if applicable) in any provisions of this Indenture shall not be construed as excluding Foreign Additional Amounts in those provisions of this Indenture where such express mention is not made (if applicable); and </w:t>
      </w:r>
    </w:p>
    <w:p>
      <w:pPr>
        <w:pStyle w:val="TextBody"/>
        <w:bidi w:val="0"/>
        <w:spacing w:before="240" w:after="0"/>
        <w:jc w:val="both"/>
        <w:rPr>
          <w:rFonts w:ascii="Times New Roman" w:hAnsi="Times New Roman"/>
          <w:sz w:val="24"/>
        </w:rPr>
      </w:pPr>
      <w:r>
        <w:rPr>
          <w:rFonts w:ascii="Times New Roman" w:hAnsi="Times New Roman"/>
          <w:sz w:val="24"/>
        </w:rPr>
        <w:t xml:space="preserve">(D)  such Non-Canadian Person will furnish to Holders, within 30 days after the date the payment of any Taxes of a Foreign Taxing Jurisdiction is due pursuant to applicable law, certified copies of tax receipts evidencing such payment by such Non-Canadian Person. </w:t>
      </w:r>
    </w:p>
    <w:p>
      <w:pPr>
        <w:pStyle w:val="TextBody"/>
        <w:bidi w:val="0"/>
        <w:spacing w:before="240" w:after="0"/>
        <w:jc w:val="both"/>
        <w:rPr>
          <w:rFonts w:ascii="Times New Roman" w:hAnsi="Times New Roman"/>
          <w:sz w:val="24"/>
        </w:rPr>
      </w:pPr>
      <w:r>
        <w:rPr>
          <w:rFonts w:ascii="Times New Roman" w:hAnsi="Times New Roman"/>
          <w:sz w:val="24"/>
        </w:rPr>
        <w:t>(k)  </w:t>
      </w:r>
      <w:r>
        <w:rPr>
          <w:rFonts w:ascii="Times New Roman" w:hAnsi="Times New Roman"/>
          <w:b/>
          <w:sz w:val="24"/>
        </w:rPr>
        <w:t>Assumption by a Subsidiary</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The Company shall have the right at any time, without notice to or consent of the Holders of the Notes, to designate a Wholly-Owned Subsidiary to assume, as co-obligor (a “</w:t>
      </w:r>
      <w:r>
        <w:rPr>
          <w:rFonts w:ascii="Times New Roman" w:hAnsi="Times New Roman"/>
          <w:b/>
          <w:sz w:val="24"/>
        </w:rPr>
        <w:t>Co-Obligor</w:t>
      </w:r>
      <w:r>
        <w:rPr>
          <w:rFonts w:ascii="Times New Roman" w:hAnsi="Times New Roman"/>
          <w:sz w:val="24"/>
        </w:rPr>
        <w:t xml:space="preserve">”) on a joint and several basis with the Company, all obligations of the Company under the Indenture (insofar as it applies to the Notes) and the Notes, provided that: </w:t>
      </w:r>
    </w:p>
    <w:p>
      <w:pPr>
        <w:pStyle w:val="TextBody"/>
        <w:bidi w:val="0"/>
        <w:spacing w:before="240" w:after="0"/>
        <w:jc w:val="both"/>
        <w:rPr>
          <w:rFonts w:ascii="Times New Roman" w:hAnsi="Times New Roman"/>
          <w:sz w:val="24"/>
        </w:rPr>
      </w:pPr>
      <w:r>
        <w:rPr>
          <w:rFonts w:ascii="Times New Roman" w:hAnsi="Times New Roman"/>
          <w:sz w:val="24"/>
        </w:rPr>
        <w:t xml:space="preserve">(A)  by an indenture supplemental to the Indenture, executed and delivered to the Trustees, in form satisfactory to the Trustees, the Co-Obligor shall expressly assume, as co-obligor on a joint and several basis with the Company, the Company’s obligation for the due and punctual payment of the principal of (and premium, if any), including the Redemption Price and Repayment Price, and interest on all the Notes and the performance of every covenant of the Indenture (insofar as it applies to the Notes) on the part of the Company to be performed or observed; </w:t>
      </w:r>
    </w:p>
    <w:p>
      <w:pPr>
        <w:pStyle w:val="TextBody"/>
        <w:bidi w:val="0"/>
        <w:spacing w:before="240" w:after="0"/>
        <w:jc w:val="both"/>
        <w:rPr>
          <w:rFonts w:ascii="Times New Roman" w:hAnsi="Times New Roman"/>
          <w:sz w:val="24"/>
        </w:rPr>
      </w:pPr>
      <w:r>
        <w:rPr>
          <w:rFonts w:ascii="Times New Roman" w:hAnsi="Times New Roman"/>
          <w:sz w:val="24"/>
        </w:rPr>
        <w:t xml:space="preserve">(B)  such supplemental indenture shall also provide that: </w:t>
      </w:r>
    </w:p>
    <w:p>
      <w:pPr>
        <w:pStyle w:val="TextBody"/>
        <w:bidi w:val="0"/>
        <w:spacing w:before="240" w:after="0"/>
        <w:jc w:val="both"/>
        <w:rPr>
          <w:rFonts w:ascii="Times New Roman" w:hAnsi="Times New Roman"/>
          <w:sz w:val="24"/>
        </w:rPr>
      </w:pPr>
      <w:r>
        <w:rPr>
          <w:rFonts w:ascii="Times New Roman" w:hAnsi="Times New Roman"/>
          <w:sz w:val="24"/>
        </w:rPr>
        <w:t>(I) all payments made by the Co-Obligor under or with respect to the Notes will be made free and clear of and without withholding or deduction for or on account of any present or future tax, duty, levy, impost, assessment or other governmental charge (including penalties, interest and other liabilities related thereto) (hereinafter “</w:t>
      </w:r>
      <w:r>
        <w:rPr>
          <w:rFonts w:ascii="Times New Roman" w:hAnsi="Times New Roman"/>
          <w:b/>
          <w:sz w:val="24"/>
        </w:rPr>
        <w:t>Taxes</w:t>
      </w:r>
      <w:r>
        <w:rPr>
          <w:rFonts w:ascii="Times New Roman" w:hAnsi="Times New Roman"/>
          <w:sz w:val="24"/>
        </w:rPr>
        <w:t>”) imposed by or on behalf of the government of any jurisdiction in which the Co-Obligor is domiciled or otherwise resident for Tax purposes or from which it makes payment on or in respect of the Notes or by any authority or agency therein or thereof having the power to tax (other than Canada or a political subdivision thereof) (each, a “</w:t>
      </w:r>
      <w:r>
        <w:rPr>
          <w:rFonts w:ascii="Times New Roman" w:hAnsi="Times New Roman"/>
          <w:b/>
          <w:sz w:val="24"/>
        </w:rPr>
        <w:t>Non-Canadian Taxing Jurisdiction</w:t>
      </w:r>
      <w:r>
        <w:rPr>
          <w:rFonts w:ascii="Times New Roman" w:hAnsi="Times New Roman"/>
          <w:sz w:val="24"/>
        </w:rPr>
        <w:t xml:space="preserve">”), unless the Co-Obligor is required to withhold or deduct any amount for or on account of Taxes of any Non-Canadian Taxing Jurisdiction by law or by the interpretation or administration thereof; </w:t>
      </w:r>
    </w:p>
    <w:p>
      <w:pPr>
        <w:pStyle w:val="TextBody"/>
        <w:bidi w:val="0"/>
        <w:spacing w:before="240" w:after="0"/>
        <w:jc w:val="both"/>
        <w:rPr>
          <w:rFonts w:ascii="Times New Roman" w:hAnsi="Times New Roman"/>
          <w:sz w:val="24"/>
        </w:rPr>
      </w:pPr>
      <w:r>
        <w:rPr>
          <w:rFonts w:ascii="Times New Roman" w:hAnsi="Times New Roman"/>
          <w:sz w:val="24"/>
        </w:rPr>
        <w:t>(II) if the Co-Obligor is so required to withhold or deduct any amount for or on account of any Taxes of a Non-Canadian Taxing Jurisdiction from any payment made under or with respect to the Notes, the Co-Obligor will pay such additional amounts (“</w:t>
      </w:r>
      <w:r>
        <w:rPr>
          <w:rFonts w:ascii="Times New Roman" w:hAnsi="Times New Roman"/>
          <w:b/>
          <w:sz w:val="24"/>
        </w:rPr>
        <w:t>Foreign Additional Amounts</w:t>
      </w:r>
      <w:r>
        <w:rPr>
          <w:rFonts w:ascii="Times New Roman" w:hAnsi="Times New Roman"/>
          <w:sz w:val="24"/>
        </w:rPr>
        <w:t xml:space="preserve">”) as may be necessary so that the net amount received by each Holder or beneficial owner of Notes after such withholding or deduction (including any withholding or deduction of Taxes of a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- 17 -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Non-Canadian Taxing Jurisdiction attributable to such Foreign Additional Amounts) will not be less than the amount the Holder or beneficial owner would have received if such Taxes had not been withheld or deducted, provided that no such Foreign Additional Amounts will be payable with respect to; </w:t>
      </w:r>
    </w:p>
    <w:p>
      <w:pPr>
        <w:pStyle w:val="TextBody"/>
        <w:bidi w:val="0"/>
        <w:spacing w:before="240" w:after="0"/>
        <w:jc w:val="both"/>
        <w:rPr>
          <w:rFonts w:ascii="Times New Roman" w:hAnsi="Times New Roman"/>
          <w:sz w:val="24"/>
        </w:rPr>
      </w:pPr>
      <w:r>
        <w:rPr>
          <w:rFonts w:ascii="Times New Roman" w:hAnsi="Times New Roman"/>
          <w:sz w:val="24"/>
        </w:rPr>
        <w:t xml:space="preserve">(i)  any Taxes imposed by reason of the Holder or beneficial owner of Notes (or a fiduciary, settlor, beneficiary, member or shareholder of, or possessor of power over, such Holder or beneficial owner, if such Holder or beneficial owner is an estate, trust, partnership, limited liability company or corporation) being considered as having a present or former connection to a Non-Canadian Taxing Jurisdiction or a political subdivision thereof or therein (including, but not limited to, citizenship, nationality, residence, domicile, incorporation, or existence of a business, including without limitation a non-resident insurer who carries on an insurance business in a Non-Canadian Taxing Jurisdiction and in a country other than such Non-Canadian Taxing Jurisdiction, a permanent establishment, a dependent agent, a place of business or a place of management present or deemed present within a Non-Canadian Taxing Jurisdiction), other than any connection arising solely from the acquisition, ownership or disposition of the Notes or the receipt of payments under or with respect to the Notes; </w:t>
      </w:r>
    </w:p>
    <w:p>
      <w:pPr>
        <w:pStyle w:val="TextBody"/>
        <w:bidi w:val="0"/>
        <w:spacing w:before="240" w:after="0"/>
        <w:jc w:val="both"/>
        <w:rPr>
          <w:rFonts w:ascii="Times New Roman" w:hAnsi="Times New Roman"/>
          <w:sz w:val="24"/>
        </w:rPr>
      </w:pPr>
      <w:r>
        <w:rPr>
          <w:rFonts w:ascii="Times New Roman" w:hAnsi="Times New Roman"/>
          <w:sz w:val="24"/>
        </w:rPr>
        <w:t xml:space="preserve">(ii)  any Taxes imposed because the Holder or beneficial owner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0"/>
        <w:gridCol w:w="611"/>
        <w:gridCol w:w="7554"/>
      </w:tblGrid>
      <w:tr>
        <w:trPr/>
        <w:tc>
          <w:tcPr>
            <w:tcW w:w="204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7554"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is or was for United States federal income tax purposes a personal holding company, a passive foreign investment company, a controlled foreign corporation, or a corporation that has accumulated earnings to avoid United States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9"/>
        <w:gridCol w:w="612"/>
        <w:gridCol w:w="7554"/>
      </w:tblGrid>
      <w:tr>
        <w:trPr/>
        <w:tc>
          <w:tcPr>
            <w:tcW w:w="203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7554"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actually or constructively owns or owned 10% or more of the total combined voting power of all classes of stock of the Co-Obligor or the Company within the meaning of Section 871(h)(3) of the U.S. Internal Revenue Code of 1986, as amended (or any successor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9"/>
        <w:gridCol w:w="610"/>
        <w:gridCol w:w="7556"/>
      </w:tblGrid>
      <w:tr>
        <w:trPr/>
        <w:tc>
          <w:tcPr>
            <w:tcW w:w="203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7556"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is or was a bank receiving interest as described in Section 881(c)(3) of the U.S. Internal Revenue Code of 1986, as amended (or any successor provision); </w:t>
            </w:r>
          </w:p>
        </w:tc>
      </w:tr>
    </w:tbl>
    <w:p>
      <w:pPr>
        <w:pStyle w:val="TextBody"/>
        <w:bidi w:val="0"/>
        <w:spacing w:before="240" w:after="0"/>
        <w:jc w:val="both"/>
        <w:rPr>
          <w:rFonts w:ascii="Times New Roman" w:hAnsi="Times New Roman"/>
          <w:sz w:val="24"/>
        </w:rPr>
      </w:pPr>
      <w:r>
        <w:rPr>
          <w:rFonts w:ascii="Times New Roman" w:hAnsi="Times New Roman"/>
          <w:sz w:val="24"/>
        </w:rPr>
        <w:t xml:space="preserve">(iii)  any Taxes that are imposed or withheld by reason of the failure of the Holder or beneficial owner of Notes to comply with any certification, identification, information, documentation or other reporting requirement if compliance is required by law, regulation, or administrative practice of a Non-Canadian Taxing Jurisdiction or an applicable treaty as a precondition to exemption from, or a reduction in the rate of deduction or withholding of, such Taxes or is otherwise reasonably requested by the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- 18 -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Company or Co-Obligor to support a claim for relief or exemption from such Taxes; </w:t>
      </w:r>
    </w:p>
    <w:p>
      <w:pPr>
        <w:pStyle w:val="TextBody"/>
        <w:bidi w:val="0"/>
        <w:spacing w:before="240" w:after="0"/>
        <w:jc w:val="both"/>
        <w:rPr>
          <w:rFonts w:ascii="Times New Roman" w:hAnsi="Times New Roman"/>
          <w:sz w:val="24"/>
        </w:rPr>
      </w:pPr>
      <w:r>
        <w:rPr>
          <w:rFonts w:ascii="Times New Roman" w:hAnsi="Times New Roman"/>
          <w:sz w:val="24"/>
        </w:rPr>
        <w:t xml:space="preserve">(iv)  any estate, inheritance, gift, sales, transfer, excise or personal property or any similar Taxes with respect to the Notes; </w:t>
      </w:r>
    </w:p>
    <w:p>
      <w:pPr>
        <w:pStyle w:val="TextBody"/>
        <w:bidi w:val="0"/>
        <w:spacing w:before="240" w:after="0"/>
        <w:jc w:val="both"/>
        <w:rPr>
          <w:rFonts w:ascii="Times New Roman" w:hAnsi="Times New Roman"/>
          <w:sz w:val="24"/>
        </w:rPr>
      </w:pPr>
      <w:r>
        <w:rPr>
          <w:rFonts w:ascii="Times New Roman" w:hAnsi="Times New Roman"/>
          <w:sz w:val="24"/>
        </w:rPr>
        <w:t xml:space="preserve">(v)  any Tax that is payable, imposed, levied, collected or assessed other than by withholding from payments made on or in respect of the Notes; </w:t>
      </w:r>
    </w:p>
    <w:p>
      <w:pPr>
        <w:pStyle w:val="TextBody"/>
        <w:bidi w:val="0"/>
        <w:spacing w:before="240" w:after="0"/>
        <w:jc w:val="both"/>
        <w:rPr>
          <w:rFonts w:ascii="Times New Roman" w:hAnsi="Times New Roman"/>
          <w:sz w:val="24"/>
        </w:rPr>
      </w:pPr>
      <w:r>
        <w:rPr>
          <w:rFonts w:ascii="Times New Roman" w:hAnsi="Times New Roman"/>
          <w:sz w:val="24"/>
        </w:rPr>
        <w:t xml:space="preserve">(vi)  any Note presented for payment (where presentation is required) more than 30 days after the later of (i) the date on which such payment first becomes due or (ii) if the full amount of the monies payable has not been paid to the Holders or beneficial owners of the Notes on or prior to such date, the date on which the full amount of such monies has been paid to the Holders or beneficial owners of the Notes, except to the extent that the Holder or beneficial owner of the Notes would have been entitled to such Foreign Additional Amounts on presentation of the same for payment on the last day of such period of 30 days; </w:t>
      </w:r>
    </w:p>
    <w:p>
      <w:pPr>
        <w:pStyle w:val="TextBody"/>
        <w:bidi w:val="0"/>
        <w:spacing w:before="240" w:after="0"/>
        <w:jc w:val="both"/>
        <w:rPr>
          <w:rFonts w:ascii="Times New Roman" w:hAnsi="Times New Roman"/>
          <w:sz w:val="24"/>
        </w:rPr>
      </w:pPr>
      <w:r>
        <w:rPr>
          <w:rFonts w:ascii="Times New Roman" w:hAnsi="Times New Roman"/>
          <w:sz w:val="24"/>
        </w:rPr>
        <w:t xml:space="preserve">(vii)  any Taxes required to be withheld by any paying agent from any payment on a Note, if such payment can be made without such withholding by any other paying agent; </w:t>
      </w:r>
    </w:p>
    <w:p>
      <w:pPr>
        <w:pStyle w:val="TextBody"/>
        <w:bidi w:val="0"/>
        <w:spacing w:before="240" w:after="0"/>
        <w:jc w:val="both"/>
        <w:rPr>
          <w:rFonts w:ascii="Times New Roman" w:hAnsi="Times New Roman"/>
          <w:sz w:val="24"/>
        </w:rPr>
      </w:pPr>
      <w:r>
        <w:rPr>
          <w:rFonts w:ascii="Times New Roman" w:hAnsi="Times New Roman"/>
          <w:sz w:val="24"/>
        </w:rPr>
        <w:t>(viii)  any (i) tax, assessment, withholding or deduction required pursuant to Sections 1471 to 1474 of the U.S. Internal Revenue Code of 1986, as amended (“</w:t>
      </w:r>
      <w:r>
        <w:rPr>
          <w:rFonts w:ascii="Times New Roman" w:hAnsi="Times New Roman"/>
          <w:b/>
          <w:sz w:val="24"/>
        </w:rPr>
        <w:t>FATCA</w:t>
      </w:r>
      <w:r>
        <w:rPr>
          <w:rFonts w:ascii="Times New Roman" w:hAnsi="Times New Roman"/>
          <w:sz w:val="24"/>
        </w:rPr>
        <w:t xml:space="preserve">”), or any successor version thereof, or any similar legislation imposed by any other governmental authority, or (ii) Tax or penalty arising from the Holder’s or beneficial owner’s failure to properly comply with the Holder’s or beneficial owner’s obligations imposed under the </w:t>
      </w:r>
      <w:r>
        <w:rPr>
          <w:rFonts w:ascii="Times New Roman" w:hAnsi="Times New Roman"/>
          <w:i/>
          <w:sz w:val="24"/>
        </w:rPr>
        <w:t>Canada-United States Enhanced Tax Information Exchange Agreement Implementation Act</w:t>
      </w:r>
      <w:r>
        <w:rPr>
          <w:rFonts w:ascii="Times New Roman" w:hAnsi="Times New Roman"/>
          <w:sz w:val="24"/>
        </w:rPr>
        <w:t xml:space="preserve"> (Canada) or any treaty, law or regulation or other official guidance enacted by Canada implementing FATCA or an intergovernmental agreement with respect to FATCA or any similar legislation imposed by any other governmental authority, including, for greater certainty, Part XVIII and Part XIX of the </w:t>
      </w:r>
      <w:r>
        <w:rPr>
          <w:rFonts w:ascii="Times New Roman" w:hAnsi="Times New Roman"/>
          <w:i/>
          <w:sz w:val="24"/>
        </w:rPr>
        <w:t>Income Tax Act</w:t>
      </w:r>
      <w:r>
        <w:rPr>
          <w:rFonts w:ascii="Times New Roman" w:hAnsi="Times New Roman"/>
          <w:sz w:val="24"/>
        </w:rPr>
        <w:t xml:space="preserve"> (Canada); or </w:t>
      </w:r>
    </w:p>
    <w:p>
      <w:pPr>
        <w:pStyle w:val="TextBody"/>
        <w:bidi w:val="0"/>
        <w:spacing w:before="240" w:after="0"/>
        <w:jc w:val="both"/>
        <w:rPr>
          <w:rFonts w:ascii="Times New Roman" w:hAnsi="Times New Roman"/>
          <w:sz w:val="24"/>
        </w:rPr>
      </w:pPr>
      <w:r>
        <w:rPr>
          <w:rFonts w:ascii="Times New Roman" w:hAnsi="Times New Roman"/>
          <w:sz w:val="24"/>
        </w:rPr>
        <w:t xml:space="preserve">(ix)  any backup withholding pursuant to Section 3406 of the U.S. Internal Revenue Code of 1986, as amended; or </w:t>
      </w:r>
    </w:p>
    <w:p>
      <w:pPr>
        <w:pStyle w:val="TextBody"/>
        <w:bidi w:val="0"/>
        <w:spacing w:before="240" w:after="0"/>
        <w:jc w:val="both"/>
        <w:rPr>
          <w:rFonts w:ascii="Times New Roman" w:hAnsi="Times New Roman"/>
          <w:sz w:val="24"/>
        </w:rPr>
      </w:pPr>
      <w:r>
        <w:rPr>
          <w:rFonts w:ascii="Times New Roman" w:hAnsi="Times New Roman"/>
          <w:sz w:val="24"/>
        </w:rPr>
        <w:t xml:space="preserve">(x)  any Taxes imposed by reason of any combination of the foregoing; </w:t>
      </w:r>
    </w:p>
    <w:p>
      <w:pPr>
        <w:pStyle w:val="TextBody"/>
        <w:bidi w:val="0"/>
        <w:spacing w:before="240" w:after="0"/>
        <w:jc w:val="both"/>
        <w:rPr>
          <w:rFonts w:ascii="Times New Roman" w:hAnsi="Times New Roman"/>
          <w:sz w:val="24"/>
        </w:rPr>
      </w:pPr>
      <w:r>
        <w:rPr>
          <w:rFonts w:ascii="Times New Roman" w:hAnsi="Times New Roman"/>
          <w:sz w:val="24"/>
        </w:rPr>
        <w:t xml:space="preserve">nor will any Foreign Additional Amounts be paid with respect to any payment on a Note to any beneficial owner that is not the sole beneficial owner of such Note, or a portion of such Note, or that is a fiduciary, partnership or limited liability company, but only to the extent that a beneficiary or settlor with respect to the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- 19 -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fiduciary, a beneficial owner or a member of the partnership or limited liability company would not have been entitled to the payment of such Foreign Additional Amounts had such beneficiary, settlor, beneficial owner or member received directly its beneficial or distributive share of such payment; </w:t>
      </w:r>
    </w:p>
    <w:p>
      <w:pPr>
        <w:pStyle w:val="TextBody"/>
        <w:bidi w:val="0"/>
        <w:spacing w:before="240" w:after="0"/>
        <w:jc w:val="both"/>
        <w:rPr>
          <w:rFonts w:ascii="Times New Roman" w:hAnsi="Times New Roman"/>
          <w:sz w:val="24"/>
        </w:rPr>
      </w:pPr>
      <w:r>
        <w:rPr>
          <w:rFonts w:ascii="Times New Roman" w:hAnsi="Times New Roman"/>
          <w:sz w:val="24"/>
        </w:rPr>
        <w:t xml:space="preserve">(III) the obligations of the Co-Obligor under this Section 2.03(h) shall survive the termination of the Indenture; </w:t>
      </w:r>
    </w:p>
    <w:p>
      <w:pPr>
        <w:pStyle w:val="TextBody"/>
        <w:bidi w:val="0"/>
        <w:spacing w:before="240" w:after="0"/>
        <w:jc w:val="both"/>
        <w:rPr>
          <w:rFonts w:ascii="Times New Roman" w:hAnsi="Times New Roman"/>
          <w:sz w:val="24"/>
        </w:rPr>
      </w:pPr>
      <w:r>
        <w:rPr>
          <w:rFonts w:ascii="Times New Roman" w:hAnsi="Times New Roman"/>
          <w:sz w:val="24"/>
        </w:rPr>
        <w:t xml:space="preserve">(IV) if the Co-Obligor is required by law or by the interpretation or administration thereof to withhold or deduct any Taxes of a Non-Canadian Taxing Jurisdiction from any payment under or with respect to the Notes for which the Co-Obligor would then have been required to pay Foreign Additional Amounts and fails to so withhold or deduct, the Co-Obligor will indemnify and hold harmless each Holder or beneficial owner of such Notes for the amount of: </w:t>
      </w:r>
    </w:p>
    <w:p>
      <w:pPr>
        <w:pStyle w:val="TextBody"/>
        <w:bidi w:val="0"/>
        <w:spacing w:before="240" w:after="0"/>
        <w:jc w:val="both"/>
        <w:rPr>
          <w:rFonts w:ascii="Times New Roman" w:hAnsi="Times New Roman"/>
          <w:sz w:val="24"/>
        </w:rPr>
      </w:pPr>
      <w:r>
        <w:rPr>
          <w:rFonts w:ascii="Times New Roman" w:hAnsi="Times New Roman"/>
          <w:sz w:val="24"/>
        </w:rPr>
        <w:t xml:space="preserve">(i) any Taxes of a Non-Canadian Taxing Jurisdiction levied or imposed on and paid by such Holder or beneficial owner; </w:t>
      </w:r>
    </w:p>
    <w:p>
      <w:pPr>
        <w:pStyle w:val="TextBody"/>
        <w:bidi w:val="0"/>
        <w:spacing w:before="240" w:after="0"/>
        <w:jc w:val="both"/>
        <w:rPr>
          <w:rFonts w:ascii="Times New Roman" w:hAnsi="Times New Roman"/>
          <w:sz w:val="24"/>
        </w:rPr>
      </w:pPr>
      <w:r>
        <w:rPr>
          <w:rFonts w:ascii="Times New Roman" w:hAnsi="Times New Roman"/>
          <w:sz w:val="24"/>
        </w:rPr>
        <w:t xml:space="preserve">(ii) any liability (including penalties, interest and expenses) arising from such Taxes; and </w:t>
      </w:r>
    </w:p>
    <w:p>
      <w:pPr>
        <w:pStyle w:val="TextBody"/>
        <w:bidi w:val="0"/>
        <w:spacing w:before="240" w:after="0"/>
        <w:jc w:val="both"/>
        <w:rPr>
          <w:rFonts w:ascii="Times New Roman" w:hAnsi="Times New Roman"/>
          <w:sz w:val="24"/>
        </w:rPr>
      </w:pPr>
      <w:r>
        <w:rPr>
          <w:rFonts w:ascii="Times New Roman" w:hAnsi="Times New Roman"/>
          <w:sz w:val="24"/>
        </w:rPr>
        <w:t xml:space="preserve">(iii) any Taxes of a Non-Canadian Taxing Jurisdiction imposed with respect to any payment under clause (i) or (ii) above; </w:t>
      </w:r>
    </w:p>
    <w:p>
      <w:pPr>
        <w:pStyle w:val="TextBody"/>
        <w:bidi w:val="0"/>
        <w:spacing w:before="240" w:after="0"/>
        <w:jc w:val="both"/>
        <w:rPr>
          <w:rFonts w:ascii="Times New Roman" w:hAnsi="Times New Roman"/>
          <w:sz w:val="24"/>
        </w:rPr>
      </w:pPr>
      <w:r>
        <w:rPr>
          <w:rFonts w:ascii="Times New Roman" w:hAnsi="Times New Roman"/>
          <w:sz w:val="24"/>
        </w:rPr>
        <w:t xml:space="preserve">(V) immediately after giving effect to such transaction, no Event of Default, and no event which, after notice or lapse of time or both, would become an Event of Default, shall have happened and be continuing; </w:t>
      </w:r>
    </w:p>
    <w:p>
      <w:pPr>
        <w:pStyle w:val="TextBody"/>
        <w:bidi w:val="0"/>
        <w:spacing w:before="240" w:after="0"/>
        <w:jc w:val="both"/>
        <w:rPr>
          <w:rFonts w:ascii="Times New Roman" w:hAnsi="Times New Roman"/>
          <w:sz w:val="24"/>
        </w:rPr>
      </w:pPr>
      <w:r>
        <w:rPr>
          <w:rFonts w:ascii="Times New Roman" w:hAnsi="Times New Roman"/>
          <w:sz w:val="24"/>
        </w:rPr>
        <w:t xml:space="preserve">(VI) following such transaction, the Company shall not be discharged from its obligations and covenants under the Indenture and the Notes; and </w:t>
      </w:r>
    </w:p>
    <w:p>
      <w:pPr>
        <w:pStyle w:val="TextBody"/>
        <w:bidi w:val="0"/>
        <w:spacing w:before="240" w:after="0"/>
        <w:jc w:val="both"/>
        <w:rPr>
          <w:rFonts w:ascii="Times New Roman" w:hAnsi="Times New Roman"/>
          <w:sz w:val="24"/>
        </w:rPr>
      </w:pPr>
      <w:r>
        <w:rPr>
          <w:rFonts w:ascii="Times New Roman" w:hAnsi="Times New Roman"/>
          <w:sz w:val="24"/>
        </w:rPr>
        <w:t xml:space="preserve">(VII) the Company shall have delivered to the Notes Trustee an Officer’s Certificate and an Opinion of Counsel, each stating that such assumption and such supplemental indenture comply with this Section 2.03(k) and that all conditions precedent provided for relating to such transaction have been complied with; </w:t>
      </w:r>
    </w:p>
    <w:p>
      <w:pPr>
        <w:pStyle w:val="TextBody"/>
        <w:bidi w:val="0"/>
        <w:spacing w:before="240" w:after="0"/>
        <w:jc w:val="both"/>
        <w:rPr>
          <w:rFonts w:ascii="Times New Roman" w:hAnsi="Times New Roman"/>
          <w:sz w:val="24"/>
        </w:rPr>
      </w:pPr>
      <w:r>
        <w:rPr>
          <w:rFonts w:ascii="Times New Roman" w:hAnsi="Times New Roman"/>
          <w:sz w:val="24"/>
        </w:rPr>
        <w:t xml:space="preserve">and </w:t>
      </w:r>
    </w:p>
    <w:p>
      <w:pPr>
        <w:pStyle w:val="TextBody"/>
        <w:bidi w:val="0"/>
        <w:spacing w:before="240" w:after="0"/>
        <w:jc w:val="both"/>
        <w:rPr>
          <w:rFonts w:ascii="Times New Roman" w:hAnsi="Times New Roman"/>
          <w:sz w:val="24"/>
        </w:rPr>
      </w:pPr>
      <w:r>
        <w:rPr>
          <w:rFonts w:ascii="Times New Roman" w:hAnsi="Times New Roman"/>
          <w:sz w:val="24"/>
        </w:rPr>
        <w:t xml:space="preserve">(C) the obligations of the Co-Obligor under the Notes shall rank equally with all of the Co-Obligor’s other unsecured and unsubordinated obligations. </w:t>
      </w:r>
    </w:p>
    <w:p>
      <w:pPr>
        <w:pStyle w:val="TextBody"/>
        <w:bidi w:val="0"/>
        <w:spacing w:before="240" w:after="0"/>
        <w:jc w:val="both"/>
        <w:rPr>
          <w:rFonts w:ascii="Times New Roman" w:hAnsi="Times New Roman"/>
          <w:sz w:val="24"/>
        </w:rPr>
      </w:pPr>
      <w:r>
        <w:rPr>
          <w:rFonts w:ascii="Times New Roman" w:hAnsi="Times New Roman"/>
          <w:sz w:val="24"/>
        </w:rPr>
        <w:t>(l) </w:t>
      </w:r>
      <w:r>
        <w:rPr>
          <w:rFonts w:ascii="Times New Roman" w:hAnsi="Times New Roman"/>
          <w:b/>
          <w:sz w:val="24"/>
        </w:rPr>
        <w:t>Tax Redemption</w:t>
      </w:r>
      <w:r>
        <w:rPr>
          <w:rFonts w:ascii="Times New Roman" w:hAnsi="Times New Roman"/>
          <w:sz w:val="24"/>
        </w:rPr>
        <w:t xml:space="preserve">. Where any Non-Canadian Person (i) assumes the Company’s obligations under the Notes and this Indenture as a result of an amalgamation, consolidation, merger, conveyance, transfer or lease effected in compliance with Article Eight of the Indenture (such that, pursuant to Section 2.03(j) hereof, the provisions of Section 2.03(k)(B)(I) through (VII) and Section 2.03(k)(C) of the First Supplemental Indenture have become applicable to such Non-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- 20 -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Canadian Person with such modifications, additions or substitutions as may be appropriate with respect to such jurisdiction), or (ii) becomes a Co-Obligor under the Notes in accordance with Section 2.03(k) hereof, the Securities will be redeemable, at such Non-Canadian Person’s option, in whole and not in part, at any time, at 100% of the aggregate principal amount, together with accrued and unpaid interest thereon to the Redemption Date (including Foreign Additional Amounts), upon the giving of a notice as described in Section 1102 and Section 1104 of the Indenture, if (1) such Non-Canadian Person determines that (a) as a result of any change in or amendment to (including any officially announced prospective change or amendment) the laws (or any rules, regulations, rulings or administrative pronouncements promulgated thereunder) of any Non-Canadian Taxing Jurisdiction, or any change in official position regarding the application or interpretation of such laws, rules, regulations, rulings or administrative pronouncements (including a holding by a court of competent jurisdiction), which change or amendment is announced or becomes effective (assuming, in the case of any announced prospective change, that such announced change will become effective as of the date specified in such announcement and in the form announced) on or after the date such successor Non-Canadian Person assumes the Company’s obligations, such Non-Canadian Person has or will become obligated to pay, on the next succeeding Interest Payment Date, Foreign Additional Amounts with respect to any Notes or (b) on or after the date such successor Non-Canadian Person assumes the Company’s obligations, any action has been taken by any taxing authority of, or any decision has been rendered by a court of competent jurisdiction in, a Non-Canadian Taxing Jurisdiction, including any of those actions specified in clause (a) above, whether or not such action was taken or decision was rendered with respect to such Non-Canadian Person, or any change, amendment, application or interpretation shall be officially proposed (assuming that such announced change will become effective as of the date specified in such announcement and in the form announced), which, in any such case, in the Opinion of Counsel to such Non-Canadian Person, will result in such Non-Canadian Person becoming obligated to pay, on the next succeeding Interest Payment Date, Foreign Additional Amounts with respect to any Notes, and (2) in any such case, such Person in its business judgment determines that such obligation cannot be avoided by the use of reasonable measures available to such Non-Canadian Person (which, for the avoidance of doubt, shall not include a change in the terms of the Notes or a substitution of the debtor); provided however, that at the time such notice of redemption is given, such obligation to pay such Foreign Additional Amounts remains in effect. </w:t>
      </w:r>
    </w:p>
    <w:p>
      <w:pPr>
        <w:pStyle w:val="TextBody"/>
        <w:bidi w:val="0"/>
        <w:spacing w:before="240" w:after="0"/>
        <w:jc w:val="both"/>
        <w:rPr>
          <w:rFonts w:ascii="Times New Roman" w:hAnsi="Times New Roman"/>
          <w:sz w:val="24"/>
        </w:rPr>
      </w:pPr>
      <w:r>
        <w:rPr>
          <w:rFonts w:ascii="Times New Roman" w:hAnsi="Times New Roman"/>
          <w:sz w:val="24"/>
        </w:rPr>
        <w:t>(m)  </w:t>
      </w:r>
      <w:r>
        <w:rPr>
          <w:rFonts w:ascii="Times New Roman" w:hAnsi="Times New Roman"/>
          <w:b/>
          <w:sz w:val="24"/>
        </w:rPr>
        <w:t>Offer to Repurchase on Change of Control Triggering Event.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 If a Change of Control Triggering Event occurs, unless the Company has exercised its right to redeem the Notes, the Company will be required to make an offer to repurchase all, or, at the Holder’s option, any part (equal to C$1,000 or an integral multiple thereof), of each Holder’s Notes on the terms set forth in this Section 2.03(m) (in this Section, the “</w:t>
      </w:r>
      <w:r>
        <w:rPr>
          <w:rFonts w:ascii="Times New Roman" w:hAnsi="Times New Roman"/>
          <w:b/>
          <w:sz w:val="24"/>
        </w:rPr>
        <w:t>Change of Control Offer</w:t>
      </w:r>
      <w:r>
        <w:rPr>
          <w:rFonts w:ascii="Times New Roman" w:hAnsi="Times New Roman"/>
          <w:sz w:val="24"/>
        </w:rPr>
        <w:t>”). In the Change of Control Offer, the Company shall offer payment in cash equal to 101% of the aggregate principal amount of Notes repurchased plus accrued and unpaid interest, if any, on such Notes to the date of repurchase (in this Section, the “</w:t>
      </w:r>
      <w:r>
        <w:rPr>
          <w:rFonts w:ascii="Times New Roman" w:hAnsi="Times New Roman"/>
          <w:b/>
          <w:sz w:val="24"/>
        </w:rPr>
        <w:t>Change of Control Payment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(B)  Within 30 days following any Change of Control Triggering Event, the Company shall deliver a notice to each Holder, with a copy to the Notes Trustee, describing the transaction or transactions that constitute the Change of Control Triggering Event and offering to repurchase the Notes on the payment date specified in the notice, which date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- 21 -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will be no earlier than 30 days and no later than 60 days from the date such notice is delivered (in this Section, the “</w:t>
      </w:r>
      <w:r>
        <w:rPr>
          <w:rFonts w:ascii="Times New Roman" w:hAnsi="Times New Roman"/>
          <w:b/>
          <w:sz w:val="24"/>
        </w:rPr>
        <w:t>Change of Control Payment Date</w:t>
      </w:r>
      <w:r>
        <w:rPr>
          <w:rFonts w:ascii="Times New Roman" w:hAnsi="Times New Roman"/>
          <w:sz w:val="24"/>
        </w:rPr>
        <w:t xml:space="preserve">”), pursuant to the procedures required by this Section 2.03(m) and described in such notice. The Company shall comply with the requirements of applicable securities laws and regulations in connection with the repurchase of the Notes as a result of a Change of Control Triggering Event. To the extent that the provisions of any applicable securities laws or regulations conflict with the provisions under this Section 2.03(m), the Company shall comply with the applicable securities laws and regulations and will not be deemed to have breached its obligations under this Section 2.03(m) by virtue of such conflict. </w:t>
      </w:r>
    </w:p>
    <w:p>
      <w:pPr>
        <w:pStyle w:val="TextBody"/>
        <w:bidi w:val="0"/>
        <w:spacing w:before="240" w:after="0"/>
        <w:jc w:val="both"/>
        <w:rPr>
          <w:rFonts w:ascii="Times New Roman" w:hAnsi="Times New Roman"/>
          <w:sz w:val="24"/>
        </w:rPr>
      </w:pPr>
      <w:r>
        <w:rPr>
          <w:rFonts w:ascii="Times New Roman" w:hAnsi="Times New Roman"/>
          <w:sz w:val="24"/>
        </w:rPr>
        <w:t xml:space="preserve">(C)  On the Change of Control Payment Date, the Company will, to the extent lawful: </w:t>
      </w:r>
    </w:p>
    <w:p>
      <w:pPr>
        <w:pStyle w:val="TextBody"/>
        <w:bidi w:val="0"/>
        <w:spacing w:before="240" w:after="0"/>
        <w:jc w:val="both"/>
        <w:rPr>
          <w:rFonts w:ascii="Times New Roman" w:hAnsi="Times New Roman"/>
          <w:sz w:val="24"/>
        </w:rPr>
      </w:pPr>
      <w:r>
        <w:rPr>
          <w:rFonts w:ascii="Times New Roman" w:hAnsi="Times New Roman"/>
          <w:sz w:val="24"/>
        </w:rPr>
        <w:t xml:space="preserve">(I)  accept for payment all Notes or portions of the Notes properly tendered pursuant to the Change of Control Offer; </w:t>
      </w:r>
    </w:p>
    <w:p>
      <w:pPr>
        <w:pStyle w:val="TextBody"/>
        <w:bidi w:val="0"/>
        <w:spacing w:before="240" w:after="0"/>
        <w:jc w:val="both"/>
        <w:rPr>
          <w:rFonts w:ascii="Times New Roman" w:hAnsi="Times New Roman"/>
          <w:sz w:val="24"/>
        </w:rPr>
      </w:pPr>
      <w:r>
        <w:rPr>
          <w:rFonts w:ascii="Times New Roman" w:hAnsi="Times New Roman"/>
          <w:sz w:val="24"/>
        </w:rPr>
        <w:t xml:space="preserve">(II)  deposit with the Notes Trustee an amount equal to the Change of Control Payment in respect of all Notes or portions of the Notes properly tendered; and </w:t>
      </w:r>
    </w:p>
    <w:p>
      <w:pPr>
        <w:pStyle w:val="TextBody"/>
        <w:bidi w:val="0"/>
        <w:spacing w:before="240" w:after="0"/>
        <w:jc w:val="both"/>
        <w:rPr>
          <w:rFonts w:ascii="Times New Roman" w:hAnsi="Times New Roman"/>
          <w:sz w:val="24"/>
        </w:rPr>
      </w:pPr>
      <w:r>
        <w:rPr>
          <w:rFonts w:ascii="Times New Roman" w:hAnsi="Times New Roman"/>
          <w:sz w:val="24"/>
        </w:rPr>
        <w:t xml:space="preserve">(III)  deliver or cause to be delivered to the Notes Trustee the Notes properly accepted, together with an Officer’s Certificate stating the aggregate principal amount of the Notes or portions of the Notes being purchased by the Company. </w:t>
      </w:r>
    </w:p>
    <w:p>
      <w:pPr>
        <w:pStyle w:val="TextBody"/>
        <w:bidi w:val="0"/>
        <w:spacing w:before="240" w:after="0"/>
        <w:jc w:val="both"/>
        <w:rPr>
          <w:rFonts w:ascii="Times New Roman" w:hAnsi="Times New Roman"/>
          <w:sz w:val="24"/>
        </w:rPr>
      </w:pPr>
      <w:r>
        <w:rPr>
          <w:rFonts w:ascii="Times New Roman" w:hAnsi="Times New Roman"/>
          <w:sz w:val="24"/>
        </w:rPr>
        <w:t xml:space="preserve">(D)  The Notes Trustee will promptly deliver to each Holder of properly tendered Notes the purchase price for such Notes, and the Notes Trustee will, upon receipt of a Company Order to authenticate, promptly authenticate and deliver (or cause to be transferred by book-entry) to each such Holder a new Note equal in principal amount to any unpurchased portion of any such Note surrendered; provided that each new Note will be in a principal amount of C$2,000 and integral multiples of C$1,000 in excess thereof. </w:t>
      </w:r>
    </w:p>
    <w:p>
      <w:pPr>
        <w:pStyle w:val="TextBody"/>
        <w:bidi w:val="0"/>
        <w:spacing w:before="240" w:after="0"/>
        <w:jc w:val="both"/>
        <w:rPr>
          <w:rFonts w:ascii="Times New Roman" w:hAnsi="Times New Roman"/>
          <w:sz w:val="24"/>
        </w:rPr>
      </w:pPr>
      <w:r>
        <w:rPr>
          <w:rFonts w:ascii="Times New Roman" w:hAnsi="Times New Roman"/>
          <w:sz w:val="24"/>
        </w:rPr>
        <w:t xml:space="preserve">(E)  The Company will not be required to make a Change of Control Offer upon a Change of Control Triggering Event if a third party makes such an offer in the manner, at the times and otherwise in compliance with the requirements for an offer made by the Company and such third party purchases all Notes properly tendered and not withdrawn under its offer. </w:t>
      </w:r>
    </w:p>
    <w:p>
      <w:pPr>
        <w:pStyle w:val="TextBody"/>
        <w:bidi w:val="0"/>
        <w:spacing w:before="240" w:after="0"/>
        <w:jc w:val="both"/>
        <w:rPr>
          <w:rFonts w:ascii="Times New Roman" w:hAnsi="Times New Roman"/>
          <w:sz w:val="24"/>
        </w:rPr>
      </w:pPr>
      <w:r>
        <w:rPr>
          <w:rFonts w:ascii="Times New Roman" w:hAnsi="Times New Roman"/>
          <w:sz w:val="24"/>
        </w:rPr>
        <w:t>(n)   </w:t>
      </w:r>
      <w:r>
        <w:rPr>
          <w:rFonts w:ascii="Times New Roman" w:hAnsi="Times New Roman"/>
          <w:b/>
          <w:sz w:val="24"/>
        </w:rPr>
        <w:t>Place of Payment</w:t>
      </w:r>
      <w:r>
        <w:rPr>
          <w:rFonts w:ascii="Times New Roman" w:hAnsi="Times New Roman"/>
          <w:sz w:val="24"/>
        </w:rPr>
        <w:t xml:space="preserve">. So long as the Notes are in global form, the Place of Payment for the Notes will be Toronto, Ontario. </w:t>
      </w:r>
    </w:p>
    <w:p>
      <w:pPr>
        <w:pStyle w:val="TextBody"/>
        <w:bidi w:val="0"/>
        <w:spacing w:before="240" w:after="0"/>
        <w:jc w:val="both"/>
        <w:rPr>
          <w:rFonts w:ascii="Times New Roman" w:hAnsi="Times New Roman"/>
          <w:sz w:val="24"/>
        </w:rPr>
      </w:pPr>
      <w:r>
        <w:rPr>
          <w:rFonts w:ascii="Times New Roman" w:hAnsi="Times New Roman"/>
          <w:sz w:val="24"/>
        </w:rPr>
        <w:t>(o)  </w:t>
      </w:r>
      <w:r>
        <w:rPr>
          <w:rFonts w:ascii="Times New Roman" w:hAnsi="Times New Roman"/>
          <w:b/>
          <w:sz w:val="24"/>
        </w:rPr>
        <w:t>Trustee</w:t>
      </w:r>
      <w:r>
        <w:rPr>
          <w:rFonts w:ascii="Times New Roman" w:hAnsi="Times New Roman"/>
          <w:sz w:val="24"/>
        </w:rPr>
        <w:t xml:space="preserve">. Pursuant to the Indenture, the Notes Trustee is hereby appointed as trustee of the Notes and all future series of Securities for which it may be designated to act as Trustee by Company Order delivered to it prior to the issuance of such series of Securities and the Notes Trustee hereby accepts such appointment. The Co-Trustee acknowledges and agrees with the Company and the Notes Trustee that (i) the Co-Trustee is not a trustee of the Notes, and (ii) the Co-Trustee shall not act as Paying Agent, Security Registrar or Transfer Agent for the Notes unless so appointed by the Company.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- 22 - </w:t>
      </w:r>
    </w:p>
    <w:p>
      <w:pPr>
        <w:pStyle w:val="TextBody"/>
        <w:bidi w:val="0"/>
        <w:spacing w:before="0" w:after="0"/>
        <w:jc w:val="left"/>
        <w:rPr/>
      </w:pPr>
      <w:r>
        <w:rPr/>
        <w:t> </w:t>
      </w:r>
    </w:p>
    <w:p>
      <w:pPr>
        <w:pStyle w:val="TextBody"/>
        <w:bidi w:val="0"/>
        <w:spacing w:before="0" w:after="0"/>
        <w:jc w:val="both"/>
        <w:rPr>
          <w:rFonts w:ascii="Times New Roman" w:hAnsi="Times New Roman"/>
          <w:b/>
          <w:sz w:val="24"/>
        </w:rPr>
      </w:pPr>
      <w:r>
        <w:rPr>
          <w:rFonts w:ascii="Times New Roman" w:hAnsi="Times New Roman"/>
          <w:b/>
          <w:sz w:val="24"/>
        </w:rPr>
        <w:t xml:space="preserve">Section 2.04 Execution of the Notes. </w:t>
      </w:r>
    </w:p>
    <w:p>
      <w:pPr>
        <w:pStyle w:val="TextBody"/>
        <w:bidi w:val="0"/>
        <w:spacing w:before="240" w:after="0"/>
        <w:jc w:val="both"/>
        <w:rPr>
          <w:rFonts w:ascii="Times New Roman" w:hAnsi="Times New Roman"/>
          <w:sz w:val="24"/>
        </w:rPr>
      </w:pPr>
      <w:r>
        <w:rPr>
          <w:rFonts w:ascii="Times New Roman" w:hAnsi="Times New Roman"/>
          <w:sz w:val="24"/>
        </w:rPr>
        <w:t xml:space="preserve">For purposes of Section 303 of the Indenture, the Treasurer may execute the Notes, which may be attested by the Assistant Secretary.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III </w:t>
      </w:r>
    </w:p>
    <w:p>
      <w:pPr>
        <w:pStyle w:val="TextBody"/>
        <w:bidi w:val="0"/>
        <w:spacing w:before="240" w:after="0"/>
        <w:jc w:val="center"/>
        <w:rPr>
          <w:rFonts w:ascii="Times New Roman" w:hAnsi="Times New Roman"/>
          <w:b/>
          <w:sz w:val="24"/>
        </w:rPr>
      </w:pPr>
      <w:r>
        <w:rPr>
          <w:rFonts w:ascii="Times New Roman" w:hAnsi="Times New Roman"/>
          <w:b/>
          <w:sz w:val="24"/>
        </w:rPr>
        <w:t xml:space="preserve">EVENTS OF DEFAULT </w:t>
      </w:r>
    </w:p>
    <w:p>
      <w:pPr>
        <w:pStyle w:val="TextBody"/>
        <w:bidi w:val="0"/>
        <w:spacing w:before="240" w:after="0"/>
        <w:jc w:val="both"/>
        <w:rPr>
          <w:rFonts w:ascii="Times New Roman" w:hAnsi="Times New Roman"/>
          <w:b/>
          <w:sz w:val="24"/>
        </w:rPr>
      </w:pPr>
      <w:r>
        <w:rPr>
          <w:rFonts w:ascii="Times New Roman" w:hAnsi="Times New Roman"/>
          <w:b/>
          <w:sz w:val="24"/>
        </w:rPr>
        <w:t xml:space="preserve">Section 3.01 Events of Default. </w:t>
      </w:r>
    </w:p>
    <w:p>
      <w:pPr>
        <w:pStyle w:val="TextBody"/>
        <w:bidi w:val="0"/>
        <w:spacing w:before="240" w:after="0"/>
        <w:jc w:val="both"/>
        <w:rPr>
          <w:rFonts w:ascii="Times New Roman" w:hAnsi="Times New Roman"/>
          <w:sz w:val="24"/>
        </w:rPr>
      </w:pPr>
      <w:r>
        <w:rPr>
          <w:rFonts w:ascii="Times New Roman" w:hAnsi="Times New Roman"/>
          <w:sz w:val="24"/>
        </w:rPr>
        <w:t xml:space="preserve">For the benefit of Holders of the Notes, the failure by the Company to comply with its obligations set forth in Section 2.03(m) hereof is an Event of Default and shall be added to Section 501 of the Indenture and considered as clause (7) to Section 501 with respect to the Notes for all purposes of the Indenture.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IV </w:t>
      </w:r>
    </w:p>
    <w:p>
      <w:pPr>
        <w:pStyle w:val="TextBody"/>
        <w:bidi w:val="0"/>
        <w:spacing w:before="240" w:after="0"/>
        <w:jc w:val="center"/>
        <w:rPr>
          <w:rFonts w:ascii="Times New Roman" w:hAnsi="Times New Roman"/>
          <w:b/>
          <w:sz w:val="24"/>
        </w:rPr>
      </w:pPr>
      <w:r>
        <w:rPr>
          <w:rFonts w:ascii="Times New Roman" w:hAnsi="Times New Roman"/>
          <w:b/>
          <w:sz w:val="24"/>
        </w:rPr>
        <w:t xml:space="preserve">MISCELLANEOUS PROVISIONS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4.01 Effect of First Supplemental Indenture. </w:t>
      </w:r>
    </w:p>
    <w:p>
      <w:pPr>
        <w:pStyle w:val="TextBody"/>
        <w:bidi w:val="0"/>
        <w:spacing w:before="240" w:after="0"/>
        <w:jc w:val="both"/>
        <w:rPr>
          <w:rFonts w:ascii="Times New Roman" w:hAnsi="Times New Roman"/>
          <w:sz w:val="24"/>
        </w:rPr>
      </w:pPr>
      <w:r>
        <w:rPr>
          <w:rFonts w:ascii="Times New Roman" w:hAnsi="Times New Roman"/>
          <w:sz w:val="24"/>
        </w:rPr>
        <w:t xml:space="preserve">(a)  This First Supplemental Indenture is a supplemental indenture within the meaning of Section 901 of the Indenture, and the Indenture shall be read together with this First Supplemental Indenture and shall have the same effect over the Notes in the same manner as if the provisions of the Indenture and this First Supplemental Indenture were contained in the same instrument. </w:t>
      </w:r>
    </w:p>
    <w:p>
      <w:pPr>
        <w:pStyle w:val="TextBody"/>
        <w:bidi w:val="0"/>
        <w:spacing w:before="240" w:after="0"/>
        <w:jc w:val="both"/>
        <w:rPr>
          <w:rFonts w:ascii="Times New Roman" w:hAnsi="Times New Roman"/>
          <w:sz w:val="24"/>
        </w:rPr>
      </w:pPr>
      <w:r>
        <w:rPr>
          <w:rFonts w:ascii="Times New Roman" w:hAnsi="Times New Roman"/>
          <w:sz w:val="24"/>
        </w:rPr>
        <w:t xml:space="preserve">(b)  In all other respects, the Indenture is confirmed by the parties hereto as supplemented by the terms of this First Supplemental Indenture.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4.02 Governing Law. </w:t>
      </w:r>
    </w:p>
    <w:p>
      <w:pPr>
        <w:pStyle w:val="TextBody"/>
        <w:bidi w:val="0"/>
        <w:spacing w:before="240" w:after="0"/>
        <w:jc w:val="both"/>
        <w:rPr>
          <w:rFonts w:ascii="Times New Roman" w:hAnsi="Times New Roman"/>
          <w:sz w:val="24"/>
        </w:rPr>
      </w:pPr>
      <w:r>
        <w:rPr>
          <w:rFonts w:ascii="Times New Roman" w:hAnsi="Times New Roman"/>
          <w:sz w:val="24"/>
        </w:rPr>
        <w:t xml:space="preserve">This First Supplemental Indenture and the Notes shall be governed by and construed in accordance with the laws of the State of New York. For greater certainty, the exercise, performance or discharge by the Notes Trustee of any of its rights, powers, duties, or responsibilities hereunder shall be construed in accordance with the laws of the Province of Ontario and the federal laws of Canada applicable thereto.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4.03 Effect of Headings and Table of Contents. </w:t>
      </w:r>
    </w:p>
    <w:p>
      <w:pPr>
        <w:pStyle w:val="TextBody"/>
        <w:bidi w:val="0"/>
        <w:spacing w:before="240" w:after="0"/>
        <w:jc w:val="both"/>
        <w:rPr>
          <w:rFonts w:ascii="Times New Roman" w:hAnsi="Times New Roman"/>
          <w:sz w:val="24"/>
        </w:rPr>
      </w:pPr>
      <w:r>
        <w:rPr>
          <w:rFonts w:ascii="Times New Roman" w:hAnsi="Times New Roman"/>
          <w:sz w:val="24"/>
        </w:rPr>
        <w:t xml:space="preserve">The Article and Section headings herein are for convenience only and shall not affect the construction hereof.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4.04 Successors and Assigns. </w:t>
      </w:r>
    </w:p>
    <w:p>
      <w:pPr>
        <w:pStyle w:val="TextBody"/>
        <w:bidi w:val="0"/>
        <w:spacing w:before="240" w:after="0"/>
        <w:jc w:val="both"/>
        <w:rPr>
          <w:rFonts w:ascii="Times New Roman" w:hAnsi="Times New Roman"/>
          <w:sz w:val="24"/>
        </w:rPr>
      </w:pPr>
      <w:r>
        <w:rPr>
          <w:rFonts w:ascii="Times New Roman" w:hAnsi="Times New Roman"/>
          <w:sz w:val="24"/>
        </w:rPr>
        <w:t xml:space="preserve">All covenants and agreements in this First Supplemental Indenture by the Company shall bind its successors and assigns, whether so expressed or not.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- 23 - </w:t>
      </w:r>
    </w:p>
    <w:p>
      <w:pPr>
        <w:pStyle w:val="TextBody"/>
        <w:bidi w:val="0"/>
        <w:spacing w:before="0" w:after="0"/>
        <w:jc w:val="left"/>
        <w:rPr/>
      </w:pPr>
      <w:r>
        <w:rPr/>
        <w:t> </w:t>
      </w:r>
    </w:p>
    <w:p>
      <w:pPr>
        <w:pStyle w:val="TextBody"/>
        <w:bidi w:val="0"/>
        <w:spacing w:before="0" w:after="0"/>
        <w:jc w:val="both"/>
        <w:rPr>
          <w:rFonts w:ascii="Times New Roman" w:hAnsi="Times New Roman"/>
          <w:b/>
          <w:sz w:val="24"/>
        </w:rPr>
      </w:pPr>
      <w:r>
        <w:rPr>
          <w:rFonts w:ascii="Times New Roman" w:hAnsi="Times New Roman"/>
          <w:b/>
          <w:sz w:val="24"/>
        </w:rPr>
        <w:t xml:space="preserve">Section 4.05 Severability Clause. </w:t>
      </w:r>
    </w:p>
    <w:p>
      <w:pPr>
        <w:pStyle w:val="TextBody"/>
        <w:bidi w:val="0"/>
        <w:spacing w:before="240" w:after="0"/>
        <w:jc w:val="both"/>
        <w:rPr>
          <w:rFonts w:ascii="Times New Roman" w:hAnsi="Times New Roman"/>
          <w:sz w:val="24"/>
        </w:rPr>
      </w:pPr>
      <w:r>
        <w:rPr>
          <w:rFonts w:ascii="Times New Roman" w:hAnsi="Times New Roman"/>
          <w:sz w:val="24"/>
        </w:rPr>
        <w:t xml:space="preserve">In case any provision in this First Supplemental Indenture or in any Notes, as applicable, shall be invalid, illegal or unenforceable, the validity, legality and enforceability of the remaining provisions shall not in any way be affected or impaired thereby.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4.06 Interest Act. </w:t>
      </w:r>
    </w:p>
    <w:p>
      <w:pPr>
        <w:pStyle w:val="TextBody"/>
        <w:bidi w:val="0"/>
        <w:spacing w:before="240" w:after="0"/>
        <w:jc w:val="both"/>
        <w:rPr>
          <w:rFonts w:ascii="Times New Roman" w:hAnsi="Times New Roman"/>
          <w:sz w:val="24"/>
        </w:rPr>
      </w:pPr>
      <w:r>
        <w:rPr>
          <w:rFonts w:ascii="Times New Roman" w:hAnsi="Times New Roman"/>
          <w:sz w:val="24"/>
        </w:rPr>
        <w:t xml:space="preserve">For purposes of the </w:t>
      </w:r>
      <w:r>
        <w:rPr>
          <w:rFonts w:ascii="Times New Roman" w:hAnsi="Times New Roman"/>
          <w:i/>
          <w:sz w:val="24"/>
        </w:rPr>
        <w:t xml:space="preserve">Interest Act </w:t>
      </w:r>
      <w:r>
        <w:rPr>
          <w:rFonts w:ascii="Times New Roman" w:hAnsi="Times New Roman"/>
          <w:sz w:val="24"/>
        </w:rPr>
        <w:t xml:space="preserve">(Canada), where interest is required to be calculated on the basis of any period of less than a calendar year, the yearly rate of interest which is equivalent to such rate of interest for such period of less than one year may be determined by multiplying such rate of interest by a fraction, the numerator of which is the actual number of days in the year in which such interest is payable and the denominator of which is the number of days in such period.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4.07 Benefits of Indenture. </w:t>
      </w:r>
    </w:p>
    <w:p>
      <w:pPr>
        <w:pStyle w:val="TextBody"/>
        <w:bidi w:val="0"/>
        <w:spacing w:before="240" w:after="0"/>
        <w:jc w:val="both"/>
        <w:rPr>
          <w:rFonts w:ascii="Times New Roman" w:hAnsi="Times New Roman"/>
          <w:sz w:val="24"/>
        </w:rPr>
      </w:pPr>
      <w:r>
        <w:rPr>
          <w:rFonts w:ascii="Times New Roman" w:hAnsi="Times New Roman"/>
          <w:sz w:val="24"/>
        </w:rPr>
        <w:t xml:space="preserve">Nothing in this First Supplemental Indenture or in the Notes, as the case may be, express or implied, shall give to any Person, other than the parties hereto, any Authenticating Agent, any Paying Agent, any Security Registrar and their successors hereunder, the Holders of the Notes, any benefit or any legal or equitable right, remedy or claim under this First Supplemental Indenture.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4.08 Counterparts. </w:t>
      </w:r>
    </w:p>
    <w:p>
      <w:pPr>
        <w:pStyle w:val="TextBody"/>
        <w:bidi w:val="0"/>
        <w:spacing w:before="240" w:after="0"/>
        <w:jc w:val="both"/>
        <w:rPr>
          <w:rFonts w:ascii="Times New Roman" w:hAnsi="Times New Roman"/>
          <w:sz w:val="24"/>
        </w:rPr>
      </w:pPr>
      <w:r>
        <w:rPr>
          <w:rFonts w:ascii="Times New Roman" w:hAnsi="Times New Roman"/>
          <w:sz w:val="24"/>
        </w:rPr>
        <w:t>This First Supplemental Indenture may be executed in any number of counterparts, each of which so executed shall be deemed to be an original, but all such counterparts shall together constitute but one and the same Indenture. Counterparts may be delivered via facsimile, electronic mail, electronic signatures (including, without limitation, DocuSign and AdobeSign) or other transmission method and any counterpart so delivered shall be deemed to have been duly and validly delivered and be valid and effective for all purposes. Facsimile, documents executed, scanned and transmitted electronically and electronic signatures, including those created or transmitted through a software platform or application, shall be deemed original signatures for purposes of this Indenture and all other related documents and all matters and agreements related thereto, with such facsimile, scanned and electronic signatures having the same legal effect as original signatures. The parties hereto agree that this First Supplemental Indenture or any other related document or any instrument, agreement or document necessary for the consummation of the transactions contemplated by this Indenture or the other related documents or related hereto or thereto (including, without limitation, addendums, amendments, notices, instructions, communications with respect to the delivery of securities or the wire transfer of funds or other communications) (“</w:t>
      </w:r>
      <w:r>
        <w:rPr>
          <w:rFonts w:ascii="Times New Roman" w:hAnsi="Times New Roman"/>
          <w:b/>
          <w:sz w:val="24"/>
        </w:rPr>
        <w:t>Executed Documentation</w:t>
      </w:r>
      <w:r>
        <w:rPr>
          <w:rFonts w:ascii="Times New Roman" w:hAnsi="Times New Roman"/>
          <w:sz w:val="24"/>
        </w:rPr>
        <w:t xml:space="preserve">”)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Notes Trustee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acts on any Executed Documentation sent by electronic transmission, the Notes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Notes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Notes Trustee acting on unauthorized instructions and the risk of interception and misuse by third parties.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4.09 Acceptance of Trusts. </w:t>
      </w:r>
    </w:p>
    <w:p>
      <w:pPr>
        <w:pStyle w:val="TextBody"/>
        <w:bidi w:val="0"/>
        <w:spacing w:before="240" w:after="0"/>
        <w:jc w:val="both"/>
        <w:rPr>
          <w:rFonts w:ascii="Times New Roman" w:hAnsi="Times New Roman"/>
          <w:sz w:val="24"/>
        </w:rPr>
      </w:pPr>
      <w:r>
        <w:rPr>
          <w:rFonts w:ascii="Times New Roman" w:hAnsi="Times New Roman"/>
          <w:sz w:val="24"/>
        </w:rPr>
        <w:t xml:space="preserve">The Notes Trustee hereby accepts the trusts in this First Supplemental Indenture declared and provided for and agrees to perform the same upon the terms and conditions set forth in the Indenture and in trust for the Holders from time to time, subject to the terms and conditions of the Indenture.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4.10 Effective Time. </w:t>
      </w:r>
    </w:p>
    <w:p>
      <w:pPr>
        <w:pStyle w:val="TextBody"/>
        <w:bidi w:val="0"/>
        <w:spacing w:before="240" w:after="0"/>
        <w:jc w:val="both"/>
        <w:rPr>
          <w:rFonts w:ascii="Times New Roman" w:hAnsi="Times New Roman"/>
          <w:sz w:val="24"/>
        </w:rPr>
      </w:pPr>
      <w:r>
        <w:rPr>
          <w:rFonts w:ascii="Times New Roman" w:hAnsi="Times New Roman"/>
          <w:sz w:val="24"/>
        </w:rPr>
        <w:t xml:space="preserve">This First Supplemental Indenture shall become effective upon the execution and delivery of this First Supplemental Indenture by the Company and the Notes Trustee. </w:t>
      </w:r>
    </w:p>
    <w:p>
      <w:pPr>
        <w:pStyle w:val="TextBody"/>
        <w:bidi w:val="0"/>
        <w:spacing w:before="240" w:after="0"/>
        <w:jc w:val="center"/>
        <w:rPr>
          <w:rFonts w:ascii="Times New Roman" w:hAnsi="Times New Roman"/>
          <w:sz w:val="24"/>
        </w:rPr>
      </w:pPr>
      <w:r>
        <w:rPr>
          <w:rFonts w:ascii="Times New Roman" w:hAnsi="Times New Roman"/>
          <w:sz w:val="24"/>
        </w:rPr>
        <w:t xml:space="preserve">* * * *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 WITNESS WHEREOF, the parties hereto have caused this First Supplemental Indenture to be duly executed and attested, all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87"/>
        <w:gridCol w:w="126"/>
        <w:gridCol w:w="2869"/>
      </w:tblGrid>
      <w:tr>
        <w:trPr/>
        <w:tc>
          <w:tcPr>
            <w:tcW w:w="108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THOMSON REUTERS CORPORATION</w:t>
            </w:r>
            <w:r>
              <w:rPr/>
              <w:t>, as Issuer</w:t>
            </w:r>
          </w:p>
        </w:tc>
      </w:tr>
      <w:tr>
        <w:trPr>
          <w:trHeight w:val="360" w:hRule="atLeast"/>
        </w:trPr>
        <w:tc>
          <w:tcPr>
            <w:tcW w:w="1087" w:type="dxa"/>
            <w:tcBorders/>
            <w:vAlign w:val="center"/>
          </w:tcPr>
          <w:p>
            <w:pPr>
              <w:pStyle w:val="TableContents"/>
              <w:bidi w:val="0"/>
              <w:spacing w:before="0" w:after="283"/>
              <w:jc w:val="left"/>
              <w:rPr>
                <w:sz w:val="4"/>
                <w:szCs w:val="4"/>
              </w:rPr>
            </w:pPr>
            <w:r>
              <w:rPr>
                <w:sz w:val="4"/>
                <w:szCs w:val="4"/>
              </w:rPr>
            </w:r>
          </w:p>
        </w:tc>
        <w:tc>
          <w:tcPr>
            <w:tcW w:w="2995" w:type="dxa"/>
            <w:gridSpan w:val="2"/>
            <w:tcBorders/>
            <w:vAlign w:val="center"/>
          </w:tcPr>
          <w:p>
            <w:pPr>
              <w:pStyle w:val="TableContents"/>
              <w:bidi w:val="0"/>
              <w:spacing w:before="0" w:after="283"/>
              <w:jc w:val="left"/>
              <w:rPr>
                <w:sz w:val="4"/>
                <w:szCs w:val="4"/>
              </w:rPr>
            </w:pPr>
            <w:r>
              <w:rPr>
                <w:sz w:val="4"/>
                <w:szCs w:val="4"/>
              </w:rPr>
            </w:r>
          </w:p>
        </w:tc>
      </w:tr>
      <w:tr>
        <w:trPr/>
        <w:tc>
          <w:tcPr>
            <w:tcW w:w="1087" w:type="dxa"/>
            <w:tcBorders/>
            <w:vAlign w:val="bottom"/>
          </w:tcPr>
          <w:p>
            <w:pPr>
              <w:pStyle w:val="TableContents"/>
              <w:bidi w:val="0"/>
              <w:spacing w:before="0" w:after="283"/>
              <w:jc w:val="left"/>
              <w:rPr/>
            </w:pPr>
            <w:r>
              <w:rPr/>
              <w:t>By: </w:t>
            </w:r>
          </w:p>
        </w:tc>
        <w:tc>
          <w:tcPr>
            <w:tcW w:w="126" w:type="dxa"/>
            <w:tcBorders/>
            <w:vAlign w:val="bottom"/>
          </w:tcPr>
          <w:p>
            <w:pPr>
              <w:pStyle w:val="TableContents"/>
              <w:bidi w:val="0"/>
              <w:spacing w:before="0" w:after="283"/>
              <w:jc w:val="left"/>
              <w:rPr/>
            </w:pPr>
            <w:r>
              <w:rPr/>
              <w:t> </w:t>
            </w:r>
          </w:p>
        </w:tc>
        <w:tc>
          <w:tcPr>
            <w:tcW w:w="2869" w:type="dxa"/>
            <w:tcBorders/>
            <w:vAlign w:val="bottom"/>
          </w:tcPr>
          <w:p>
            <w:pPr>
              <w:pStyle w:val="TableContents"/>
              <w:pBdr>
                <w:bottom w:val="single" w:sz="2" w:space="1" w:color="000000"/>
              </w:pBdr>
              <w:bidi w:val="0"/>
              <w:spacing w:before="0" w:after="20"/>
              <w:jc w:val="left"/>
              <w:rPr>
                <w:rFonts w:ascii="Times New Roman" w:hAnsi="Times New Roman"/>
                <w:i/>
                <w:sz w:val="24"/>
              </w:rPr>
            </w:pPr>
            <w:r>
              <w:rPr>
                <w:rFonts w:ascii="Times New Roman" w:hAnsi="Times New Roman"/>
                <w:i/>
                <w:sz w:val="24"/>
              </w:rPr>
              <w:t>/s/ Chad MacLean</w:t>
            </w:r>
          </w:p>
        </w:tc>
      </w:tr>
      <w:tr>
        <w:trPr/>
        <w:tc>
          <w:tcPr>
            <w:tcW w:w="1087"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869" w:type="dxa"/>
            <w:tcBorders/>
            <w:vAlign w:val="bottom"/>
          </w:tcPr>
          <w:p>
            <w:pPr>
              <w:pStyle w:val="TableContents"/>
              <w:bidi w:val="0"/>
              <w:spacing w:before="0" w:after="0"/>
              <w:jc w:val="left"/>
              <w:rPr/>
            </w:pPr>
            <w:r>
              <w:rPr/>
              <w:t> </w:t>
            </w:r>
            <w:r>
              <w:rPr>
                <w:rFonts w:ascii="Times New Roman" w:hAnsi="Times New Roman"/>
                <w:sz w:val="24"/>
              </w:rPr>
              <w:t>Name: Chad MacLean</w:t>
            </w:r>
          </w:p>
          <w:p>
            <w:pPr>
              <w:pStyle w:val="TableContents"/>
              <w:bidi w:val="0"/>
              <w:spacing w:before="0" w:after="20"/>
              <w:jc w:val="left"/>
              <w:rPr/>
            </w:pPr>
            <w:r>
              <w:rPr/>
              <w:t> </w:t>
            </w:r>
            <w:r>
              <w:rPr>
                <w:rFonts w:ascii="Times New Roman" w:hAnsi="Times New Roman"/>
                <w:sz w:val="24"/>
              </w:rPr>
              <w:t>Title:  Treasurer</w:t>
            </w:r>
          </w:p>
        </w:tc>
      </w:tr>
      <w:tr>
        <w:trPr>
          <w:trHeight w:val="36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WEST PUBLISHING CORPORATION</w:t>
            </w:r>
            <w:r>
              <w:rPr/>
              <w:t>, as a Subsidiary Guarantor</w:t>
            </w:r>
          </w:p>
        </w:tc>
      </w:tr>
      <w:tr>
        <w:trPr>
          <w:trHeight w:val="360" w:hRule="atLeast"/>
        </w:trPr>
        <w:tc>
          <w:tcPr>
            <w:tcW w:w="1087" w:type="dxa"/>
            <w:tcBorders/>
            <w:vAlign w:val="center"/>
          </w:tcPr>
          <w:p>
            <w:pPr>
              <w:pStyle w:val="TableContents"/>
              <w:bidi w:val="0"/>
              <w:spacing w:before="0" w:after="283"/>
              <w:jc w:val="left"/>
              <w:rPr>
                <w:sz w:val="4"/>
                <w:szCs w:val="4"/>
              </w:rPr>
            </w:pPr>
            <w:r>
              <w:rPr>
                <w:sz w:val="4"/>
                <w:szCs w:val="4"/>
              </w:rPr>
            </w:r>
          </w:p>
        </w:tc>
        <w:tc>
          <w:tcPr>
            <w:tcW w:w="2995" w:type="dxa"/>
            <w:gridSpan w:val="2"/>
            <w:tcBorders/>
            <w:vAlign w:val="center"/>
          </w:tcPr>
          <w:p>
            <w:pPr>
              <w:pStyle w:val="TableContents"/>
              <w:bidi w:val="0"/>
              <w:spacing w:before="0" w:after="283"/>
              <w:jc w:val="left"/>
              <w:rPr>
                <w:sz w:val="4"/>
                <w:szCs w:val="4"/>
              </w:rPr>
            </w:pPr>
            <w:r>
              <w:rPr>
                <w:sz w:val="4"/>
                <w:szCs w:val="4"/>
              </w:rPr>
            </w:r>
          </w:p>
        </w:tc>
      </w:tr>
      <w:tr>
        <w:trPr/>
        <w:tc>
          <w:tcPr>
            <w:tcW w:w="1087" w:type="dxa"/>
            <w:tcBorders/>
            <w:vAlign w:val="bottom"/>
          </w:tcPr>
          <w:p>
            <w:pPr>
              <w:pStyle w:val="TableContents"/>
              <w:bidi w:val="0"/>
              <w:spacing w:before="0" w:after="283"/>
              <w:jc w:val="left"/>
              <w:rPr/>
            </w:pPr>
            <w:r>
              <w:rPr/>
              <w:t>By:</w:t>
            </w:r>
          </w:p>
        </w:tc>
        <w:tc>
          <w:tcPr>
            <w:tcW w:w="126" w:type="dxa"/>
            <w:tcBorders/>
            <w:vAlign w:val="bottom"/>
          </w:tcPr>
          <w:p>
            <w:pPr>
              <w:pStyle w:val="TableContents"/>
              <w:bidi w:val="0"/>
              <w:spacing w:before="0" w:after="283"/>
              <w:jc w:val="left"/>
              <w:rPr/>
            </w:pPr>
            <w:r>
              <w:rPr/>
              <w:t> </w:t>
            </w:r>
          </w:p>
        </w:tc>
        <w:tc>
          <w:tcPr>
            <w:tcW w:w="2869" w:type="dxa"/>
            <w:tcBorders/>
            <w:vAlign w:val="bottom"/>
          </w:tcPr>
          <w:p>
            <w:pPr>
              <w:pStyle w:val="TableContents"/>
              <w:pBdr>
                <w:bottom w:val="single" w:sz="2" w:space="1" w:color="000000"/>
              </w:pBdr>
              <w:bidi w:val="0"/>
              <w:spacing w:before="0" w:after="20"/>
              <w:jc w:val="left"/>
              <w:rPr>
                <w:rFonts w:ascii="Times New Roman" w:hAnsi="Times New Roman"/>
                <w:i/>
                <w:sz w:val="24"/>
              </w:rPr>
            </w:pPr>
            <w:r>
              <w:rPr>
                <w:rFonts w:ascii="Times New Roman" w:hAnsi="Times New Roman"/>
                <w:i/>
                <w:sz w:val="24"/>
              </w:rPr>
              <w:t>/s/ Ragunath Ramanathan</w:t>
            </w:r>
          </w:p>
        </w:tc>
      </w:tr>
      <w:tr>
        <w:trPr/>
        <w:tc>
          <w:tcPr>
            <w:tcW w:w="1087"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869" w:type="dxa"/>
            <w:tcBorders/>
            <w:vAlign w:val="bottom"/>
          </w:tcPr>
          <w:p>
            <w:pPr>
              <w:pStyle w:val="TableContents"/>
              <w:bidi w:val="0"/>
              <w:spacing w:before="0" w:after="0"/>
              <w:jc w:val="left"/>
              <w:rPr/>
            </w:pPr>
            <w:r>
              <w:rPr/>
              <w:t> </w:t>
            </w:r>
            <w:r>
              <w:rPr>
                <w:rFonts w:ascii="Times New Roman" w:hAnsi="Times New Roman"/>
                <w:sz w:val="24"/>
              </w:rPr>
              <w:t>Name: Ragunath Ramanathan</w:t>
            </w:r>
          </w:p>
          <w:p>
            <w:pPr>
              <w:pStyle w:val="TableContents"/>
              <w:bidi w:val="0"/>
              <w:spacing w:before="0" w:after="20"/>
              <w:jc w:val="left"/>
              <w:rPr/>
            </w:pPr>
            <w:r>
              <w:rPr/>
              <w:t> </w:t>
            </w:r>
            <w:r>
              <w:rPr>
                <w:rFonts w:ascii="Times New Roman" w:hAnsi="Times New Roman"/>
                <w:sz w:val="24"/>
              </w:rPr>
              <w:t>Title:  President</w:t>
            </w:r>
          </w:p>
        </w:tc>
      </w:tr>
      <w:tr>
        <w:trPr>
          <w:trHeight w:val="48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THOMSON REUTERS APPLICATIONS INC.</w:t>
            </w:r>
            <w:r>
              <w:rPr/>
              <w:t>, as a Subsidiary Guarantor</w:t>
            </w:r>
          </w:p>
        </w:tc>
      </w:tr>
      <w:tr>
        <w:trPr>
          <w:trHeight w:val="360" w:hRule="atLeast"/>
        </w:trPr>
        <w:tc>
          <w:tcPr>
            <w:tcW w:w="1087" w:type="dxa"/>
            <w:tcBorders/>
            <w:vAlign w:val="center"/>
          </w:tcPr>
          <w:p>
            <w:pPr>
              <w:pStyle w:val="TableContents"/>
              <w:bidi w:val="0"/>
              <w:spacing w:before="0" w:after="283"/>
              <w:jc w:val="left"/>
              <w:rPr>
                <w:sz w:val="4"/>
                <w:szCs w:val="4"/>
              </w:rPr>
            </w:pPr>
            <w:r>
              <w:rPr>
                <w:sz w:val="4"/>
                <w:szCs w:val="4"/>
              </w:rPr>
            </w:r>
          </w:p>
        </w:tc>
        <w:tc>
          <w:tcPr>
            <w:tcW w:w="2995" w:type="dxa"/>
            <w:gridSpan w:val="2"/>
            <w:tcBorders/>
            <w:vAlign w:val="center"/>
          </w:tcPr>
          <w:p>
            <w:pPr>
              <w:pStyle w:val="TableContents"/>
              <w:bidi w:val="0"/>
              <w:spacing w:before="0" w:after="283"/>
              <w:jc w:val="left"/>
              <w:rPr>
                <w:sz w:val="4"/>
                <w:szCs w:val="4"/>
              </w:rPr>
            </w:pPr>
            <w:r>
              <w:rPr>
                <w:sz w:val="4"/>
                <w:szCs w:val="4"/>
              </w:rPr>
            </w:r>
          </w:p>
        </w:tc>
      </w:tr>
      <w:tr>
        <w:trPr/>
        <w:tc>
          <w:tcPr>
            <w:tcW w:w="1087" w:type="dxa"/>
            <w:tcBorders/>
            <w:vAlign w:val="bottom"/>
          </w:tcPr>
          <w:p>
            <w:pPr>
              <w:pStyle w:val="TableContents"/>
              <w:bidi w:val="0"/>
              <w:spacing w:before="0" w:after="283"/>
              <w:jc w:val="left"/>
              <w:rPr/>
            </w:pPr>
            <w:r>
              <w:rPr/>
              <w:t>By:</w:t>
            </w:r>
          </w:p>
        </w:tc>
        <w:tc>
          <w:tcPr>
            <w:tcW w:w="126" w:type="dxa"/>
            <w:tcBorders/>
            <w:vAlign w:val="bottom"/>
          </w:tcPr>
          <w:p>
            <w:pPr>
              <w:pStyle w:val="TableContents"/>
              <w:bidi w:val="0"/>
              <w:spacing w:before="0" w:after="283"/>
              <w:jc w:val="left"/>
              <w:rPr/>
            </w:pPr>
            <w:r>
              <w:rPr/>
              <w:t> </w:t>
            </w:r>
          </w:p>
        </w:tc>
        <w:tc>
          <w:tcPr>
            <w:tcW w:w="2869" w:type="dxa"/>
            <w:tcBorders/>
            <w:vAlign w:val="bottom"/>
          </w:tcPr>
          <w:p>
            <w:pPr>
              <w:pStyle w:val="TableContents"/>
              <w:pBdr>
                <w:bottom w:val="single" w:sz="2" w:space="1" w:color="000000"/>
              </w:pBdr>
              <w:bidi w:val="0"/>
              <w:spacing w:before="0" w:after="20"/>
              <w:jc w:val="left"/>
              <w:rPr>
                <w:rFonts w:ascii="Times New Roman" w:hAnsi="Times New Roman"/>
                <w:i/>
                <w:sz w:val="24"/>
              </w:rPr>
            </w:pPr>
            <w:r>
              <w:rPr>
                <w:rFonts w:ascii="Times New Roman" w:hAnsi="Times New Roman"/>
                <w:i/>
                <w:sz w:val="24"/>
              </w:rPr>
              <w:t>/s/ Ragunath Ramanathan</w:t>
            </w:r>
          </w:p>
        </w:tc>
      </w:tr>
      <w:tr>
        <w:trPr/>
        <w:tc>
          <w:tcPr>
            <w:tcW w:w="1087"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869" w:type="dxa"/>
            <w:tcBorders/>
            <w:vAlign w:val="bottom"/>
          </w:tcPr>
          <w:p>
            <w:pPr>
              <w:pStyle w:val="TableContents"/>
              <w:bidi w:val="0"/>
              <w:spacing w:before="0" w:after="0"/>
              <w:jc w:val="left"/>
              <w:rPr/>
            </w:pPr>
            <w:r>
              <w:rPr/>
              <w:t> </w:t>
            </w:r>
            <w:r>
              <w:rPr>
                <w:rFonts w:ascii="Times New Roman" w:hAnsi="Times New Roman"/>
                <w:sz w:val="24"/>
              </w:rPr>
              <w:t>Name: Ragunath Ramanathan</w:t>
            </w:r>
          </w:p>
          <w:p>
            <w:pPr>
              <w:pStyle w:val="TableContents"/>
              <w:bidi w:val="0"/>
              <w:spacing w:before="0" w:after="20"/>
              <w:jc w:val="left"/>
              <w:rPr/>
            </w:pPr>
            <w:r>
              <w:rPr/>
              <w:t> </w:t>
            </w:r>
            <w:r>
              <w:rPr>
                <w:rFonts w:ascii="Times New Roman" w:hAnsi="Times New Roman"/>
                <w:sz w:val="24"/>
              </w:rPr>
              <w:t>Title:  President</w:t>
            </w:r>
          </w:p>
        </w:tc>
      </w:tr>
      <w:tr>
        <w:trPr>
          <w:trHeight w:val="36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THOMSON REUTERS (TAX</w:t>
            </w:r>
            <w:r>
              <w:rPr/>
              <w:t> </w:t>
            </w:r>
            <w:r>
              <w:rPr>
                <w:b/>
              </w:rPr>
              <w:t>&amp; ACCOUNTING) INC.</w:t>
            </w:r>
            <w:r>
              <w:rPr/>
              <w:t>, as a Subsidiary Guarantor</w:t>
            </w:r>
          </w:p>
        </w:tc>
      </w:tr>
      <w:tr>
        <w:trPr>
          <w:trHeight w:val="360" w:hRule="atLeast"/>
        </w:trPr>
        <w:tc>
          <w:tcPr>
            <w:tcW w:w="1087" w:type="dxa"/>
            <w:tcBorders/>
            <w:vAlign w:val="center"/>
          </w:tcPr>
          <w:p>
            <w:pPr>
              <w:pStyle w:val="TableContents"/>
              <w:bidi w:val="0"/>
              <w:spacing w:before="0" w:after="283"/>
              <w:jc w:val="left"/>
              <w:rPr>
                <w:sz w:val="4"/>
                <w:szCs w:val="4"/>
              </w:rPr>
            </w:pPr>
            <w:r>
              <w:rPr>
                <w:sz w:val="4"/>
                <w:szCs w:val="4"/>
              </w:rPr>
            </w:r>
          </w:p>
        </w:tc>
        <w:tc>
          <w:tcPr>
            <w:tcW w:w="2995" w:type="dxa"/>
            <w:gridSpan w:val="2"/>
            <w:tcBorders/>
            <w:vAlign w:val="center"/>
          </w:tcPr>
          <w:p>
            <w:pPr>
              <w:pStyle w:val="TableContents"/>
              <w:bidi w:val="0"/>
              <w:spacing w:before="0" w:after="283"/>
              <w:jc w:val="left"/>
              <w:rPr>
                <w:sz w:val="4"/>
                <w:szCs w:val="4"/>
              </w:rPr>
            </w:pPr>
            <w:r>
              <w:rPr>
                <w:sz w:val="4"/>
                <w:szCs w:val="4"/>
              </w:rPr>
            </w:r>
          </w:p>
        </w:tc>
      </w:tr>
      <w:tr>
        <w:trPr/>
        <w:tc>
          <w:tcPr>
            <w:tcW w:w="1087" w:type="dxa"/>
            <w:tcBorders/>
            <w:vAlign w:val="bottom"/>
          </w:tcPr>
          <w:p>
            <w:pPr>
              <w:pStyle w:val="TableContents"/>
              <w:bidi w:val="0"/>
              <w:spacing w:before="0" w:after="283"/>
              <w:jc w:val="left"/>
              <w:rPr/>
            </w:pPr>
            <w:r>
              <w:rPr/>
              <w:t>By:</w:t>
            </w:r>
          </w:p>
        </w:tc>
        <w:tc>
          <w:tcPr>
            <w:tcW w:w="126" w:type="dxa"/>
            <w:tcBorders/>
            <w:vAlign w:val="bottom"/>
          </w:tcPr>
          <w:p>
            <w:pPr>
              <w:pStyle w:val="TableContents"/>
              <w:bidi w:val="0"/>
              <w:spacing w:before="0" w:after="283"/>
              <w:jc w:val="left"/>
              <w:rPr/>
            </w:pPr>
            <w:r>
              <w:rPr/>
              <w:t> </w:t>
            </w:r>
          </w:p>
        </w:tc>
        <w:tc>
          <w:tcPr>
            <w:tcW w:w="2869" w:type="dxa"/>
            <w:tcBorders/>
            <w:vAlign w:val="bottom"/>
          </w:tcPr>
          <w:p>
            <w:pPr>
              <w:pStyle w:val="TableContents"/>
              <w:pBdr>
                <w:bottom w:val="single" w:sz="2" w:space="1" w:color="000000"/>
              </w:pBdr>
              <w:bidi w:val="0"/>
              <w:spacing w:before="0" w:after="20"/>
              <w:jc w:val="left"/>
              <w:rPr>
                <w:rFonts w:ascii="Times New Roman" w:hAnsi="Times New Roman"/>
                <w:i/>
                <w:sz w:val="24"/>
              </w:rPr>
            </w:pPr>
            <w:r>
              <w:rPr>
                <w:rFonts w:ascii="Times New Roman" w:hAnsi="Times New Roman"/>
                <w:i/>
                <w:sz w:val="24"/>
              </w:rPr>
              <w:t>/s/ Elizabeth Beastrom</w:t>
            </w:r>
          </w:p>
        </w:tc>
      </w:tr>
      <w:tr>
        <w:trPr/>
        <w:tc>
          <w:tcPr>
            <w:tcW w:w="1087"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869" w:type="dxa"/>
            <w:tcBorders/>
            <w:vAlign w:val="bottom"/>
          </w:tcPr>
          <w:p>
            <w:pPr>
              <w:pStyle w:val="TableContents"/>
              <w:bidi w:val="0"/>
              <w:spacing w:before="0" w:after="0"/>
              <w:jc w:val="left"/>
              <w:rPr/>
            </w:pPr>
            <w:r>
              <w:rPr/>
              <w:t> </w:t>
            </w:r>
            <w:r>
              <w:rPr>
                <w:rFonts w:ascii="Times New Roman" w:hAnsi="Times New Roman"/>
                <w:sz w:val="24"/>
              </w:rPr>
              <w:t>Name: Elizabeth Beastrom</w:t>
            </w:r>
          </w:p>
          <w:p>
            <w:pPr>
              <w:pStyle w:val="TableContents"/>
              <w:bidi w:val="0"/>
              <w:spacing w:before="0" w:after="20"/>
              <w:jc w:val="left"/>
              <w:rPr/>
            </w:pPr>
            <w:r>
              <w:rPr/>
              <w:t> </w:t>
            </w:r>
            <w:r>
              <w:rPr>
                <w:rFonts w:ascii="Times New Roman" w:hAnsi="Times New Roman"/>
                <w:sz w:val="24"/>
              </w:rPr>
              <w:t>Title:  President</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- 26 - </w:t>
      </w:r>
    </w:p>
    <w:tbl>
      <w:tblPr>
        <w:tblW w:w="2000" w:type="pct"/>
        <w:jc w:val="right"/>
        <w:tblInd w:w="0" w:type="dxa"/>
        <w:tblLayout w:type="fixed"/>
        <w:tblCellMar>
          <w:top w:w="0" w:type="dxa"/>
          <w:left w:w="0" w:type="dxa"/>
          <w:bottom w:w="0" w:type="dxa"/>
          <w:right w:w="0" w:type="dxa"/>
        </w:tblCellMar>
      </w:tblPr>
      <w:tblGrid>
        <w:gridCol w:w="568"/>
        <w:gridCol w:w="60"/>
        <w:gridCol w:w="3454"/>
      </w:tblGrid>
      <w:tr>
        <w:trPr/>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COMPUTERSHARE TRUST COMPANY OF CANADA, </w:t>
            </w:r>
            <w:r>
              <w:rPr/>
              <w:t>as Notes Trustee</w:t>
            </w:r>
          </w:p>
        </w:tc>
      </w:tr>
      <w:tr>
        <w:trPr>
          <w:trHeight w:val="360" w:hRule="atLeast"/>
        </w:trPr>
        <w:tc>
          <w:tcPr>
            <w:tcW w:w="568" w:type="dxa"/>
            <w:tcBorders/>
            <w:vAlign w:val="center"/>
          </w:tcPr>
          <w:p>
            <w:pPr>
              <w:pStyle w:val="TableContents"/>
              <w:bidi w:val="0"/>
              <w:spacing w:before="0" w:after="283"/>
              <w:jc w:val="left"/>
              <w:rPr>
                <w:sz w:val="4"/>
                <w:szCs w:val="4"/>
              </w:rPr>
            </w:pPr>
            <w:r>
              <w:rPr>
                <w:sz w:val="4"/>
                <w:szCs w:val="4"/>
              </w:rPr>
            </w:r>
          </w:p>
        </w:tc>
        <w:tc>
          <w:tcPr>
            <w:tcW w:w="3514"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vAlign w:val="bottom"/>
          </w:tcPr>
          <w:p>
            <w:pPr>
              <w:pStyle w:val="TableContents"/>
              <w:bidi w:val="0"/>
              <w:spacing w:before="0" w:after="283"/>
              <w:jc w:val="left"/>
              <w:rPr/>
            </w:pPr>
            <w:r>
              <w:rPr/>
              <w:t>By: </w:t>
            </w:r>
          </w:p>
        </w:tc>
        <w:tc>
          <w:tcPr>
            <w:tcW w:w="60" w:type="dxa"/>
            <w:tcBorders/>
            <w:vAlign w:val="bottom"/>
          </w:tcPr>
          <w:p>
            <w:pPr>
              <w:pStyle w:val="TableContents"/>
              <w:bidi w:val="0"/>
              <w:spacing w:before="0" w:after="283"/>
              <w:jc w:val="left"/>
              <w:rPr/>
            </w:pPr>
            <w:r>
              <w:rPr/>
              <w:t> </w:t>
            </w:r>
          </w:p>
        </w:tc>
        <w:tc>
          <w:tcPr>
            <w:tcW w:w="3454" w:type="dxa"/>
            <w:tcBorders/>
            <w:vAlign w:val="bottom"/>
          </w:tcPr>
          <w:p>
            <w:pPr>
              <w:pStyle w:val="TableContents"/>
              <w:pBdr>
                <w:bottom w:val="single" w:sz="2" w:space="1" w:color="000000"/>
              </w:pBdr>
              <w:bidi w:val="0"/>
              <w:spacing w:before="0" w:after="20"/>
              <w:jc w:val="left"/>
              <w:rPr>
                <w:rFonts w:ascii="Times New Roman" w:hAnsi="Times New Roman"/>
                <w:i/>
                <w:sz w:val="24"/>
              </w:rPr>
            </w:pPr>
            <w:r>
              <w:rPr>
                <w:rFonts w:ascii="Times New Roman" w:hAnsi="Times New Roman"/>
                <w:i/>
                <w:sz w:val="24"/>
              </w:rPr>
              <w:t>/s/ Neil Scott</w:t>
            </w:r>
          </w:p>
        </w:tc>
      </w:tr>
      <w:tr>
        <w:trPr/>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54" w:type="dxa"/>
            <w:tcBorders/>
            <w:vAlign w:val="bottom"/>
          </w:tcPr>
          <w:p>
            <w:pPr>
              <w:pStyle w:val="TableContents"/>
              <w:bidi w:val="0"/>
              <w:spacing w:before="0" w:after="0"/>
              <w:jc w:val="left"/>
              <w:rPr/>
            </w:pPr>
            <w:r>
              <w:rPr/>
              <w:t> </w:t>
            </w:r>
            <w:r>
              <w:rPr>
                <w:rFonts w:ascii="Times New Roman" w:hAnsi="Times New Roman"/>
                <w:sz w:val="24"/>
              </w:rPr>
              <w:t>Name:  Neil Scott</w:t>
            </w:r>
          </w:p>
          <w:p>
            <w:pPr>
              <w:pStyle w:val="TableContents"/>
              <w:bidi w:val="0"/>
              <w:spacing w:before="0" w:after="20"/>
              <w:jc w:val="left"/>
              <w:rPr/>
            </w:pPr>
            <w:r>
              <w:rPr/>
              <w:t> </w:t>
            </w:r>
            <w:r>
              <w:rPr>
                <w:rFonts w:ascii="Times New Roman" w:hAnsi="Times New Roman"/>
                <w:sz w:val="24"/>
              </w:rPr>
              <w:t>Title:   Corporate Trust Officer</w:t>
            </w:r>
          </w:p>
        </w:tc>
      </w:tr>
      <w:tr>
        <w:trPr>
          <w:trHeight w:val="360" w:hRule="atLeast"/>
        </w:trPr>
        <w:tc>
          <w:tcPr>
            <w:tcW w:w="568" w:type="dxa"/>
            <w:tcBorders/>
            <w:vAlign w:val="center"/>
          </w:tcPr>
          <w:p>
            <w:pPr>
              <w:pStyle w:val="TableContents"/>
              <w:bidi w:val="0"/>
              <w:spacing w:before="0" w:after="283"/>
              <w:jc w:val="left"/>
              <w:rPr>
                <w:sz w:val="4"/>
                <w:szCs w:val="4"/>
              </w:rPr>
            </w:pPr>
            <w:r>
              <w:rPr>
                <w:sz w:val="4"/>
                <w:szCs w:val="4"/>
              </w:rPr>
            </w:r>
          </w:p>
        </w:tc>
        <w:tc>
          <w:tcPr>
            <w:tcW w:w="3514"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54" w:type="dxa"/>
            <w:tcBorders/>
            <w:vAlign w:val="bottom"/>
          </w:tcPr>
          <w:p>
            <w:pPr>
              <w:pStyle w:val="TableContents"/>
              <w:pBdr>
                <w:bottom w:val="single" w:sz="2" w:space="1" w:color="000000"/>
              </w:pBdr>
              <w:bidi w:val="0"/>
              <w:spacing w:before="0" w:after="20"/>
              <w:jc w:val="left"/>
              <w:rPr>
                <w:rFonts w:ascii="Times New Roman" w:hAnsi="Times New Roman"/>
                <w:i/>
                <w:sz w:val="24"/>
              </w:rPr>
            </w:pPr>
            <w:r>
              <w:rPr>
                <w:rFonts w:ascii="Times New Roman" w:hAnsi="Times New Roman"/>
                <w:i/>
                <w:sz w:val="24"/>
              </w:rPr>
              <w:t>/s/ Mohanie Shivprasad</w:t>
            </w:r>
          </w:p>
        </w:tc>
      </w:tr>
      <w:tr>
        <w:trPr/>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54" w:type="dxa"/>
            <w:tcBorders/>
            <w:vAlign w:val="bottom"/>
          </w:tcPr>
          <w:p>
            <w:pPr>
              <w:pStyle w:val="TableContents"/>
              <w:bidi w:val="0"/>
              <w:spacing w:before="0" w:after="0"/>
              <w:jc w:val="left"/>
              <w:rPr/>
            </w:pPr>
            <w:r>
              <w:rPr/>
              <w:t> </w:t>
            </w:r>
            <w:r>
              <w:rPr>
                <w:rFonts w:ascii="Times New Roman" w:hAnsi="Times New Roman"/>
                <w:sz w:val="24"/>
              </w:rPr>
              <w:t>Name:  Mohanie Shivprasad</w:t>
            </w:r>
          </w:p>
          <w:p>
            <w:pPr>
              <w:pStyle w:val="TableContents"/>
              <w:bidi w:val="0"/>
              <w:spacing w:before="0" w:after="20"/>
              <w:jc w:val="left"/>
              <w:rPr/>
            </w:pPr>
            <w:r>
              <w:rPr/>
              <w:t> </w:t>
            </w:r>
            <w:r>
              <w:rPr>
                <w:rFonts w:ascii="Times New Roman" w:hAnsi="Times New Roman"/>
                <w:sz w:val="24"/>
              </w:rPr>
              <w:t>Title:   Associate Trust Officer</w:t>
            </w:r>
          </w:p>
        </w:tc>
      </w:tr>
      <w:tr>
        <w:trPr>
          <w:trHeight w:val="10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DEUTSCHE BANK TRUST COMPANY AMERICAS</w:t>
            </w:r>
            <w:r>
              <w:rPr/>
              <w:t>, as Co-Trustee</w:t>
            </w:r>
          </w:p>
        </w:tc>
      </w:tr>
      <w:tr>
        <w:trPr>
          <w:trHeight w:val="360" w:hRule="atLeast"/>
        </w:trPr>
        <w:tc>
          <w:tcPr>
            <w:tcW w:w="568" w:type="dxa"/>
            <w:tcBorders/>
            <w:vAlign w:val="center"/>
          </w:tcPr>
          <w:p>
            <w:pPr>
              <w:pStyle w:val="TableContents"/>
              <w:bidi w:val="0"/>
              <w:spacing w:before="0" w:after="283"/>
              <w:jc w:val="left"/>
              <w:rPr>
                <w:sz w:val="4"/>
                <w:szCs w:val="4"/>
              </w:rPr>
            </w:pPr>
            <w:r>
              <w:rPr>
                <w:sz w:val="4"/>
                <w:szCs w:val="4"/>
              </w:rPr>
            </w:r>
          </w:p>
        </w:tc>
        <w:tc>
          <w:tcPr>
            <w:tcW w:w="3514"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54" w:type="dxa"/>
            <w:tcBorders/>
            <w:vAlign w:val="bottom"/>
          </w:tcPr>
          <w:p>
            <w:pPr>
              <w:pStyle w:val="TableContents"/>
              <w:pBdr>
                <w:bottom w:val="single" w:sz="2" w:space="1" w:color="000000"/>
              </w:pBdr>
              <w:bidi w:val="0"/>
              <w:spacing w:before="0" w:after="20"/>
              <w:jc w:val="left"/>
              <w:rPr>
                <w:rFonts w:ascii="Times New Roman" w:hAnsi="Times New Roman"/>
                <w:i/>
                <w:sz w:val="24"/>
              </w:rPr>
            </w:pPr>
            <w:r>
              <w:rPr>
                <w:rFonts w:ascii="Times New Roman" w:hAnsi="Times New Roman"/>
                <w:i/>
                <w:sz w:val="24"/>
              </w:rPr>
              <w:t>/s/ Rodney Gaughan</w:t>
            </w:r>
          </w:p>
        </w:tc>
      </w:tr>
      <w:tr>
        <w:trPr/>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54" w:type="dxa"/>
            <w:tcBorders/>
            <w:vAlign w:val="bottom"/>
          </w:tcPr>
          <w:p>
            <w:pPr>
              <w:pStyle w:val="TableContents"/>
              <w:bidi w:val="0"/>
              <w:spacing w:before="0" w:after="0"/>
              <w:jc w:val="left"/>
              <w:rPr/>
            </w:pPr>
            <w:r>
              <w:rPr/>
              <w:t> </w:t>
            </w:r>
            <w:r>
              <w:rPr>
                <w:rFonts w:ascii="Times New Roman" w:hAnsi="Times New Roman"/>
                <w:sz w:val="24"/>
              </w:rPr>
              <w:t>Name:  Rodney Gaughan</w:t>
            </w:r>
          </w:p>
          <w:p>
            <w:pPr>
              <w:pStyle w:val="TableContents"/>
              <w:bidi w:val="0"/>
              <w:spacing w:before="0" w:after="20"/>
              <w:jc w:val="left"/>
              <w:rPr/>
            </w:pPr>
            <w:r>
              <w:rPr/>
              <w:t> </w:t>
            </w:r>
            <w:r>
              <w:rPr>
                <w:rFonts w:ascii="Times New Roman" w:hAnsi="Times New Roman"/>
                <w:sz w:val="24"/>
              </w:rPr>
              <w:t>Title:   Vice President</w:t>
            </w:r>
          </w:p>
        </w:tc>
      </w:tr>
      <w:tr>
        <w:trPr>
          <w:trHeight w:val="360" w:hRule="atLeast"/>
        </w:trPr>
        <w:tc>
          <w:tcPr>
            <w:tcW w:w="568" w:type="dxa"/>
            <w:tcBorders/>
            <w:vAlign w:val="center"/>
          </w:tcPr>
          <w:p>
            <w:pPr>
              <w:pStyle w:val="TableContents"/>
              <w:bidi w:val="0"/>
              <w:spacing w:before="0" w:after="283"/>
              <w:jc w:val="left"/>
              <w:rPr>
                <w:sz w:val="4"/>
                <w:szCs w:val="4"/>
              </w:rPr>
            </w:pPr>
            <w:r>
              <w:rPr>
                <w:sz w:val="4"/>
                <w:szCs w:val="4"/>
              </w:rPr>
            </w:r>
          </w:p>
        </w:tc>
        <w:tc>
          <w:tcPr>
            <w:tcW w:w="3514"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54" w:type="dxa"/>
            <w:tcBorders/>
            <w:vAlign w:val="bottom"/>
          </w:tcPr>
          <w:p>
            <w:pPr>
              <w:pStyle w:val="TableContents"/>
              <w:pBdr>
                <w:bottom w:val="single" w:sz="2" w:space="1" w:color="000000"/>
              </w:pBdr>
              <w:bidi w:val="0"/>
              <w:spacing w:before="0" w:after="20"/>
              <w:jc w:val="left"/>
              <w:rPr>
                <w:rFonts w:ascii="Times New Roman" w:hAnsi="Times New Roman"/>
                <w:i/>
                <w:sz w:val="24"/>
              </w:rPr>
            </w:pPr>
            <w:r>
              <w:rPr>
                <w:rFonts w:ascii="Times New Roman" w:hAnsi="Times New Roman"/>
                <w:i/>
                <w:sz w:val="24"/>
              </w:rPr>
              <w:t>/s/ Denise Kellerk</w:t>
            </w:r>
          </w:p>
        </w:tc>
      </w:tr>
      <w:tr>
        <w:trPr/>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54" w:type="dxa"/>
            <w:tcBorders/>
            <w:vAlign w:val="bottom"/>
          </w:tcPr>
          <w:p>
            <w:pPr>
              <w:pStyle w:val="TableContents"/>
              <w:bidi w:val="0"/>
              <w:spacing w:before="0" w:after="0"/>
              <w:jc w:val="left"/>
              <w:rPr/>
            </w:pPr>
            <w:r>
              <w:rPr/>
              <w:t> </w:t>
            </w:r>
            <w:r>
              <w:rPr>
                <w:rFonts w:ascii="Times New Roman" w:hAnsi="Times New Roman"/>
                <w:sz w:val="24"/>
              </w:rPr>
              <w:t>Name:  Denise Kellerk</w:t>
            </w:r>
          </w:p>
          <w:p>
            <w:pPr>
              <w:pStyle w:val="TableContents"/>
              <w:bidi w:val="0"/>
              <w:spacing w:before="0" w:after="20"/>
              <w:jc w:val="left"/>
              <w:rPr/>
            </w:pPr>
            <w:r>
              <w:rPr/>
              <w:t> </w:t>
            </w:r>
            <w:r>
              <w:rPr>
                <w:rFonts w:ascii="Times New Roman" w:hAnsi="Times New Roman"/>
                <w:sz w:val="24"/>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4"/>
          <w:u w:val="single"/>
        </w:rPr>
      </w:pPr>
      <w:r>
        <w:rPr>
          <w:rFonts w:ascii="Times New Roman" w:hAnsi="Times New Roman"/>
          <w:sz w:val="24"/>
          <w:u w:val="single"/>
        </w:rPr>
        <w:t xml:space="preserve">EXHIBIT I </w:t>
      </w:r>
    </w:p>
    <w:p>
      <w:pPr>
        <w:pStyle w:val="TextBody"/>
        <w:bidi w:val="0"/>
        <w:spacing w:before="240" w:after="0"/>
        <w:jc w:val="center"/>
        <w:rPr>
          <w:rFonts w:ascii="Times New Roman" w:hAnsi="Times New Roman"/>
          <w:sz w:val="24"/>
        </w:rPr>
      </w:pPr>
      <w:r>
        <w:rPr>
          <w:rFonts w:ascii="Times New Roman" w:hAnsi="Times New Roman"/>
          <w:sz w:val="24"/>
        </w:rPr>
        <w:t xml:space="preserve">(Form of Global Notes) </w:t>
      </w:r>
    </w:p>
    <w:p>
      <w:pPr>
        <w:pStyle w:val="TextBody"/>
        <w:bidi w:val="0"/>
        <w:spacing w:before="240" w:after="0"/>
        <w:jc w:val="both"/>
        <w:rPr>
          <w:rFonts w:ascii="Times New Roman" w:hAnsi="Times New Roman"/>
          <w:b/>
          <w:sz w:val="24"/>
        </w:rPr>
      </w:pPr>
      <w:r>
        <w:rPr>
          <w:rFonts w:ascii="Times New Roman" w:hAnsi="Times New Roman"/>
          <w:b/>
          <w:sz w:val="24"/>
        </w:rPr>
        <w:t xml:space="preserve">Unless this certificate is presented by an authorized representative of CDS Clearing and Depository Services Inc. (“CDS”) to Thomson Reuters Corporation (the “Issuer”) or its agent for registration of transfer, exchange or payment, and any certificate issued in respect thereof is registered in the name of CDS &amp; CO., or in such other name as is requested by an authorized representative of CDS (and any payment is made to CDS &amp; CO. or to such other entity as is requested by an authorized representative of CDS), ANY TRANSFER, PLEDGE OR OTHER USE HEREOF FOR VALUE OR OTHERWISE BY OR TO ANY PERSON IS WRONGFUL since the registered holder hereof, CDS &amp; CO., has a property interest in the securities represented by this certificate herein and it is a violation of its rights for another person to hold, transfer or deal with this certificate. </w:t>
      </w:r>
    </w:p>
    <w:p>
      <w:pPr>
        <w:pStyle w:val="TextBody"/>
        <w:bidi w:val="0"/>
        <w:spacing w:before="240" w:after="0"/>
        <w:jc w:val="both"/>
        <w:rPr>
          <w:rFonts w:ascii="Times New Roman" w:hAnsi="Times New Roman"/>
          <w:sz w:val="24"/>
        </w:rPr>
      </w:pPr>
      <w:r>
        <w:rPr>
          <w:rFonts w:ascii="Times New Roman" w:hAnsi="Times New Roman"/>
          <w:sz w:val="24"/>
        </w:rPr>
        <w:t xml:space="preserve">UNLESS PERMITTED UNDER CANADIAN SECURITIES LEGISLATION, THE HOLDER OF THIS SECURITY MUST NOT TRADE THE SECURITY BEFORE JANUARY 18, 2027. </w:t>
      </w:r>
    </w:p>
    <w:p>
      <w:pPr>
        <w:pStyle w:val="TextBody"/>
        <w:bidi w:val="0"/>
        <w:spacing w:before="240" w:after="0"/>
        <w:jc w:val="center"/>
        <w:rPr>
          <w:rFonts w:ascii="Times New Roman" w:hAnsi="Times New Roman"/>
          <w:b/>
          <w:sz w:val="24"/>
        </w:rPr>
      </w:pPr>
      <w:r>
        <w:rPr>
          <w:rFonts w:ascii="Times New Roman" w:hAnsi="Times New Roman"/>
          <w:b/>
          <w:sz w:val="24"/>
        </w:rPr>
        <w:t xml:space="preserve">THOMSON REUTERS CORPORATION </w:t>
      </w:r>
    </w:p>
    <w:p>
      <w:pPr>
        <w:pStyle w:val="TextBody"/>
        <w:bidi w:val="0"/>
        <w:spacing w:before="240" w:after="0"/>
        <w:jc w:val="center"/>
        <w:rPr>
          <w:rFonts w:ascii="Times New Roman" w:hAnsi="Times New Roman"/>
          <w:sz w:val="24"/>
        </w:rPr>
      </w:pPr>
      <w:r>
        <w:rPr>
          <w:rFonts w:ascii="Times New Roman" w:hAnsi="Times New Roman"/>
          <w:sz w:val="24"/>
        </w:rPr>
        <w:t xml:space="preserve">Floating Rate Notes due 2029 </w:t>
      </w:r>
    </w:p>
    <w:p>
      <w:pPr>
        <w:pStyle w:val="TextBody"/>
        <w:bidi w:val="0"/>
        <w:spacing w:before="240" w:after="0"/>
        <w:jc w:val="left"/>
        <w:rPr>
          <w:rFonts w:ascii="Times New Roman" w:hAnsi="Times New Roman"/>
          <w:sz w:val="24"/>
        </w:rPr>
      </w:pPr>
      <w:r>
        <w:rPr>
          <w:rFonts w:ascii="Times New Roman" w:hAnsi="Times New Roman"/>
          <w:sz w:val="24"/>
        </w:rPr>
        <w:t xml:space="preserve">No. A-1 </w:t>
      </w:r>
    </w:p>
    <w:p>
      <w:pPr>
        <w:pStyle w:val="TextBody"/>
        <w:bidi w:val="0"/>
        <w:spacing w:before="240" w:after="0"/>
        <w:jc w:val="right"/>
        <w:rPr>
          <w:rFonts w:ascii="Times New Roman" w:hAnsi="Times New Roman"/>
          <w:sz w:val="24"/>
        </w:rPr>
      </w:pPr>
      <w:r>
        <w:rPr>
          <w:rFonts w:ascii="Times New Roman" w:hAnsi="Times New Roman"/>
          <w:sz w:val="24"/>
        </w:rPr>
        <w:t xml:space="preserve">C$● </w:t>
      </w:r>
    </w:p>
    <w:p>
      <w:pPr>
        <w:pStyle w:val="TextBody"/>
        <w:bidi w:val="0"/>
        <w:spacing w:before="0" w:after="0"/>
        <w:jc w:val="right"/>
        <w:rPr>
          <w:rFonts w:ascii="Times New Roman" w:hAnsi="Times New Roman"/>
          <w:sz w:val="24"/>
        </w:rPr>
      </w:pPr>
      <w:r>
        <w:rPr>
          <w:rFonts w:ascii="Times New Roman" w:hAnsi="Times New Roman"/>
          <w:sz w:val="24"/>
        </w:rPr>
        <w:t xml:space="preserve">CUSIP: 884903BX2 </w:t>
      </w:r>
    </w:p>
    <w:p>
      <w:pPr>
        <w:pStyle w:val="TextBody"/>
        <w:bidi w:val="0"/>
        <w:spacing w:before="0" w:after="0"/>
        <w:jc w:val="right"/>
        <w:rPr>
          <w:rFonts w:ascii="Times New Roman" w:hAnsi="Times New Roman"/>
          <w:sz w:val="24"/>
        </w:rPr>
      </w:pPr>
      <w:r>
        <w:rPr>
          <w:rFonts w:ascii="Times New Roman" w:hAnsi="Times New Roman"/>
          <w:sz w:val="24"/>
        </w:rPr>
        <w:t xml:space="preserve">ISIN: CA884903BX23 </w:t>
      </w:r>
    </w:p>
    <w:p>
      <w:pPr>
        <w:pStyle w:val="TextBody"/>
        <w:bidi w:val="0"/>
        <w:spacing w:before="240" w:after="0"/>
        <w:jc w:val="both"/>
        <w:rPr>
          <w:rFonts w:ascii="Times New Roman" w:hAnsi="Times New Roman"/>
          <w:sz w:val="24"/>
        </w:rPr>
      </w:pPr>
      <w:r>
        <w:rPr>
          <w:rFonts w:ascii="Times New Roman" w:hAnsi="Times New Roman"/>
          <w:sz w:val="24"/>
        </w:rPr>
        <w:t xml:space="preserve">THOMSON REUTERS CORPORATION, a corporation duly organized and existing under the laws of the Province of Ontario (herein called the “Corporation”, which term includes any successor Person under the Indenture hereinafter referred to), for value received, hereby promises to pay to CDS &amp; Co., or its registered assigns, the principal sum of C$● (● CANADIAN DOLLARS) on September 17, 2029, at the office or agency of the Corporation referred to below, and to pay interest thereon quarterly in arrears on the applicable Interest Payment Date in respect of each Interest Period, from ●, 20●, or from the most recent Interest Payment Date to which interest has been paid or duly provided for until the principal hereof is paid or duly provided for, and (to the extent lawful) to pay on demand interest on any overdue interest at the rate borne by the Securities from the date on which such overdue interest becomes payable to the date payment of such interest has been made or duly provided for. The interest so payable, and punctually paid or duly provided for, on any Interest Payment Date will, as provided in such Indenture, be paid to the Person in whose name this Security is registered at the close of business on the Regular Record Date for such interest, which shall be February 28, May 31, August 31 and November 30 (whether or not a Bank of Canada Business Day) in respect of the interest payable on March 17, June 17, September 17 and December 17, respectively. Any such interest not so punctually paid or duly provided for shall forthwith cease to be payable to the Holder on such Regular Record Date, and such defaulted interest and (to the extent lawful) interest on such defaulted interest at the rate borne by the Securities, may be paid to the Person in whose name this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- 28 -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Security is registered at the close of business on a Special Record Date for the payment of such Defaulted Interest to be fixed by the Trustee, notice whereof shall be given to Holders not less than 10 days prior to such Special Record Date, or may be paid at any time in any other lawful manner not inconsistent with the requirements of any securities exchange on which the Securities may be listed, and upon such notice as may be required by such exchange, all as more fully provided in said Indenture. </w:t>
      </w:r>
    </w:p>
    <w:p>
      <w:pPr>
        <w:pStyle w:val="TextBody"/>
        <w:bidi w:val="0"/>
        <w:spacing w:before="240" w:after="0"/>
        <w:jc w:val="both"/>
        <w:rPr>
          <w:rFonts w:ascii="Times New Roman" w:hAnsi="Times New Roman"/>
          <w:sz w:val="24"/>
        </w:rPr>
      </w:pPr>
      <w:r>
        <w:rPr>
          <w:rFonts w:ascii="Times New Roman" w:hAnsi="Times New Roman"/>
          <w:sz w:val="24"/>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both"/>
        <w:rPr>
          <w:rFonts w:ascii="Times New Roman" w:hAnsi="Times New Roman"/>
          <w:sz w:val="24"/>
        </w:rPr>
      </w:pPr>
      <w:r>
        <w:rPr>
          <w:rFonts w:ascii="Times New Roman" w:hAnsi="Times New Roman"/>
          <w:sz w:val="24"/>
        </w:rPr>
        <w:t xml:space="preserve">Unless the certificate of authentication hereon has been duly executed by the Trustee by manual or electronic signature, this Security shall not be entitled to any benefit under the Indenture, or be valid or obligatory for any purpose.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- 29 -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IN WITNESS WHEREOF, the Corporation has caused this instrument to be duly executed and attested. </w:t>
      </w:r>
    </w:p>
    <w:p>
      <w:pPr>
        <w:pStyle w:val="TextBody"/>
        <w:bidi w:val="0"/>
        <w:spacing w:before="360" w:after="0"/>
        <w:jc w:val="left"/>
        <w:rPr>
          <w:rFonts w:ascii="Times New Roman" w:hAnsi="Times New Roman"/>
          <w:sz w:val="24"/>
        </w:rPr>
      </w:pPr>
      <w:r>
        <w:rPr>
          <w:rFonts w:ascii="Times New Roman" w:hAnsi="Times New Roman"/>
          <w:sz w:val="24"/>
        </w:rPr>
        <w:t xml:space="preserve">Dated: ●, 20● </w:t>
      </w:r>
    </w:p>
    <w:p>
      <w:pPr>
        <w:pStyle w:val="TextBody"/>
        <w:bidi w:val="0"/>
        <w:spacing w:before="0" w:after="0"/>
        <w:jc w:val="left"/>
        <w:rPr/>
      </w:pPr>
      <w:r>
        <w:rPr/>
        <w:t> </w:t>
      </w:r>
    </w:p>
    <w:tbl>
      <w:tblPr>
        <w:tblW w:w="4400" w:type="dxa"/>
        <w:jc w:val="right"/>
        <w:tblInd w:w="0" w:type="dxa"/>
        <w:tblLayout w:type="fixed"/>
        <w:tblCellMar>
          <w:top w:w="0" w:type="dxa"/>
          <w:left w:w="0" w:type="dxa"/>
          <w:bottom w:w="0" w:type="dxa"/>
          <w:right w:w="0" w:type="dxa"/>
        </w:tblCellMar>
      </w:tblPr>
      <w:tblGrid>
        <w:gridCol w:w="2036"/>
        <w:gridCol w:w="218"/>
        <w:gridCol w:w="2146"/>
      </w:tblGrid>
      <w:tr>
        <w:trPr/>
        <w:tc>
          <w:tcPr>
            <w:tcW w:w="2036"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cPr>
          <w:p>
            <w:pPr>
              <w:pStyle w:val="TableContents"/>
              <w:bidi w:val="0"/>
              <w:spacing w:before="0" w:after="283"/>
              <w:jc w:val="left"/>
              <w:rPr>
                <w:b/>
              </w:rPr>
            </w:pPr>
            <w:r>
              <w:rPr>
                <w:b/>
              </w:rPr>
              <w:t>THOMSON REUTERS CORPORATION</w:t>
            </w:r>
          </w:p>
        </w:tc>
      </w:tr>
      <w:tr>
        <w:trPr>
          <w:trHeight w:val="360" w:hRule="atLeast"/>
        </w:trPr>
        <w:tc>
          <w:tcPr>
            <w:tcW w:w="2036" w:type="dxa"/>
            <w:tcBorders/>
            <w:vAlign w:val="center"/>
          </w:tcPr>
          <w:p>
            <w:pPr>
              <w:pStyle w:val="TableContents"/>
              <w:bidi w:val="0"/>
              <w:spacing w:before="0" w:after="283"/>
              <w:jc w:val="left"/>
              <w:rPr>
                <w:sz w:val="4"/>
                <w:szCs w:val="4"/>
              </w:rPr>
            </w:pPr>
            <w:r>
              <w:rPr>
                <w:sz w:val="4"/>
                <w:szCs w:val="4"/>
              </w:rPr>
            </w:r>
          </w:p>
        </w:tc>
        <w:tc>
          <w:tcPr>
            <w:tcW w:w="2364" w:type="dxa"/>
            <w:gridSpan w:val="2"/>
            <w:tcBorders/>
            <w:vAlign w:val="center"/>
          </w:tcPr>
          <w:p>
            <w:pPr>
              <w:pStyle w:val="TableContents"/>
              <w:bidi w:val="0"/>
              <w:spacing w:before="0" w:after="283"/>
              <w:jc w:val="left"/>
              <w:rPr>
                <w:sz w:val="4"/>
                <w:szCs w:val="4"/>
              </w:rPr>
            </w:pPr>
            <w:r>
              <w:rPr>
                <w:sz w:val="4"/>
                <w:szCs w:val="4"/>
              </w:rPr>
            </w:r>
          </w:p>
        </w:tc>
      </w:tr>
      <w:tr>
        <w:trPr/>
        <w:tc>
          <w:tcPr>
            <w:tcW w:w="2036" w:type="dxa"/>
            <w:tcBorders/>
            <w:vAlign w:val="bottom"/>
          </w:tcPr>
          <w:p>
            <w:pPr>
              <w:pStyle w:val="TableContents"/>
              <w:bidi w:val="0"/>
              <w:spacing w:before="0" w:after="283"/>
              <w:jc w:val="left"/>
              <w:rPr/>
            </w:pPr>
            <w:r>
              <w:rPr/>
              <w:t>By:  </w:t>
            </w:r>
          </w:p>
        </w:tc>
        <w:tc>
          <w:tcPr>
            <w:tcW w:w="218" w:type="dxa"/>
            <w:tcBorders/>
            <w:vAlign w:val="bottom"/>
          </w:tcPr>
          <w:p>
            <w:pPr>
              <w:pStyle w:val="TableContents"/>
              <w:bidi w:val="0"/>
              <w:spacing w:before="0" w:after="283"/>
              <w:jc w:val="left"/>
              <w:rPr/>
            </w:pPr>
            <w:r>
              <w:rPr/>
              <w:t> </w:t>
            </w:r>
          </w:p>
        </w:tc>
        <w:tc>
          <w:tcPr>
            <w:tcW w:w="2146" w:type="dxa"/>
            <w:tcBorders/>
            <w:vAlign w:val="bottom"/>
          </w:tcPr>
          <w:p>
            <w:pPr>
              <w:pStyle w:val="TableContents"/>
              <w:pBdr>
                <w:bottom w:val="single" w:sz="2" w:space="1" w:color="000000"/>
              </w:pBdr>
              <w:bidi w:val="0"/>
              <w:spacing w:before="0" w:after="20"/>
              <w:jc w:val="left"/>
              <w:rPr/>
            </w:pPr>
            <w:r>
              <w:rPr/>
              <w:t> </w:t>
            </w:r>
          </w:p>
        </w:tc>
      </w:tr>
      <w:tr>
        <w:trPr/>
        <w:tc>
          <w:tcPr>
            <w:tcW w:w="203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2146" w:type="dxa"/>
            <w:tcBorders/>
            <w:vAlign w:val="bottom"/>
          </w:tcPr>
          <w:p>
            <w:pPr>
              <w:pStyle w:val="TableContents"/>
              <w:bidi w:val="0"/>
              <w:spacing w:before="0" w:after="0"/>
              <w:jc w:val="left"/>
              <w:rPr/>
            </w:pPr>
            <w:r>
              <w:rPr/>
              <w:t> </w:t>
            </w:r>
            <w:r>
              <w:rPr>
                <w:rFonts w:ascii="Times New Roman" w:hAnsi="Times New Roman"/>
                <w:sz w:val="24"/>
              </w:rPr>
              <w:t>Name:</w:t>
            </w:r>
          </w:p>
          <w:p>
            <w:pPr>
              <w:pStyle w:val="TableContents"/>
              <w:bidi w:val="0"/>
              <w:spacing w:before="0" w:after="20"/>
              <w:jc w:val="left"/>
              <w:rPr/>
            </w:pPr>
            <w:r>
              <w:rPr/>
              <w:t> </w:t>
            </w:r>
            <w:r>
              <w:rPr>
                <w:rFonts w:ascii="Times New Roman" w:hAnsi="Times New Roman"/>
                <w:sz w:val="24"/>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810"/>
        <w:gridCol w:w="60"/>
        <w:gridCol w:w="3212"/>
      </w:tblGrid>
      <w:tr>
        <w:trPr/>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2" w:type="dxa"/>
            <w:tcBorders/>
            <w:vAlign w:val="center"/>
          </w:tcPr>
          <w:p>
            <w:pPr>
              <w:pStyle w:val="TableContents"/>
              <w:bidi w:val="0"/>
              <w:spacing w:before="0" w:after="283"/>
              <w:jc w:val="left"/>
              <w:rPr>
                <w:sz w:val="4"/>
                <w:szCs w:val="4"/>
              </w:rPr>
            </w:pPr>
            <w:r>
              <w:rPr>
                <w:sz w:val="4"/>
                <w:szCs w:val="4"/>
              </w:rPr>
            </w:r>
          </w:p>
        </w:tc>
      </w:tr>
      <w:tr>
        <w:trPr/>
        <w:tc>
          <w:tcPr>
            <w:tcW w:w="810" w:type="dxa"/>
            <w:tcBorders/>
            <w:vAlign w:val="bottom"/>
          </w:tcPr>
          <w:p>
            <w:pPr>
              <w:pStyle w:val="TableContents"/>
              <w:bidi w:val="0"/>
              <w:spacing w:before="0" w:after="283"/>
              <w:jc w:val="left"/>
              <w:rPr/>
            </w:pPr>
            <w:r>
              <w:rPr/>
              <w:t>Attest:</w:t>
            </w:r>
          </w:p>
        </w:tc>
        <w:tc>
          <w:tcPr>
            <w:tcW w:w="60" w:type="dxa"/>
            <w:tcBorders/>
            <w:vAlign w:val="bottom"/>
          </w:tcPr>
          <w:p>
            <w:pPr>
              <w:pStyle w:val="TableContents"/>
              <w:bidi w:val="0"/>
              <w:spacing w:before="0" w:after="283"/>
              <w:jc w:val="left"/>
              <w:rPr/>
            </w:pPr>
            <w:r>
              <w:rPr/>
              <w:t> </w:t>
            </w:r>
          </w:p>
        </w:tc>
        <w:tc>
          <w:tcPr>
            <w:tcW w:w="3212" w:type="dxa"/>
            <w:tcBorders/>
            <w:vAlign w:val="bottom"/>
          </w:tcPr>
          <w:p>
            <w:pPr>
              <w:pStyle w:val="TableContents"/>
              <w:pBdr>
                <w:bottom w:val="single" w:sz="2" w:space="1" w:color="000000"/>
              </w:pBdr>
              <w:bidi w:val="0"/>
              <w:spacing w:before="0" w:after="20"/>
              <w:jc w:val="left"/>
              <w:rPr/>
            </w:pPr>
            <w:r>
              <w:rPr/>
              <w:t> </w:t>
            </w:r>
          </w:p>
        </w:tc>
      </w:tr>
      <w:tr>
        <w:trPr/>
        <w:tc>
          <w:tcPr>
            <w:tcW w:w="8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2" w:type="dxa"/>
            <w:tcBorders/>
            <w:vAlign w:val="bottom"/>
          </w:tcPr>
          <w:p>
            <w:pPr>
              <w:pStyle w:val="TableContents"/>
              <w:bidi w:val="0"/>
              <w:spacing w:before="0" w:after="0"/>
              <w:jc w:val="left"/>
              <w:rPr/>
            </w:pPr>
            <w:r>
              <w:rPr/>
              <w:t> </w:t>
            </w:r>
            <w:r>
              <w:rPr>
                <w:rFonts w:ascii="Times New Roman" w:hAnsi="Times New Roman"/>
                <w:sz w:val="24"/>
              </w:rPr>
              <w:t>Name:</w:t>
            </w:r>
          </w:p>
          <w:p>
            <w:pPr>
              <w:pStyle w:val="TableContents"/>
              <w:bidi w:val="0"/>
              <w:spacing w:before="0" w:after="20"/>
              <w:jc w:val="left"/>
              <w:rPr/>
            </w:pPr>
            <w:r>
              <w:rPr/>
              <w:t> </w:t>
            </w:r>
            <w:r>
              <w:rPr>
                <w:rFonts w:ascii="Times New Roman" w:hAnsi="Times New Roman"/>
                <w:sz w:val="24"/>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4"/>
        </w:rPr>
      </w:pPr>
      <w:r>
        <w:rPr>
          <w:rFonts w:ascii="Times New Roman" w:hAnsi="Times New Roman"/>
          <w:sz w:val="24"/>
        </w:rPr>
        <w:t xml:space="preserve">TRUSTEE’S CERTIFICATE OF AUTHENTICATION </w:t>
      </w:r>
    </w:p>
    <w:p>
      <w:pPr>
        <w:pStyle w:val="TextBody"/>
        <w:bidi w:val="0"/>
        <w:spacing w:before="240" w:after="0"/>
        <w:jc w:val="both"/>
        <w:rPr>
          <w:rFonts w:ascii="Times New Roman" w:hAnsi="Times New Roman"/>
          <w:sz w:val="24"/>
        </w:rPr>
      </w:pPr>
      <w:r>
        <w:rPr>
          <w:rFonts w:ascii="Times New Roman" w:hAnsi="Times New Roman"/>
          <w:sz w:val="24"/>
        </w:rPr>
        <w:t xml:space="preserve">This is one of the Securities of the series designated as the Floating Rate Notes due 2029, and issued under the Indenture as described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1"/>
        <w:gridCol w:w="108"/>
        <w:gridCol w:w="392"/>
        <w:gridCol w:w="108"/>
        <w:gridCol w:w="371"/>
        <w:gridCol w:w="108"/>
        <w:gridCol w:w="4707"/>
      </w:tblGrid>
      <w:tr>
        <w:trPr/>
        <w:tc>
          <w:tcPr>
            <w:tcW w:w="441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707"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5186" w:type="dxa"/>
            <w:gridSpan w:val="3"/>
            <w:tcBorders/>
            <w:vAlign w:val="bottom"/>
          </w:tcPr>
          <w:p>
            <w:pPr>
              <w:pStyle w:val="TableContents"/>
              <w:bidi w:val="0"/>
              <w:spacing w:before="0" w:after="0"/>
              <w:jc w:val="left"/>
              <w:rPr>
                <w:rFonts w:ascii="Times New Roman" w:hAnsi="Times New Roman"/>
                <w:sz w:val="24"/>
              </w:rPr>
            </w:pPr>
            <w:r>
              <w:rPr>
                <w:rFonts w:ascii="Times New Roman" w:hAnsi="Times New Roman"/>
                <w:b/>
                <w:sz w:val="24"/>
              </w:rPr>
              <w:t>COMPUTERSHARE TRUST COMPANY</w:t>
              <w:br/>
              <w:t>OF</w:t>
            </w:r>
            <w:r>
              <w:rPr>
                <w:rFonts w:ascii="Times New Roman" w:hAnsi="Times New Roman"/>
                <w:sz w:val="24"/>
              </w:rPr>
              <w:t> </w:t>
            </w:r>
            <w:r>
              <w:rPr>
                <w:rFonts w:ascii="Times New Roman" w:hAnsi="Times New Roman"/>
                <w:b/>
                <w:sz w:val="24"/>
              </w:rPr>
              <w:t>CANADA</w:t>
            </w:r>
            <w:r>
              <w:rPr>
                <w:rFonts w:ascii="Times New Roman" w:hAnsi="Times New Roman"/>
                <w:sz w:val="24"/>
              </w:rPr>
              <w:t>,</w:t>
            </w:r>
          </w:p>
          <w:p>
            <w:pPr>
              <w:pStyle w:val="TableContents"/>
              <w:bidi w:val="0"/>
              <w:spacing w:before="0" w:after="0"/>
              <w:jc w:val="left"/>
              <w:rPr/>
            </w:pPr>
            <w:r>
              <w:rPr/>
              <w:t> </w:t>
            </w:r>
          </w:p>
          <w:p>
            <w:pPr>
              <w:pStyle w:val="TableContents"/>
              <w:bidi w:val="0"/>
              <w:spacing w:before="0" w:after="20"/>
              <w:jc w:val="left"/>
              <w:rPr>
                <w:rFonts w:ascii="Times New Roman" w:hAnsi="Times New Roman"/>
                <w:sz w:val="24"/>
              </w:rPr>
            </w:pPr>
            <w:r>
              <w:rPr>
                <w:rFonts w:ascii="Times New Roman" w:hAnsi="Times New Roman"/>
                <w:sz w:val="24"/>
              </w:rPr>
              <w:t>as Trustee</w:t>
            </w:r>
          </w:p>
        </w:tc>
      </w:tr>
      <w:tr>
        <w:trPr>
          <w:trHeight w:val="360" w:hRule="atLeast"/>
        </w:trPr>
        <w:tc>
          <w:tcPr>
            <w:tcW w:w="4411"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4815" w:type="dxa"/>
            <w:gridSpan w:val="2"/>
            <w:tcBorders/>
            <w:vAlign w:val="center"/>
          </w:tcPr>
          <w:p>
            <w:pPr>
              <w:pStyle w:val="TableContents"/>
              <w:bidi w:val="0"/>
              <w:spacing w:before="0" w:after="283"/>
              <w:jc w:val="left"/>
              <w:rPr>
                <w:sz w:val="4"/>
                <w:szCs w:val="4"/>
              </w:rPr>
            </w:pPr>
            <w:r>
              <w:rPr>
                <w:sz w:val="4"/>
                <w:szCs w:val="4"/>
              </w:rPr>
            </w:r>
          </w:p>
        </w:tc>
      </w:tr>
      <w:tr>
        <w:trPr/>
        <w:tc>
          <w:tcPr>
            <w:tcW w:w="4411" w:type="dxa"/>
            <w:tcBorders/>
            <w:vAlign w:val="bottom"/>
          </w:tcPr>
          <w:p>
            <w:pPr>
              <w:pStyle w:val="TableContents"/>
              <w:bidi w:val="0"/>
              <w:spacing w:before="0" w:after="283"/>
              <w:jc w:val="left"/>
              <w:rPr/>
            </w:pPr>
            <w:r>
              <w:rPr/>
              <w:t>Dated: ●, 20●</w:t>
            </w:r>
          </w:p>
        </w:tc>
        <w:tc>
          <w:tcPr>
            <w:tcW w:w="10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707" w:type="dxa"/>
            <w:tcBorders/>
            <w:vAlign w:val="bottom"/>
          </w:tcPr>
          <w:p>
            <w:pPr>
              <w:pStyle w:val="TableContents"/>
              <w:pBdr>
                <w:bottom w:val="single" w:sz="2" w:space="1" w:color="000000"/>
              </w:pBdr>
              <w:bidi w:val="0"/>
              <w:spacing w:before="0" w:after="20"/>
              <w:jc w:val="left"/>
              <w:rPr/>
            </w:pPr>
            <w:r>
              <w:rPr/>
              <w:t> </w:t>
            </w:r>
          </w:p>
        </w:tc>
      </w:tr>
      <w:tr>
        <w:trPr/>
        <w:tc>
          <w:tcPr>
            <w:tcW w:w="441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707" w:type="dxa"/>
            <w:tcBorders/>
            <w:vAlign w:val="bottom"/>
          </w:tcPr>
          <w:p>
            <w:pPr>
              <w:pStyle w:val="TableContents"/>
              <w:bidi w:val="0"/>
              <w:spacing w:before="0" w:after="283"/>
              <w:jc w:val="left"/>
              <w:rPr/>
            </w:pPr>
            <w:r>
              <w:rPr/>
              <w:t> </w:t>
            </w:r>
            <w:r>
              <w:rPr/>
              <w:t>Authorized Officer</w:t>
            </w:r>
          </w:p>
        </w:tc>
      </w:tr>
    </w:tbl>
    <w:p>
      <w:pPr>
        <w:pStyle w:val="TextBody"/>
        <w:bidi w:val="0"/>
        <w:spacing w:before="0" w:after="0"/>
        <w:jc w:val="both"/>
        <w:rPr>
          <w:rFonts w:ascii="Times New Roman" w:hAnsi="Times New Roman"/>
          <w:sz w:val="24"/>
        </w:rPr>
      </w:pPr>
      <w:r>
        <w:rPr>
          <w:rFonts w:ascii="Times New Roman" w:hAnsi="Times New Roman"/>
          <w:sz w:val="24"/>
        </w:rPr>
        <w:t xml:space="preserve">THIS CERTIFICATE OF THE TRUSTEE SIGNED ON THE SECURITIES WILL NOT BE CONSTRUED AS A REPRESENTATION OR WARRANTY BY THE TRUSTEE AS TO THE VALIDITY OF THE INDENTURE OR OF THE SECURITIES OR OF THEIR ISSUANCE AND THE TRUSTEE WILL IN NO RESPECT BE LIABLE OR ANSWERABLE FOR THE USE MADE OF SUCH SECURITIES OR ANY OF THEM OR THE PROCEEDS THEREOF. THIS CERTIFICATE OF THE TRUSTEE SIGNED ON THE SECURITIES WILL, HOWEVER, BE A REPRESENTATION AND WARRANTY BY THE TRUSTEE THAT THE SECURITIES HAVE BEEN DULY AUTHENTICATED BY OR ON BEHALF OF THE TRUSTEE PURSUANT TO THE PROVISIONS OF THE INDENTURE.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- 31 - </w:t>
      </w:r>
    </w:p>
    <w:p>
      <w:pPr>
        <w:pStyle w:val="TextBody"/>
        <w:bidi w:val="0"/>
        <w:spacing w:before="0" w:after="0"/>
        <w:jc w:val="left"/>
        <w:rPr/>
      </w:pPr>
      <w:r>
        <w:rPr/>
        <w:t> </w:t>
      </w:r>
    </w:p>
    <w:p>
      <w:pPr>
        <w:pStyle w:val="TextBody"/>
        <w:bidi w:val="0"/>
        <w:spacing w:before="0" w:after="0"/>
        <w:jc w:val="center"/>
        <w:rPr>
          <w:rFonts w:ascii="Times New Roman" w:hAnsi="Times New Roman"/>
          <w:b/>
          <w:sz w:val="24"/>
        </w:rPr>
      </w:pPr>
      <w:r>
        <w:rPr>
          <w:rFonts w:ascii="Times New Roman" w:hAnsi="Times New Roman"/>
          <w:b/>
          <w:sz w:val="24"/>
        </w:rPr>
        <w:t xml:space="preserve">Reverse of Security </w:t>
      </w:r>
    </w:p>
    <w:p>
      <w:pPr>
        <w:pStyle w:val="TextBody"/>
        <w:bidi w:val="0"/>
        <w:spacing w:before="240" w:after="0"/>
        <w:jc w:val="both"/>
        <w:rPr>
          <w:rFonts w:ascii="Times New Roman" w:hAnsi="Times New Roman"/>
          <w:sz w:val="24"/>
        </w:rPr>
      </w:pPr>
      <w:r>
        <w:rPr>
          <w:rFonts w:ascii="Times New Roman" w:hAnsi="Times New Roman"/>
          <w:sz w:val="24"/>
        </w:rPr>
        <w:t xml:space="preserve">This Security is one of a duly authorized issue of securities of the Corporation designated as its Floating Rate Notes due 2029 (herein called the “Securities”) issued under an indenture dated as of September 17, 2026 (herein called the “Base Indenture”) among the Corporation, West Publishing Corporation (“West Publishing”), Thomson Reuters Applications Inc. (“Thomson Reuters Applications”) and Thomson Reuters (Tax &amp; Accounting) Inc. (“Thomson Reuters (Tax &amp; Accounting)” and together, with West Publishing and Thomson Reuters Applications, the “Subsidiary Guarantors”), Computershare Trust Company of Canada, as Canadian trustee (herein called the “Trustee”, which term includes any successor trustee under the Indenture) and Deutsche Bank Trust Company Americas, as U.S. trustee (herein called the “U.S. Trustee”) and a First Supplemental Indenture between the Corporation, the Subsidiary Guarantors, the Trustee and the U.S. Trustee as of September 17, 2026 (the “First Supplemental Indenture,” and collectively referred to herein as, the “Indenture”), to which Indenture and all indentures supplemental thereto reference is hereby made for a statement of the respective rights, limitations of rights, duties, obligations and immunities thereunder of the Corporation, the Trustee and the Holders, and of the terms upon which the Securities are, and are to be, authenticated and delivered. This Security is a global Security representing C$● aggregate principal amount of the Securities. </w:t>
      </w:r>
    </w:p>
    <w:p>
      <w:pPr>
        <w:pStyle w:val="TextBody"/>
        <w:bidi w:val="0"/>
        <w:spacing w:before="240" w:after="0"/>
        <w:jc w:val="both"/>
        <w:rPr>
          <w:rFonts w:ascii="Times New Roman" w:hAnsi="Times New Roman"/>
          <w:sz w:val="24"/>
        </w:rPr>
      </w:pPr>
      <w:r>
        <w:rPr>
          <w:rFonts w:ascii="Times New Roman" w:hAnsi="Times New Roman"/>
          <w:sz w:val="24"/>
        </w:rPr>
        <w:t xml:space="preserve">The Securities will be direct, unsecured obligations of the Corporation and will initially be guaranteed by the Subsidiary Guarantors. The Securities will rank equally with all other unsecured and unsubordinated indebtedness of the Corporation. </w:t>
      </w:r>
    </w:p>
    <w:p>
      <w:pPr>
        <w:pStyle w:val="TextBody"/>
        <w:bidi w:val="0"/>
        <w:spacing w:before="240" w:after="0"/>
        <w:jc w:val="both"/>
        <w:rPr>
          <w:rFonts w:ascii="Times New Roman" w:hAnsi="Times New Roman"/>
          <w:sz w:val="24"/>
        </w:rPr>
      </w:pPr>
      <w:r>
        <w:rPr>
          <w:rFonts w:ascii="Times New Roman" w:hAnsi="Times New Roman"/>
          <w:sz w:val="24"/>
        </w:rPr>
        <w:t xml:space="preserve">Payment of the principal of (and premium, if any, on) and interest on this Security will be made at the office or agency of the Corporation maintained or caused to be maintained for that purpose in Toronto, Ontario or at such other office or agency of the Corporation as may be maintained or caused to be maintained for such purpose, in such coin or currency of Canada as at the time of payment is legal tender for payment of public and private debts; provided, however, that payment of the principal (and premium, if any) and interest may be made at the option of the Corporation (i) by cheque mailed to the address of the Person entitled thereto as such address shall appear on the Security Register or (ii) by wire transfer to an account maintained by the payee located in the United States or Canada; provided, that principal paid in relation to any Security, redeemed at the option of the Corporation or upon Maturity, shall be paid to the Holder of such Security only upon presentation and surrender of such Security to such office or agency referred to above. </w:t>
      </w:r>
    </w:p>
    <w:p>
      <w:pPr>
        <w:pStyle w:val="TextBody"/>
        <w:bidi w:val="0"/>
        <w:spacing w:before="240" w:after="0"/>
        <w:jc w:val="both"/>
        <w:rPr>
          <w:rFonts w:ascii="Times New Roman" w:hAnsi="Times New Roman"/>
          <w:sz w:val="24"/>
        </w:rPr>
      </w:pPr>
      <w:r>
        <w:rPr>
          <w:rFonts w:ascii="Times New Roman" w:hAnsi="Times New Roman"/>
          <w:sz w:val="24"/>
        </w:rPr>
        <w:t xml:space="preserve">This Security is not subject to any sinking fund. </w:t>
      </w:r>
    </w:p>
    <w:p>
      <w:pPr>
        <w:pStyle w:val="TextBody"/>
        <w:bidi w:val="0"/>
        <w:spacing w:before="240" w:after="0"/>
        <w:jc w:val="both"/>
        <w:rPr>
          <w:rFonts w:ascii="Times New Roman" w:hAnsi="Times New Roman"/>
          <w:sz w:val="24"/>
        </w:rPr>
      </w:pPr>
      <w:r>
        <w:rPr>
          <w:rFonts w:ascii="Times New Roman" w:hAnsi="Times New Roman"/>
          <w:sz w:val="24"/>
        </w:rPr>
        <w:t xml:space="preserve">Where any Non-Canadian Person (i) assumes the Corporation’s obligations hereunder as a result of an amalgamation, consolidation, merger, conveyance, transfer or lease effected in compliance with Article Eight of the Indenture or (ii) becomes a Co-Obligor under the Securities in accordance with Section 2.03(k) of the First Supplemental Indenture, (A) such Non-Canadian Person will pay to the Holders such additional amounts as may be payable under the First Supplemental Indenture and (B) the Securities will be redeemable, at such Non-Canadian Person’s option, in whole and not in part, at any time, on the other terms and conditions as set forth in the First Supplemental Indenture. </w:t>
      </w:r>
    </w:p>
    <w:p>
      <w:pPr>
        <w:pStyle w:val="TextBody"/>
        <w:bidi w:val="0"/>
        <w:spacing w:before="240" w:after="0"/>
        <w:jc w:val="both"/>
        <w:rPr>
          <w:rFonts w:ascii="Times New Roman" w:hAnsi="Times New Roman"/>
          <w:sz w:val="24"/>
        </w:rPr>
      </w:pPr>
      <w:r>
        <w:rPr>
          <w:rFonts w:ascii="Times New Roman" w:hAnsi="Times New Roman"/>
          <w:sz w:val="24"/>
        </w:rPr>
        <w:t xml:space="preserve">The Notes shall be redeemable at the election of the Company on any Interest Payment Date (provided that in each case if such date is not a Bank of Canada Business Day, then such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- 32 -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redemption date will be the next following Bank of Canada Business Day unless such day falls in the next calendar month, in which case the relevant redemption date shall be the immediately preceding Bank of Canada Business Day), in whole or in part, from time to time, at the applicable Redemption Price and on the other terms and conditions as set forth in the First Supplemental Indenture. </w:t>
      </w:r>
    </w:p>
    <w:p>
      <w:pPr>
        <w:pStyle w:val="TextBody"/>
        <w:bidi w:val="0"/>
        <w:spacing w:before="240" w:after="0"/>
        <w:jc w:val="both"/>
        <w:rPr>
          <w:rFonts w:ascii="Times New Roman" w:hAnsi="Times New Roman"/>
          <w:sz w:val="24"/>
        </w:rPr>
      </w:pPr>
      <w:r>
        <w:rPr>
          <w:rFonts w:ascii="Times New Roman" w:hAnsi="Times New Roman"/>
          <w:sz w:val="24"/>
        </w:rPr>
        <w:t xml:space="preserve">In the case of any redemption of Securities, interest installments whose Stated Maturity is on or prior to the Redemption Date will be payable to the Holders of such Securities of record at the close of business on the relevant record date referred to on the face hereof. Securities (or portions thereof) for whose redemption provision is made in accordance with the Indenture shall cease to bear interest from and after the Redemption Date. </w:t>
      </w:r>
    </w:p>
    <w:p>
      <w:pPr>
        <w:pStyle w:val="TextBody"/>
        <w:bidi w:val="0"/>
        <w:spacing w:before="240" w:after="0"/>
        <w:jc w:val="both"/>
        <w:rPr>
          <w:rFonts w:ascii="Times New Roman" w:hAnsi="Times New Roman"/>
          <w:sz w:val="24"/>
        </w:rPr>
      </w:pPr>
      <w:r>
        <w:rPr>
          <w:rFonts w:ascii="Times New Roman" w:hAnsi="Times New Roman"/>
          <w:sz w:val="24"/>
        </w:rPr>
        <w:t xml:space="preserve">In the event of redemption of this Security in part only, a new Security or Securities for the unredeemed portion hereof shall be issued in the name of the Holder hereof upon the cancellation hereof. </w:t>
      </w:r>
    </w:p>
    <w:p>
      <w:pPr>
        <w:pStyle w:val="TextBody"/>
        <w:bidi w:val="0"/>
        <w:spacing w:before="240" w:after="0"/>
        <w:jc w:val="both"/>
        <w:rPr>
          <w:rFonts w:ascii="Times New Roman" w:hAnsi="Times New Roman"/>
          <w:sz w:val="24"/>
        </w:rPr>
      </w:pPr>
      <w:r>
        <w:rPr>
          <w:rFonts w:ascii="Times New Roman" w:hAnsi="Times New Roman"/>
          <w:sz w:val="24"/>
        </w:rPr>
        <w:t xml:space="preserve">The Securities will be subject to certain restrictive covenants as provided in the First Supplemental Indenture. If a Change of Control Triggering Event (as defined in the First Supplemental Indenture) occurs, unless the Corporation has exercised its right to redeem the Securities, the Corporation will be required to make an offer to repurchase the Securities on the terms and subject to the conditions set forth in Section 2.03(m) of the First Supplemental Indenture except that the Corporation will not be required to make such an offer if a third party makes such an offer in the manner, at the times and otherwise in compliance with the requirements for an offer made by the Corporation, and such third party purchases all Securities properly tendered and not withdrawn under its offer. </w:t>
      </w:r>
    </w:p>
    <w:p>
      <w:pPr>
        <w:pStyle w:val="TextBody"/>
        <w:bidi w:val="0"/>
        <w:spacing w:before="240" w:after="0"/>
        <w:jc w:val="both"/>
        <w:rPr>
          <w:rFonts w:ascii="Times New Roman" w:hAnsi="Times New Roman"/>
          <w:sz w:val="24"/>
        </w:rPr>
      </w:pPr>
      <w:r>
        <w:rPr>
          <w:rFonts w:ascii="Times New Roman" w:hAnsi="Times New Roman"/>
          <w:sz w:val="24"/>
        </w:rPr>
        <w:t xml:space="preserve">If an Event of Default (including any additional Events of Default as set forth in the First Supplemental Indenture) shall occur and be continuing, the principal of the Securities may be declared due and payable in the manner and with the effect provided in the Indenture. </w:t>
      </w:r>
    </w:p>
    <w:p>
      <w:pPr>
        <w:pStyle w:val="TextBody"/>
        <w:bidi w:val="0"/>
        <w:spacing w:before="240" w:after="0"/>
        <w:jc w:val="both"/>
        <w:rPr>
          <w:rFonts w:ascii="Times New Roman" w:hAnsi="Times New Roman"/>
          <w:sz w:val="24"/>
        </w:rPr>
      </w:pPr>
      <w:r>
        <w:rPr>
          <w:rFonts w:ascii="Times New Roman" w:hAnsi="Times New Roman"/>
          <w:sz w:val="24"/>
        </w:rPr>
        <w:t xml:space="preserve">The Indenture contains provisions for defeasance at any time of (a) the entire indebtedness of the Corporation on this Security and (b) certain restrictive covenants and the related Defaults and Events of Default, in each case upon compliance by the Corporation with certain conditions set forth therein, which provisions apply to this Security. </w:t>
      </w:r>
    </w:p>
    <w:p>
      <w:pPr>
        <w:pStyle w:val="TextBody"/>
        <w:bidi w:val="0"/>
        <w:spacing w:before="240" w:after="0"/>
        <w:jc w:val="both"/>
        <w:rPr>
          <w:rFonts w:ascii="Times New Roman" w:hAnsi="Times New Roman"/>
          <w:sz w:val="24"/>
        </w:rPr>
      </w:pPr>
      <w:r>
        <w:rPr>
          <w:rFonts w:ascii="Times New Roman" w:hAnsi="Times New Roman"/>
          <w:sz w:val="24"/>
        </w:rPr>
        <w:t xml:space="preserve">The Corporation has the right at any time, without notice to or consent of the Holders, to designate one of its Wholly-Owned Subsidiaries (as defined in the First Supplemental Indenture) to assume, as co-obligor (a “Co-Obligor”) on a joint and several basis with the Corporation, all obligations of the Corporation under the Indenture (insofar as it applies to the Securities) and the Securities, provided that the conditions set out in the Indenture are satisfied. The obligations of the Co-Obligor under the Securities shall rank equally with all of the Co-Obligor’s other unsecured and unsubordinated obligations. </w:t>
      </w:r>
    </w:p>
    <w:p>
      <w:pPr>
        <w:pStyle w:val="TextBody"/>
        <w:bidi w:val="0"/>
        <w:spacing w:before="240" w:after="0"/>
        <w:jc w:val="both"/>
        <w:rPr>
          <w:rFonts w:ascii="Times New Roman" w:hAnsi="Times New Roman"/>
          <w:sz w:val="24"/>
        </w:rPr>
      </w:pPr>
      <w:r>
        <w:rPr>
          <w:rFonts w:ascii="Times New Roman" w:hAnsi="Times New Roman"/>
          <w:sz w:val="24"/>
        </w:rPr>
        <w:t xml:space="preserve">The Indenture permits, with certain exceptions as therein provided, the amendment thereof and the modification of the rights and obligations of the Corporation and the rights of the Holders of the Securities of such series affected thereby under the Indenture at any time by the Corporation and the Trustee with the consent of the Holders of not less than a majority in aggregate principal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- 33 -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amount of all affected Securities at the time Outstanding. The Indenture also contains provisions permitting the Holders of specified percentages in aggregate principal amount of the Securities at the time Outstanding, on behalf of the Holders of all the Securities affected thereby, to waive compliance by the Corporation with certain provisions of the Indenture and certain past defaults under the Indenture and their consequences. Any such consent or waiver by or on behalf of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both"/>
        <w:rPr>
          <w:rFonts w:ascii="Times New Roman" w:hAnsi="Times New Roman"/>
          <w:sz w:val="24"/>
        </w:rPr>
      </w:pPr>
      <w:r>
        <w:rPr>
          <w:rFonts w:ascii="Times New Roman" w:hAnsi="Times New Roman"/>
          <w:sz w:val="24"/>
        </w:rPr>
        <w:t xml:space="preserve">The Corporation may from time to time, without notice to or the consent of the Holders, create and issue further Securities ranking </w:t>
      </w:r>
      <w:r>
        <w:rPr>
          <w:rFonts w:ascii="Times New Roman" w:hAnsi="Times New Roman"/>
          <w:i/>
          <w:sz w:val="24"/>
        </w:rPr>
        <w:t>pari passu</w:t>
      </w:r>
      <w:r>
        <w:rPr>
          <w:rFonts w:ascii="Times New Roman" w:hAnsi="Times New Roman"/>
          <w:sz w:val="24"/>
        </w:rPr>
        <w:t xml:space="preserve"> with the Securities in all respects (or in all respects except for the payment of interest accruing prior to the issue date of the Securities or except for the first payment of interest following the issue date of the Securities) and so that such further Securities may be consolidated and form a single series with the Securities and have the same terms as to status, redemption or otherwise as the Securities. </w:t>
      </w:r>
    </w:p>
    <w:p>
      <w:pPr>
        <w:pStyle w:val="TextBody"/>
        <w:bidi w:val="0"/>
        <w:spacing w:before="240" w:after="0"/>
        <w:jc w:val="both"/>
        <w:rPr>
          <w:rFonts w:ascii="Times New Roman" w:hAnsi="Times New Roman"/>
          <w:sz w:val="24"/>
        </w:rPr>
      </w:pPr>
      <w:r>
        <w:rPr>
          <w:rFonts w:ascii="Times New Roman" w:hAnsi="Times New Roman"/>
          <w:sz w:val="24"/>
        </w:rPr>
        <w:t xml:space="preserve">No reference herein to the Indenture and no provision of this Security or of the Indenture shall alter or impair the obligation of the Corporation, which is absolute and unconditional, to pay the principal of (and premium, if any, on) and interest on this Security at the times, place, and rate, and in the coin or currency, herein prescribed. </w:t>
      </w:r>
    </w:p>
    <w:p>
      <w:pPr>
        <w:pStyle w:val="TextBody"/>
        <w:bidi w:val="0"/>
        <w:spacing w:before="240" w:after="0"/>
        <w:jc w:val="both"/>
        <w:rPr>
          <w:rFonts w:ascii="Times New Roman" w:hAnsi="Times New Roman"/>
          <w:sz w:val="24"/>
        </w:rPr>
      </w:pPr>
      <w:r>
        <w:rPr>
          <w:rFonts w:ascii="Times New Roman" w:hAnsi="Times New Roman"/>
          <w:sz w:val="24"/>
        </w:rPr>
        <w:t xml:space="preserve">As provided in the Indenture and subject to certain limitations therein set forth, the transfer of this Security is registerable on the Security Register of the Corporation, upon surrender of this Security for registration of transfer at the office or agency of the Corporation maintained or caused to be maintained for such purpose in the Province of Ontario or at a central register maintained by the Trustee at the Corporate Trust Office in Toronto, Ontario, duly endorsed by, or accompanied by a written instrument of transfer in form satisfactory to the Corporation and the Security Registrar duly executed by, the Holder hereof or his attorney duly authorized in writing, and thereupon one or more new Securities, of authorized denominations and for the same aggregate principal amount, will be issued to the designated transferee or transferees. </w:t>
      </w:r>
    </w:p>
    <w:p>
      <w:pPr>
        <w:pStyle w:val="TextBody"/>
        <w:bidi w:val="0"/>
        <w:spacing w:before="240" w:after="0"/>
        <w:jc w:val="both"/>
        <w:rPr>
          <w:rFonts w:ascii="Times New Roman" w:hAnsi="Times New Roman"/>
          <w:sz w:val="24"/>
        </w:rPr>
      </w:pPr>
      <w:r>
        <w:rPr>
          <w:rFonts w:ascii="Times New Roman" w:hAnsi="Times New Roman"/>
          <w:sz w:val="24"/>
        </w:rPr>
        <w:t xml:space="preserve">The Securities are issuable only in registered form without coupons in initial denominations of C$2,000 and subsequent multiples of C$1,000 in excess thereof. As provided in the Indenture and subject to certain limitations therein set forth, the Securities are exchangeable for a like aggregate principal amount of Securities of a different authorized denomination, as requested by the Holder surrendering the same. </w:t>
      </w:r>
    </w:p>
    <w:p>
      <w:pPr>
        <w:pStyle w:val="TextBody"/>
        <w:bidi w:val="0"/>
        <w:spacing w:before="240" w:after="0"/>
        <w:jc w:val="both"/>
        <w:rPr>
          <w:rFonts w:ascii="Times New Roman" w:hAnsi="Times New Roman"/>
          <w:sz w:val="24"/>
        </w:rPr>
      </w:pPr>
      <w:r>
        <w:rPr>
          <w:rFonts w:ascii="Times New Roman" w:hAnsi="Times New Roman"/>
          <w:sz w:val="24"/>
        </w:rPr>
        <w:t xml:space="preserve">No service charge shall be made for any registration of transfer or exchange of Securities, but the Corporation may require payment of a sum sufficient to cover any tax or other governmental charge imposed in connection therewith, other than certain exchanges as specified in the Indenture. </w:t>
      </w:r>
    </w:p>
    <w:p>
      <w:pPr>
        <w:pStyle w:val="TextBody"/>
        <w:bidi w:val="0"/>
        <w:spacing w:before="240" w:after="0"/>
        <w:jc w:val="both"/>
        <w:rPr>
          <w:rFonts w:ascii="Times New Roman" w:hAnsi="Times New Roman"/>
          <w:sz w:val="24"/>
        </w:rPr>
      </w:pPr>
      <w:r>
        <w:rPr>
          <w:rFonts w:ascii="Times New Roman" w:hAnsi="Times New Roman"/>
          <w:sz w:val="24"/>
        </w:rPr>
        <w:t xml:space="preserve">Prior to the time of due presentment of this Security for registration of transfer, the Corporation, the Trustee and any agent of the Corporation or the Trustee may treat the Person in whose name this Security is registered as the owner hereof for all purposes, whether or not this Security be overdue, and none of the Corporation, the Trustee or any agent shall be affected by notice to the contrary.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Any money that the Corporation deposits with the Trustee or any Paying Agent or held by the Corporation in trust for the payment of principal of (or premium, if any) or any interest on the Securities that remains unclaimed for two years after the date upon which the principal, premium, if any, or interest are due and payable, will be repaid to the Corporation upon the Corporation’s request subject to the mandatory provisions of any applicable unclaimed property law. After that time, unless otherwise required by mandatory provisions of any unclaimed property law, the Holder will be able to seek any payment to which that Holder may be entitled to collect only from the Corporation. </w:t>
      </w:r>
    </w:p>
    <w:p>
      <w:pPr>
        <w:pStyle w:val="TextBody"/>
        <w:bidi w:val="0"/>
        <w:spacing w:before="240" w:after="0"/>
        <w:jc w:val="both"/>
        <w:rPr>
          <w:rFonts w:ascii="Times New Roman" w:hAnsi="Times New Roman"/>
          <w:sz w:val="24"/>
        </w:rPr>
      </w:pPr>
      <w:r>
        <w:rPr>
          <w:rFonts w:ascii="Times New Roman" w:hAnsi="Times New Roman"/>
          <w:sz w:val="24"/>
        </w:rPr>
        <w:t xml:space="preserve">The Corporation’s obligation to pay the principal of (or premium, if any) and interest on the Securities will cease if the Securities are not presented for payment within a period of ten years and a claim for interest is not made within five years from the date on which such principal, premium, if any, or interest, as the case may be, becomes due and payable. </w:t>
      </w:r>
    </w:p>
    <w:p>
      <w:pPr>
        <w:pStyle w:val="TextBody"/>
        <w:bidi w:val="0"/>
        <w:spacing w:before="240" w:after="0"/>
        <w:jc w:val="both"/>
        <w:rPr>
          <w:rFonts w:ascii="Times New Roman" w:hAnsi="Times New Roman"/>
          <w:sz w:val="24"/>
        </w:rPr>
      </w:pPr>
      <w:r>
        <w:rPr>
          <w:rFonts w:ascii="Times New Roman" w:hAnsi="Times New Roman"/>
          <w:sz w:val="24"/>
        </w:rPr>
        <w:t xml:space="preserve">The Indenture and this Security shall be governed by and construed in accordance with the laws of the State of New York. The exercise, performance or discharge by the Canadian Trustee of any of its rights, powers, duties or responsibilities thereunder shall be construed in accordance with the laws of the Province of Ontario and the federal laws of Canada applicable thereto. </w:t>
      </w:r>
    </w:p>
    <w:p>
      <w:pPr>
        <w:pStyle w:val="TextBody"/>
        <w:bidi w:val="0"/>
        <w:spacing w:before="240" w:after="0"/>
        <w:jc w:val="both"/>
        <w:rPr>
          <w:rFonts w:ascii="Times New Roman" w:hAnsi="Times New Roman"/>
          <w:sz w:val="24"/>
        </w:rPr>
      </w:pPr>
      <w:r>
        <w:rPr>
          <w:rFonts w:ascii="Times New Roman" w:hAnsi="Times New Roman"/>
          <w:sz w:val="24"/>
        </w:rPr>
        <w:t xml:space="preserve">All terms used in this Security which are defined in the Indenture shall have the meanings assigned to them in the Indenture. </w:t>
      </w:r>
    </w:p>
    <w:p>
      <w:pPr>
        <w:pStyle w:val="TextBody"/>
        <w:bidi w:val="0"/>
        <w:spacing w:before="0" w:after="0"/>
        <w:jc w:val="right"/>
        <w:rPr>
          <w:rFonts w:ascii="Times New Roman" w:hAnsi="Times New Roman"/>
          <w:b/>
          <w:sz w:val="24"/>
        </w:rPr>
      </w:pPr>
      <w:bookmarkStart w:id="146" w:name="d528636dex993.htm"/>
      <w:bookmarkStart w:id="147" w:name="ksd528636dex993"/>
      <w:bookmarkEnd w:id="146"/>
      <w:bookmarkEnd w:id="147"/>
      <w:r>
        <w:rPr>
          <w:rFonts w:ascii="Times New Roman" w:hAnsi="Times New Roman"/>
          <w:b/>
          <w:sz w:val="24"/>
        </w:rPr>
        <w:t xml:space="preserve">Exhibit 99.3 </w:t>
      </w:r>
      <w:r>
        <w:br w:type="page"/>
      </w:r>
    </w:p>
    <w:p>
      <w:pPr>
        <w:pStyle w:val="TextBody"/>
        <w:bidi w:val="0"/>
        <w:spacing w:before="240" w:after="0"/>
        <w:jc w:val="center"/>
        <w:rPr>
          <w:rFonts w:ascii="Times New Roman" w:hAnsi="Times New Roman"/>
          <w:sz w:val="24"/>
        </w:rPr>
      </w:pPr>
      <w:r>
        <w:rPr>
          <w:rFonts w:ascii="Times New Roman" w:hAnsi="Times New Roman"/>
          <w:sz w:val="24"/>
        </w:rPr>
        <w:t xml:space="preserve">SECOND SUPPLEMENTAL INDENTURE </w:t>
      </w:r>
    </w:p>
    <w:p>
      <w:pPr>
        <w:pStyle w:val="TextBody"/>
        <w:bidi w:val="0"/>
        <w:spacing w:before="240" w:after="0"/>
        <w:jc w:val="center"/>
        <w:rPr>
          <w:rFonts w:ascii="Times New Roman" w:hAnsi="Times New Roman"/>
          <w:sz w:val="24"/>
        </w:rPr>
      </w:pPr>
      <w:r>
        <w:rPr>
          <w:rFonts w:ascii="Times New Roman" w:hAnsi="Times New Roman"/>
          <w:sz w:val="24"/>
        </w:rPr>
        <w:t xml:space="preserve">Dated as of September 17, 2026 </w:t>
      </w:r>
    </w:p>
    <w:p>
      <w:pPr>
        <w:pStyle w:val="TextBody"/>
        <w:bidi w:val="0"/>
        <w:spacing w:before="240" w:after="0"/>
        <w:jc w:val="center"/>
        <w:rPr>
          <w:rFonts w:ascii="Times New Roman" w:hAnsi="Times New Roman"/>
          <w:sz w:val="24"/>
        </w:rPr>
      </w:pPr>
      <w:r>
        <w:rPr>
          <w:rFonts w:ascii="Times New Roman" w:hAnsi="Times New Roman"/>
          <w:sz w:val="24"/>
        </w:rPr>
        <w:t xml:space="preserve">among </w:t>
      </w:r>
    </w:p>
    <w:p>
      <w:pPr>
        <w:pStyle w:val="TextBody"/>
        <w:bidi w:val="0"/>
        <w:spacing w:before="240" w:after="0"/>
        <w:jc w:val="center"/>
        <w:rPr>
          <w:rFonts w:ascii="Times New Roman" w:hAnsi="Times New Roman"/>
          <w:sz w:val="24"/>
        </w:rPr>
      </w:pPr>
      <w:r>
        <w:rPr>
          <w:rFonts w:ascii="Times New Roman" w:hAnsi="Times New Roman"/>
          <w:sz w:val="24"/>
        </w:rPr>
        <w:t xml:space="preserve">THOMSON REUTERS CORPORATION, </w:t>
      </w:r>
    </w:p>
    <w:p>
      <w:pPr>
        <w:pStyle w:val="TextBody"/>
        <w:bidi w:val="0"/>
        <w:spacing w:before="0" w:after="0"/>
        <w:jc w:val="center"/>
        <w:rPr>
          <w:rFonts w:ascii="Times New Roman" w:hAnsi="Times New Roman"/>
          <w:sz w:val="24"/>
        </w:rPr>
      </w:pPr>
      <w:r>
        <w:rPr>
          <w:rFonts w:ascii="Times New Roman" w:hAnsi="Times New Roman"/>
          <w:sz w:val="24"/>
        </w:rPr>
        <w:t xml:space="preserve">as Issuer, </w:t>
      </w:r>
    </w:p>
    <w:p>
      <w:pPr>
        <w:pStyle w:val="TextBody"/>
        <w:bidi w:val="0"/>
        <w:spacing w:before="240" w:after="0"/>
        <w:jc w:val="center"/>
        <w:rPr>
          <w:rFonts w:ascii="Times New Roman" w:hAnsi="Times New Roman"/>
          <w:sz w:val="24"/>
        </w:rPr>
      </w:pPr>
      <w:r>
        <w:rPr>
          <w:rFonts w:ascii="Times New Roman" w:hAnsi="Times New Roman"/>
          <w:sz w:val="24"/>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THE SUBSIDIARY GUARANTORS PARTY HERETO </w:t>
      </w:r>
    </w:p>
    <w:p>
      <w:pPr>
        <w:pStyle w:val="TextBody"/>
        <w:bidi w:val="0"/>
        <w:spacing w:before="240" w:after="0"/>
        <w:jc w:val="center"/>
        <w:rPr>
          <w:rFonts w:ascii="Times New Roman" w:hAnsi="Times New Roman"/>
          <w:sz w:val="24"/>
        </w:rPr>
      </w:pPr>
      <w:r>
        <w:rPr>
          <w:rFonts w:ascii="Times New Roman" w:hAnsi="Times New Roman"/>
          <w:sz w:val="24"/>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COMPUTERSHARE TRUST COMPANY OF CANADA, </w:t>
      </w:r>
    </w:p>
    <w:p>
      <w:pPr>
        <w:pStyle w:val="TextBody"/>
        <w:bidi w:val="0"/>
        <w:spacing w:before="0" w:after="0"/>
        <w:jc w:val="center"/>
        <w:rPr>
          <w:rFonts w:ascii="Times New Roman" w:hAnsi="Times New Roman"/>
          <w:sz w:val="24"/>
        </w:rPr>
      </w:pPr>
      <w:r>
        <w:rPr>
          <w:rFonts w:ascii="Times New Roman" w:hAnsi="Times New Roman"/>
          <w:sz w:val="24"/>
        </w:rPr>
        <w:t xml:space="preserve">as Notes Trustee, </w:t>
      </w:r>
    </w:p>
    <w:p>
      <w:pPr>
        <w:pStyle w:val="TextBody"/>
        <w:bidi w:val="0"/>
        <w:spacing w:before="240" w:after="0"/>
        <w:jc w:val="center"/>
        <w:rPr>
          <w:rFonts w:ascii="Times New Roman" w:hAnsi="Times New Roman"/>
          <w:sz w:val="24"/>
        </w:rPr>
      </w:pPr>
      <w:r>
        <w:rPr>
          <w:rFonts w:ascii="Times New Roman" w:hAnsi="Times New Roman"/>
          <w:sz w:val="24"/>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DEUTSCHE BANK TRUST COMPANY AMERICAS, </w:t>
      </w:r>
    </w:p>
    <w:p>
      <w:pPr>
        <w:pStyle w:val="TextBody"/>
        <w:bidi w:val="0"/>
        <w:spacing w:before="0" w:after="0"/>
        <w:jc w:val="center"/>
        <w:rPr>
          <w:rFonts w:ascii="Times New Roman" w:hAnsi="Times New Roman"/>
          <w:sz w:val="24"/>
        </w:rPr>
      </w:pPr>
      <w:r>
        <w:rPr>
          <w:rFonts w:ascii="Times New Roman" w:hAnsi="Times New Roman"/>
          <w:sz w:val="24"/>
        </w:rPr>
        <w:t xml:space="preserve">as Co-Trustee, </w:t>
      </w:r>
    </w:p>
    <w:p>
      <w:pPr>
        <w:pStyle w:val="TextBody"/>
        <w:bidi w:val="0"/>
        <w:spacing w:before="240" w:after="0"/>
        <w:jc w:val="center"/>
        <w:rPr>
          <w:rFonts w:ascii="Times New Roman" w:hAnsi="Times New Roman"/>
          <w:sz w:val="24"/>
        </w:rPr>
      </w:pPr>
      <w:r>
        <w:rPr>
          <w:rFonts w:ascii="Times New Roman" w:hAnsi="Times New Roman"/>
          <w:sz w:val="24"/>
        </w:rPr>
        <w:t xml:space="preserve">to </w:t>
      </w:r>
    </w:p>
    <w:p>
      <w:pPr>
        <w:pStyle w:val="TextBody"/>
        <w:bidi w:val="0"/>
        <w:spacing w:before="240" w:after="0"/>
        <w:jc w:val="center"/>
        <w:rPr>
          <w:rFonts w:ascii="Times New Roman" w:hAnsi="Times New Roman"/>
          <w:sz w:val="24"/>
        </w:rPr>
      </w:pPr>
      <w:r>
        <w:rPr>
          <w:rFonts w:ascii="Times New Roman" w:hAnsi="Times New Roman"/>
          <w:sz w:val="24"/>
        </w:rPr>
        <w:t xml:space="preserve">INDENTURE </w:t>
      </w:r>
    </w:p>
    <w:p>
      <w:pPr>
        <w:pStyle w:val="TextBody"/>
        <w:bidi w:val="0"/>
        <w:spacing w:before="240" w:after="0"/>
        <w:jc w:val="center"/>
        <w:rPr>
          <w:rFonts w:ascii="Times New Roman" w:hAnsi="Times New Roman"/>
          <w:sz w:val="24"/>
        </w:rPr>
      </w:pPr>
      <w:r>
        <w:rPr>
          <w:rFonts w:ascii="Times New Roman" w:hAnsi="Times New Roman"/>
          <w:sz w:val="24"/>
        </w:rPr>
        <w:t xml:space="preserve">Dated as of September 17,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4"/>
        </w:rPr>
      </w:pPr>
      <w:r>
        <w:rPr>
          <w:rFonts w:ascii="Times New Roman" w:hAnsi="Times New Roman"/>
          <w:sz w:val="24"/>
        </w:rPr>
        <w:t xml:space="preserve">4.130% Notes due 2029 </w:t>
      </w:r>
    </w:p>
    <w:p>
      <w:pPr>
        <w:pStyle w:val="TextBody"/>
        <w:bidi w:val="0"/>
        <w:spacing w:before="0" w:after="0"/>
        <w:jc w:val="center"/>
        <w:rPr>
          <w:rFonts w:ascii="Times New Roman" w:hAnsi="Times New Roman"/>
          <w:sz w:val="24"/>
        </w:rPr>
      </w:pPr>
      <w:r>
        <w:rPr>
          <w:rFonts w:ascii="Times New Roman" w:hAnsi="Times New Roman"/>
          <w:sz w:val="24"/>
        </w:rPr>
        <w:t xml:space="preserve">4.480% Notes due 2031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This Second Supplemental Indenture, dated as of the 17th day of September, 2026, among Thomson Reuters Corporation, a corporation organized under the laws of the Province of Ontario (hereinafter called the “</w:t>
      </w:r>
      <w:r>
        <w:rPr>
          <w:rFonts w:ascii="Times New Roman" w:hAnsi="Times New Roman"/>
          <w:b/>
          <w:sz w:val="24"/>
        </w:rPr>
        <w:t>Company</w:t>
      </w:r>
      <w:r>
        <w:rPr>
          <w:rFonts w:ascii="Times New Roman" w:hAnsi="Times New Roman"/>
          <w:sz w:val="24"/>
        </w:rPr>
        <w:t>”), West Publishing Corporation, a corporation formed under the laws of the State of Minnesota (herein called “</w:t>
      </w:r>
      <w:r>
        <w:rPr>
          <w:rFonts w:ascii="Times New Roman" w:hAnsi="Times New Roman"/>
          <w:b/>
          <w:sz w:val="24"/>
        </w:rPr>
        <w:t>West</w:t>
      </w:r>
      <w:r>
        <w:rPr>
          <w:rFonts w:ascii="Times New Roman" w:hAnsi="Times New Roman"/>
          <w:sz w:val="24"/>
        </w:rPr>
        <w:t xml:space="preserve"> </w:t>
      </w:r>
      <w:r>
        <w:rPr>
          <w:rFonts w:ascii="Times New Roman" w:hAnsi="Times New Roman"/>
          <w:b/>
          <w:sz w:val="24"/>
        </w:rPr>
        <w:t>Publishing</w:t>
      </w:r>
      <w:r>
        <w:rPr>
          <w:rFonts w:ascii="Times New Roman" w:hAnsi="Times New Roman"/>
          <w:sz w:val="24"/>
        </w:rPr>
        <w:t>”), Thomson Reuters Applications Inc., a corporation formed under the laws of the State of Delaware (herein called “</w:t>
      </w:r>
      <w:r>
        <w:rPr>
          <w:rFonts w:ascii="Times New Roman" w:hAnsi="Times New Roman"/>
          <w:b/>
          <w:sz w:val="24"/>
        </w:rPr>
        <w:t>Thomson</w:t>
      </w:r>
      <w:r>
        <w:rPr>
          <w:rFonts w:ascii="Times New Roman" w:hAnsi="Times New Roman"/>
          <w:sz w:val="24"/>
        </w:rPr>
        <w:t xml:space="preserve"> </w:t>
      </w:r>
      <w:r>
        <w:rPr>
          <w:rFonts w:ascii="Times New Roman" w:hAnsi="Times New Roman"/>
          <w:b/>
          <w:sz w:val="24"/>
        </w:rPr>
        <w:t>Reuters</w:t>
      </w:r>
      <w:r>
        <w:rPr>
          <w:rFonts w:ascii="Times New Roman" w:hAnsi="Times New Roman"/>
          <w:sz w:val="24"/>
        </w:rPr>
        <w:t xml:space="preserve"> </w:t>
      </w:r>
      <w:r>
        <w:rPr>
          <w:rFonts w:ascii="Times New Roman" w:hAnsi="Times New Roman"/>
          <w:b/>
          <w:sz w:val="24"/>
        </w:rPr>
        <w:t>Applications</w:t>
      </w:r>
      <w:r>
        <w:rPr>
          <w:rFonts w:ascii="Times New Roman" w:hAnsi="Times New Roman"/>
          <w:sz w:val="24"/>
        </w:rPr>
        <w:t>”), Thomson Reuters (Tax &amp; Accounting) Inc., a corporation formed under the laws of the State of Texas (herein called “</w:t>
      </w:r>
      <w:r>
        <w:rPr>
          <w:rFonts w:ascii="Times New Roman" w:hAnsi="Times New Roman"/>
          <w:b/>
          <w:sz w:val="24"/>
        </w:rPr>
        <w:t>Thomson</w:t>
      </w:r>
      <w:r>
        <w:rPr>
          <w:rFonts w:ascii="Times New Roman" w:hAnsi="Times New Roman"/>
          <w:sz w:val="24"/>
        </w:rPr>
        <w:t xml:space="preserve"> </w:t>
      </w:r>
      <w:r>
        <w:rPr>
          <w:rFonts w:ascii="Times New Roman" w:hAnsi="Times New Roman"/>
          <w:b/>
          <w:sz w:val="24"/>
        </w:rPr>
        <w:t>Reuters (Tax</w:t>
      </w:r>
      <w:r>
        <w:rPr>
          <w:rFonts w:ascii="Times New Roman" w:hAnsi="Times New Roman"/>
          <w:sz w:val="24"/>
        </w:rPr>
        <w:t> </w:t>
      </w:r>
      <w:r>
        <w:rPr>
          <w:rFonts w:ascii="Times New Roman" w:hAnsi="Times New Roman"/>
          <w:b/>
          <w:sz w:val="24"/>
        </w:rPr>
        <w:t>&amp; Accounting)</w:t>
      </w:r>
      <w:r>
        <w:rPr>
          <w:rFonts w:ascii="Times New Roman" w:hAnsi="Times New Roman"/>
          <w:sz w:val="24"/>
        </w:rPr>
        <w:t>” and together, with West Publishing and Thomson Reuters Applications, the “</w:t>
      </w:r>
      <w:r>
        <w:rPr>
          <w:rFonts w:ascii="Times New Roman" w:hAnsi="Times New Roman"/>
          <w:b/>
          <w:sz w:val="24"/>
        </w:rPr>
        <w:t>Subsidiary</w:t>
      </w:r>
      <w:r>
        <w:rPr>
          <w:rFonts w:ascii="Times New Roman" w:hAnsi="Times New Roman"/>
          <w:sz w:val="24"/>
        </w:rPr>
        <w:t xml:space="preserve"> </w:t>
      </w:r>
      <w:r>
        <w:rPr>
          <w:rFonts w:ascii="Times New Roman" w:hAnsi="Times New Roman"/>
          <w:b/>
          <w:sz w:val="24"/>
        </w:rPr>
        <w:t>Guarantors</w:t>
      </w:r>
      <w:r>
        <w:rPr>
          <w:rFonts w:ascii="Times New Roman" w:hAnsi="Times New Roman"/>
          <w:sz w:val="24"/>
        </w:rPr>
        <w:t>”), Computershare Trust Company of Canada, a trust company incorporated under the laws of Canada, as trustee (hereinafter called the “</w:t>
      </w:r>
      <w:r>
        <w:rPr>
          <w:rFonts w:ascii="Times New Roman" w:hAnsi="Times New Roman"/>
          <w:b/>
          <w:sz w:val="24"/>
        </w:rPr>
        <w:t>Notes Trustee</w:t>
      </w:r>
      <w:r>
        <w:rPr>
          <w:rFonts w:ascii="Times New Roman" w:hAnsi="Times New Roman"/>
          <w:sz w:val="24"/>
        </w:rPr>
        <w:t>”) and Deutsche Bank Trust Company Americas, a New York banking corporation (hereinafter called the “</w:t>
      </w:r>
      <w:r>
        <w:rPr>
          <w:rFonts w:ascii="Times New Roman" w:hAnsi="Times New Roman"/>
          <w:b/>
          <w:sz w:val="24"/>
        </w:rPr>
        <w:t>Co-Trustee</w:t>
      </w:r>
      <w:r>
        <w:rPr>
          <w:rFonts w:ascii="Times New Roman" w:hAnsi="Times New Roman"/>
          <w:sz w:val="24"/>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WITNESSETH: </w:t>
      </w:r>
    </w:p>
    <w:p>
      <w:pPr>
        <w:pStyle w:val="TextBody"/>
        <w:bidi w:val="0"/>
        <w:spacing w:before="240" w:after="0"/>
        <w:jc w:val="both"/>
        <w:rPr>
          <w:rFonts w:ascii="Times New Roman" w:hAnsi="Times New Roman"/>
          <w:sz w:val="24"/>
        </w:rPr>
      </w:pPr>
      <w:r>
        <w:rPr>
          <w:rFonts w:ascii="Times New Roman" w:hAnsi="Times New Roman"/>
          <w:sz w:val="24"/>
        </w:rPr>
        <w:t>WHEREAS, the Company, the Subsidiary Guarantors, the Notes Trustee and the Co-Trustee entered into an indenture, dated as of September 17, 2026 (the “</w:t>
      </w:r>
      <w:r>
        <w:rPr>
          <w:rFonts w:ascii="Times New Roman" w:hAnsi="Times New Roman"/>
          <w:b/>
          <w:sz w:val="24"/>
        </w:rPr>
        <w:t>Indenture</w:t>
      </w:r>
      <w:r>
        <w:rPr>
          <w:rFonts w:ascii="Times New Roman" w:hAnsi="Times New Roman"/>
          <w:sz w:val="24"/>
        </w:rPr>
        <w:t>”), pursuant to which one or more series of debt securities of the Company (the “</w:t>
      </w:r>
      <w:r>
        <w:rPr>
          <w:rFonts w:ascii="Times New Roman" w:hAnsi="Times New Roman"/>
          <w:b/>
          <w:sz w:val="24"/>
        </w:rPr>
        <w:t>Securities</w:t>
      </w:r>
      <w:r>
        <w:rPr>
          <w:rFonts w:ascii="Times New Roman" w:hAnsi="Times New Roman"/>
          <w:sz w:val="24"/>
        </w:rPr>
        <w:t xml:space="preserve">”) may be issued from time to time; and </w:t>
      </w:r>
    </w:p>
    <w:p>
      <w:pPr>
        <w:pStyle w:val="TextBody"/>
        <w:bidi w:val="0"/>
        <w:spacing w:before="240" w:after="0"/>
        <w:jc w:val="both"/>
        <w:rPr>
          <w:rFonts w:ascii="Times New Roman" w:hAnsi="Times New Roman"/>
          <w:sz w:val="24"/>
        </w:rPr>
      </w:pPr>
      <w:r>
        <w:rPr>
          <w:rFonts w:ascii="Times New Roman" w:hAnsi="Times New Roman"/>
          <w:sz w:val="24"/>
        </w:rPr>
        <w:t xml:space="preserve">WHEREAS, Section 301 of the Indenture permits the terms of any series of Securities to be established in an indenture supplemental to the Indenture; and </w:t>
      </w:r>
    </w:p>
    <w:p>
      <w:pPr>
        <w:pStyle w:val="TextBody"/>
        <w:bidi w:val="0"/>
        <w:spacing w:before="240" w:after="0"/>
        <w:jc w:val="both"/>
        <w:rPr>
          <w:rFonts w:ascii="Times New Roman" w:hAnsi="Times New Roman"/>
          <w:sz w:val="24"/>
        </w:rPr>
      </w:pPr>
      <w:r>
        <w:rPr>
          <w:rFonts w:ascii="Times New Roman" w:hAnsi="Times New Roman"/>
          <w:sz w:val="24"/>
        </w:rPr>
        <w:t xml:space="preserve">WHEREAS, Section 901 of the Indenture provides that a supplemental indenture may be entered into by the Company, the Subsidiary Guarantors and a Trustee without the consent of any Holders of the Securities for certain purposes stated therein; and </w:t>
      </w:r>
    </w:p>
    <w:p>
      <w:pPr>
        <w:pStyle w:val="TextBody"/>
        <w:bidi w:val="0"/>
        <w:spacing w:before="240" w:after="0"/>
        <w:jc w:val="both"/>
        <w:rPr>
          <w:rFonts w:ascii="Times New Roman" w:hAnsi="Times New Roman"/>
          <w:sz w:val="24"/>
        </w:rPr>
      </w:pPr>
      <w:r>
        <w:rPr>
          <w:rFonts w:ascii="Times New Roman" w:hAnsi="Times New Roman"/>
          <w:sz w:val="24"/>
        </w:rPr>
        <w:t>WHEREAS, the Company has requested the Notes Trustee and the Co-Trustee to join with it in the execution and delivery of this Second Supplemental Indenture in order to supplement the Indenture by, among other things, establishing certain terms of two new series of Securities to be known as the Company’s “4.130% Notes due 2029” (the “</w:t>
      </w:r>
      <w:r>
        <w:rPr>
          <w:rFonts w:ascii="Times New Roman" w:hAnsi="Times New Roman"/>
          <w:b/>
          <w:sz w:val="24"/>
        </w:rPr>
        <w:t>2029</w:t>
      </w:r>
      <w:r>
        <w:rPr>
          <w:rFonts w:ascii="Times New Roman" w:hAnsi="Times New Roman"/>
          <w:sz w:val="24"/>
        </w:rPr>
        <w:t xml:space="preserve"> </w:t>
      </w:r>
      <w:r>
        <w:rPr>
          <w:rFonts w:ascii="Times New Roman" w:hAnsi="Times New Roman"/>
          <w:b/>
          <w:sz w:val="24"/>
        </w:rPr>
        <w:t>Notes</w:t>
      </w:r>
      <w:r>
        <w:rPr>
          <w:rFonts w:ascii="Times New Roman" w:hAnsi="Times New Roman"/>
          <w:sz w:val="24"/>
        </w:rPr>
        <w:t>”) and the Company’s “4.480% Notes due 2031” (the “</w:t>
      </w:r>
      <w:r>
        <w:rPr>
          <w:rFonts w:ascii="Times New Roman" w:hAnsi="Times New Roman"/>
          <w:b/>
          <w:sz w:val="24"/>
        </w:rPr>
        <w:t>2031 Notes</w:t>
      </w:r>
      <w:r>
        <w:rPr>
          <w:rFonts w:ascii="Times New Roman" w:hAnsi="Times New Roman"/>
          <w:sz w:val="24"/>
        </w:rPr>
        <w:t>” and together with the 2029 Notes, the “</w:t>
      </w:r>
      <w:r>
        <w:rPr>
          <w:rFonts w:ascii="Times New Roman" w:hAnsi="Times New Roman"/>
          <w:b/>
          <w:sz w:val="24"/>
        </w:rPr>
        <w:t>Notes</w:t>
      </w:r>
      <w:r>
        <w:rPr>
          <w:rFonts w:ascii="Times New Roman" w:hAnsi="Times New Roman"/>
          <w:sz w:val="24"/>
        </w:rPr>
        <w:t xml:space="preserve">”), and adding certain provisions thereof for the benefit of the Holders of the Notes; and </w:t>
      </w:r>
    </w:p>
    <w:p>
      <w:pPr>
        <w:pStyle w:val="TextBody"/>
        <w:bidi w:val="0"/>
        <w:spacing w:before="240" w:after="0"/>
        <w:jc w:val="both"/>
        <w:rPr>
          <w:rFonts w:ascii="Times New Roman" w:hAnsi="Times New Roman"/>
          <w:sz w:val="24"/>
        </w:rPr>
      </w:pPr>
      <w:r>
        <w:rPr>
          <w:rFonts w:ascii="Times New Roman" w:hAnsi="Times New Roman"/>
          <w:sz w:val="24"/>
        </w:rPr>
        <w:t xml:space="preserve">WHEREAS, the Company has furnished the Notes Trustee and the Co-Trustee with an Opinion of Counsel and a duly authorized and executed Company Order dated September 17, 2026 authorizing the execution of this Second Supplemental Indenture and the issuance of each series of Notes; and </w:t>
      </w:r>
    </w:p>
    <w:p>
      <w:pPr>
        <w:pStyle w:val="TextBody"/>
        <w:bidi w:val="0"/>
        <w:spacing w:before="240" w:after="0"/>
        <w:jc w:val="both"/>
        <w:rPr>
          <w:rFonts w:ascii="Times New Roman" w:hAnsi="Times New Roman"/>
          <w:sz w:val="24"/>
        </w:rPr>
      </w:pPr>
      <w:r>
        <w:rPr>
          <w:rFonts w:ascii="Times New Roman" w:hAnsi="Times New Roman"/>
          <w:sz w:val="24"/>
        </w:rPr>
        <w:t xml:space="preserve">WHEREAS, all things necessary to make this Second Supplemental Indenture a valid agreement of the Company, the Subsidiary Guarantors, the Notes Trustee and the Co-Trustee and a valid supplement to the Indenture have been done; and </w:t>
      </w:r>
    </w:p>
    <w:p>
      <w:pPr>
        <w:pStyle w:val="TextBody"/>
        <w:bidi w:val="0"/>
        <w:spacing w:before="240" w:after="0"/>
        <w:jc w:val="both"/>
        <w:rPr>
          <w:rFonts w:ascii="Times New Roman" w:hAnsi="Times New Roman"/>
          <w:sz w:val="24"/>
        </w:rPr>
      </w:pPr>
      <w:r>
        <w:rPr>
          <w:rFonts w:ascii="Times New Roman" w:hAnsi="Times New Roman"/>
          <w:sz w:val="24"/>
        </w:rPr>
        <w:t xml:space="preserve">WHEREAS, the foregoing recitals are made as representations and statements of fact by the Company and not the Notes Trustee or Co-Trustee. </w:t>
      </w:r>
    </w:p>
    <w:p>
      <w:pPr>
        <w:pStyle w:val="TextBody"/>
        <w:bidi w:val="0"/>
        <w:spacing w:before="240" w:after="0"/>
        <w:jc w:val="both"/>
        <w:rPr>
          <w:rFonts w:ascii="Times New Roman" w:hAnsi="Times New Roman"/>
          <w:sz w:val="24"/>
        </w:rPr>
      </w:pPr>
      <w:r>
        <w:rPr>
          <w:rFonts w:ascii="Times New Roman" w:hAnsi="Times New Roman"/>
          <w:sz w:val="24"/>
        </w:rPr>
        <w:t xml:space="preserve">NOW, THEREFORE, THIS SECOND SUPPLEMENTAL INDENTURE for and in consideration of the premises and the purchase of the Notes to be issued hereunder by Holders thereof, the Company, the Subsidiary Guarantors, the Notes Trustee and the Co-Trustee, mutually covenant and agree, for the equal and proportionate benefit of the Holders from time to time of the Notes, as follows: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- 3 - </w:t>
      </w:r>
    </w:p>
    <w:p>
      <w:pPr>
        <w:pStyle w:val="TextBody"/>
        <w:bidi w:val="0"/>
        <w:spacing w:before="0" w:after="0"/>
        <w:jc w:val="left"/>
        <w:rPr/>
      </w:pPr>
      <w:r>
        <w:rPr/>
        <w:t> </w:t>
      </w:r>
    </w:p>
    <w:p>
      <w:pPr>
        <w:pStyle w:val="TextBody"/>
        <w:bidi w:val="0"/>
        <w:spacing w:before="0" w:after="0"/>
        <w:jc w:val="center"/>
        <w:rPr>
          <w:rFonts w:ascii="Times New Roman" w:hAnsi="Times New Roman"/>
          <w:b/>
          <w:sz w:val="24"/>
        </w:rPr>
      </w:pPr>
      <w:r>
        <w:rPr>
          <w:rFonts w:ascii="Times New Roman" w:hAnsi="Times New Roman"/>
          <w:b/>
          <w:sz w:val="24"/>
        </w:rPr>
        <w:t xml:space="preserve">ARTICLE I </w:t>
      </w:r>
    </w:p>
    <w:p>
      <w:pPr>
        <w:pStyle w:val="TextBody"/>
        <w:bidi w:val="0"/>
        <w:spacing w:before="240" w:after="0"/>
        <w:jc w:val="center"/>
        <w:rPr>
          <w:rFonts w:ascii="Times New Roman" w:hAnsi="Times New Roman"/>
          <w:b/>
          <w:sz w:val="24"/>
        </w:rPr>
      </w:pPr>
      <w:r>
        <w:rPr>
          <w:rFonts w:ascii="Times New Roman" w:hAnsi="Times New Roman"/>
          <w:b/>
          <w:sz w:val="24"/>
        </w:rPr>
        <w:t xml:space="preserve">DEFINITIONS </w:t>
      </w:r>
    </w:p>
    <w:p>
      <w:pPr>
        <w:pStyle w:val="TextBody"/>
        <w:bidi w:val="0"/>
        <w:spacing w:before="240" w:after="0"/>
        <w:jc w:val="both"/>
        <w:rPr>
          <w:rFonts w:ascii="Times New Roman" w:hAnsi="Times New Roman"/>
          <w:sz w:val="24"/>
        </w:rPr>
      </w:pPr>
      <w:r>
        <w:rPr>
          <w:rFonts w:ascii="Times New Roman" w:hAnsi="Times New Roman"/>
          <w:sz w:val="24"/>
        </w:rPr>
        <w:t xml:space="preserve">The Indenture together with this Second Supplemental Indenture is hereinafter sometimes collectively referred to as the “Indenture.” All capitalized terms which are used herein and not otherwise defined herein are defined in the Indenture and are used herein with the same meanings as in the Indenture. </w:t>
      </w:r>
    </w:p>
    <w:p>
      <w:pPr>
        <w:pStyle w:val="TextBody"/>
        <w:bidi w:val="0"/>
        <w:spacing w:before="240" w:after="0"/>
        <w:jc w:val="both"/>
        <w:rPr>
          <w:rFonts w:ascii="Times New Roman" w:hAnsi="Times New Roman"/>
          <w:sz w:val="24"/>
        </w:rPr>
      </w:pPr>
      <w:r>
        <w:rPr>
          <w:rFonts w:ascii="Times New Roman" w:hAnsi="Times New Roman"/>
          <w:sz w:val="24"/>
        </w:rPr>
        <w:t xml:space="preserve">For all purposes of this Second Supplemental Indenture and the Notes, except as otherwise expressly provided or unless the subject matter or the context otherwise requires: </w:t>
      </w:r>
    </w:p>
    <w:p>
      <w:pPr>
        <w:pStyle w:val="TextBody"/>
        <w:bidi w:val="0"/>
        <w:spacing w:before="240" w:after="0"/>
        <w:jc w:val="both"/>
        <w:rPr/>
      </w:pPr>
      <w:r>
        <w:rPr/>
        <w:t>“</w:t>
      </w:r>
      <w:r>
        <w:rPr>
          <w:rFonts w:ascii="Times New Roman" w:hAnsi="Times New Roman"/>
          <w:b/>
          <w:sz w:val="24"/>
        </w:rPr>
        <w:t>2029</w:t>
      </w:r>
      <w:r>
        <w:rPr>
          <w:rFonts w:ascii="Times New Roman" w:hAnsi="Times New Roman"/>
          <w:sz w:val="24"/>
        </w:rPr>
        <w:t xml:space="preserve"> </w:t>
      </w:r>
      <w:r>
        <w:rPr>
          <w:rFonts w:ascii="Times New Roman" w:hAnsi="Times New Roman"/>
          <w:b/>
          <w:sz w:val="24"/>
        </w:rPr>
        <w:t>Canada Yield Price</w:t>
      </w:r>
      <w:r>
        <w:rPr>
          <w:rFonts w:ascii="Times New Roman" w:hAnsi="Times New Roman"/>
          <w:sz w:val="24"/>
        </w:rPr>
        <w:t xml:space="preserve">” means a price equal to the price of a 2029 Note, exclusive of accrued and unpaid interest, calculated to provide a yield to the 2029 Maturity Date, compounded semi-annually and calculated in accordance with generally accepted financial practice, equal to the Government of Canada Yield calculated on the date on which the Company gives notice of redemption pursuant to the Indenture, plus 0.16%. </w:t>
      </w:r>
    </w:p>
    <w:p>
      <w:pPr>
        <w:pStyle w:val="TextBody"/>
        <w:bidi w:val="0"/>
        <w:spacing w:before="240" w:after="0"/>
        <w:jc w:val="both"/>
        <w:rPr/>
      </w:pPr>
      <w:r>
        <w:rPr/>
        <w:t>“</w:t>
      </w:r>
      <w:r>
        <w:rPr>
          <w:rFonts w:ascii="Times New Roman" w:hAnsi="Times New Roman"/>
          <w:b/>
          <w:sz w:val="24"/>
        </w:rPr>
        <w:t>2029 Maturity Date</w:t>
      </w:r>
      <w:r>
        <w:rPr>
          <w:rFonts w:ascii="Times New Roman" w:hAnsi="Times New Roman"/>
          <w:sz w:val="24"/>
        </w:rPr>
        <w:t xml:space="preserve">” means September 17, 2029. </w:t>
      </w:r>
    </w:p>
    <w:p>
      <w:pPr>
        <w:pStyle w:val="TextBody"/>
        <w:bidi w:val="0"/>
        <w:spacing w:before="240" w:after="0"/>
        <w:jc w:val="both"/>
        <w:rPr/>
      </w:pPr>
      <w:r>
        <w:rPr/>
        <w:t>“</w:t>
      </w:r>
      <w:r>
        <w:rPr>
          <w:rFonts w:ascii="Times New Roman" w:hAnsi="Times New Roman"/>
          <w:b/>
          <w:sz w:val="24"/>
        </w:rPr>
        <w:t>2031</w:t>
      </w:r>
      <w:r>
        <w:rPr>
          <w:rFonts w:ascii="Times New Roman" w:hAnsi="Times New Roman"/>
          <w:sz w:val="24"/>
        </w:rPr>
        <w:t xml:space="preserve"> </w:t>
      </w:r>
      <w:r>
        <w:rPr>
          <w:rFonts w:ascii="Times New Roman" w:hAnsi="Times New Roman"/>
          <w:b/>
          <w:sz w:val="24"/>
        </w:rPr>
        <w:t>Canada Yield Price</w:t>
      </w:r>
      <w:r>
        <w:rPr>
          <w:rFonts w:ascii="Times New Roman" w:hAnsi="Times New Roman"/>
          <w:sz w:val="24"/>
        </w:rPr>
        <w:t xml:space="preserve">” means a price equal to the price of a 2031 Note, exclusive of accrued and unpaid interest, calculated to provide a yield to the 2031 Par Call Date, compounded semi-annually and calculated in accordance with generally accepted financial practice, equal to the Government of Canada Yield calculated on the date on which the Company gives notice of redemption pursuant to the Indenture, plus 0.21%. </w:t>
      </w:r>
    </w:p>
    <w:p>
      <w:pPr>
        <w:pStyle w:val="TextBody"/>
        <w:bidi w:val="0"/>
        <w:spacing w:before="240" w:after="0"/>
        <w:jc w:val="both"/>
        <w:rPr/>
      </w:pPr>
      <w:r>
        <w:rPr/>
        <w:t>“</w:t>
      </w:r>
      <w:r>
        <w:rPr>
          <w:rFonts w:ascii="Times New Roman" w:hAnsi="Times New Roman"/>
          <w:b/>
          <w:sz w:val="24"/>
        </w:rPr>
        <w:t>2031</w:t>
      </w:r>
      <w:r>
        <w:rPr>
          <w:rFonts w:ascii="Times New Roman" w:hAnsi="Times New Roman"/>
          <w:sz w:val="24"/>
        </w:rPr>
        <w:t xml:space="preserve"> </w:t>
      </w:r>
      <w:r>
        <w:rPr>
          <w:rFonts w:ascii="Times New Roman" w:hAnsi="Times New Roman"/>
          <w:b/>
          <w:sz w:val="24"/>
        </w:rPr>
        <w:t>Par Call Date</w:t>
      </w:r>
      <w:r>
        <w:rPr>
          <w:rFonts w:ascii="Times New Roman" w:hAnsi="Times New Roman"/>
          <w:sz w:val="24"/>
        </w:rPr>
        <w:t xml:space="preserve">” means August 17, 2031. </w:t>
      </w:r>
    </w:p>
    <w:p>
      <w:pPr>
        <w:pStyle w:val="TextBody"/>
        <w:bidi w:val="0"/>
        <w:spacing w:before="240" w:after="0"/>
        <w:jc w:val="both"/>
        <w:rPr/>
      </w:pPr>
      <w:r>
        <w:rPr/>
        <w:t>“</w:t>
      </w:r>
      <w:r>
        <w:rPr>
          <w:rFonts w:ascii="Times New Roman" w:hAnsi="Times New Roman"/>
          <w:b/>
          <w:sz w:val="24"/>
        </w:rPr>
        <w:t>Change of Control</w:t>
      </w:r>
      <w:r>
        <w:rPr>
          <w:rFonts w:ascii="Times New Roman" w:hAnsi="Times New Roman"/>
          <w:sz w:val="24"/>
        </w:rPr>
        <w:t xml:space="preserve">” means the occurrence of any one of the following: (1) the direct or indirect sale, transfer, conveyance or other disposition (other than by way of merger, amalgamation, arrangement or consolidation), in one or a series of related transactions, of all or substantially all of the properties or assets of Thomson Reuters, taken as a whole, to any person or group, other than to a Thomson Reuters Entity; (2) the first day on which a majority of the members of the Board of Directors are not Continuing Directors; (3) the consummation of any transaction including, without limitation, any merger, amalgamation, arrangement or consolidation the result of which is that any person or group of related persons, other than the Woodbridge Group, becomes the beneficial owner (as defined in Rules 13d-3 and 13d-5 under the Exchange Act), directly or indirectly, of more than 50% of the Company Voting Stock (which, for greater certainty, excludes the Thomson Reuters Founders Share in the Company held by Thomson Reuters Founders Share Company), measured by voting power rather than number of shares; or (4) the consummation of a so-called “going private/Rule 13e-3 transaction” that results in any of the effects described in paragraph (a)(3)(ii) of Rule 13e-3 under the Exchange Act (or any successor provision), following which the Woodbridge Group beneficially owns, directly or indirectly, more than 50% of the Company Voting Stock (which, for greater certainty, excludes the Thomson Reuters Founders Share), measured by voting power rather than number of shares. For the purposes of this definition, “person” and “group” have the meanings used in Sections 13(d) and 14(d) of the Exchange Act.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- 4 -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sz w:val="24"/>
        </w:rPr>
        <w:t>Change of Control Triggering Event</w:t>
      </w:r>
      <w:r>
        <w:rPr>
          <w:rFonts w:ascii="Times New Roman" w:hAnsi="Times New Roman"/>
          <w:sz w:val="24"/>
        </w:rPr>
        <w:t xml:space="preserve">” means the occurrence of both a Change of Control and a Rating Event. </w:t>
      </w:r>
    </w:p>
    <w:p>
      <w:pPr>
        <w:pStyle w:val="TextBody"/>
        <w:bidi w:val="0"/>
        <w:spacing w:before="240" w:after="0"/>
        <w:jc w:val="both"/>
        <w:rPr/>
      </w:pPr>
      <w:r>
        <w:rPr/>
        <w:t>“</w:t>
      </w:r>
      <w:r>
        <w:rPr>
          <w:rFonts w:ascii="Times New Roman" w:hAnsi="Times New Roman"/>
          <w:b/>
          <w:sz w:val="24"/>
        </w:rPr>
        <w:t>Company Voting Stock</w:t>
      </w:r>
      <w:r>
        <w:rPr>
          <w:rFonts w:ascii="Times New Roman" w:hAnsi="Times New Roman"/>
          <w:sz w:val="24"/>
        </w:rPr>
        <w:t xml:space="preserve">” means, collectively, stock of the class or classes of the Company having general voting power under ordinary circumstances to elect at least a majority of the Board of Directors (irrespective of whether or not at the time stock of any other class or classes shall have or might have voting power by reason of the happening of any contingency) and, at any particular time, any other securities of the Company (excluding debt securities and the Thomson Reuters Founders Share in the Company held by Thomson Reuters Founders Share Company) carrying at that time a voting right ordinarily exercisable at meetings of shareholders either under all circumstances or under some circumstances that have occurred and are continuing. </w:t>
      </w:r>
    </w:p>
    <w:p>
      <w:pPr>
        <w:pStyle w:val="TextBody"/>
        <w:bidi w:val="0"/>
        <w:spacing w:before="240" w:after="0"/>
        <w:jc w:val="both"/>
        <w:rPr/>
      </w:pPr>
      <w:r>
        <w:rPr/>
        <w:t>“</w:t>
      </w:r>
      <w:r>
        <w:rPr>
          <w:rFonts w:ascii="Times New Roman" w:hAnsi="Times New Roman"/>
          <w:b/>
          <w:sz w:val="24"/>
        </w:rPr>
        <w:t>Consolidated Shareholders’ Equity</w:t>
      </w:r>
      <w:r>
        <w:rPr>
          <w:rFonts w:ascii="Times New Roman" w:hAnsi="Times New Roman"/>
          <w:sz w:val="24"/>
        </w:rPr>
        <w:t xml:space="preserve">” means the aggregate of the stated capital accounts for all of the Company’s outstanding shares and the amount of the Company’s consolidated surplus, whether paid in, earned, or otherwise, as such consolidated surplus is shown on its then most recent audited consolidated balance sheet, determined in accordance with GAAP. </w:t>
      </w:r>
    </w:p>
    <w:p>
      <w:pPr>
        <w:pStyle w:val="TextBody"/>
        <w:bidi w:val="0"/>
        <w:spacing w:before="240" w:after="0"/>
        <w:jc w:val="both"/>
        <w:rPr/>
      </w:pPr>
      <w:r>
        <w:rPr/>
        <w:t>“</w:t>
      </w:r>
      <w:r>
        <w:rPr>
          <w:rFonts w:ascii="Times New Roman" w:hAnsi="Times New Roman"/>
          <w:b/>
          <w:sz w:val="24"/>
        </w:rPr>
        <w:t>Continuing Directors</w:t>
      </w:r>
      <w:r>
        <w:rPr>
          <w:rFonts w:ascii="Times New Roman" w:hAnsi="Times New Roman"/>
          <w:sz w:val="24"/>
        </w:rPr>
        <w:t xml:space="preserve">” means, as of any date of determination, any member of the Board of Directors who (1) was a member of the Board of Directors on the date of the issuance of the Notes; or (2) was nominated for election, elected or appointed to the Board of Directors with the approval of a majority of the Continuing Directors who were members of the Board of Directors at the time of such nomination, election or appointment (either by a specific vote or by approval of the Company’s management information circular in which such member was named as a nominee for election as a director). </w:t>
      </w:r>
    </w:p>
    <w:p>
      <w:pPr>
        <w:pStyle w:val="TextBody"/>
        <w:bidi w:val="0"/>
        <w:spacing w:before="240" w:after="0"/>
        <w:jc w:val="both"/>
        <w:rPr/>
      </w:pPr>
      <w:r>
        <w:rPr/>
        <w:t>“</w:t>
      </w:r>
      <w:r>
        <w:rPr>
          <w:rFonts w:ascii="Times New Roman" w:hAnsi="Times New Roman"/>
          <w:b/>
          <w:sz w:val="24"/>
        </w:rPr>
        <w:t>Co-Obligor</w:t>
      </w:r>
      <w:r>
        <w:rPr>
          <w:rFonts w:ascii="Times New Roman" w:hAnsi="Times New Roman"/>
          <w:sz w:val="24"/>
        </w:rPr>
        <w:t xml:space="preserve">” has the meaning set forth in Section 2.03(j) hereof. </w:t>
      </w:r>
    </w:p>
    <w:p>
      <w:pPr>
        <w:pStyle w:val="TextBody"/>
        <w:bidi w:val="0"/>
        <w:spacing w:before="240" w:after="0"/>
        <w:jc w:val="both"/>
        <w:rPr/>
      </w:pPr>
      <w:r>
        <w:rPr/>
        <w:t>“</w:t>
      </w:r>
      <w:r>
        <w:rPr>
          <w:rFonts w:ascii="Times New Roman" w:hAnsi="Times New Roman"/>
          <w:b/>
          <w:sz w:val="24"/>
        </w:rPr>
        <w:t>Debt</w:t>
      </w:r>
      <w:r>
        <w:rPr>
          <w:rFonts w:ascii="Times New Roman" w:hAnsi="Times New Roman"/>
          <w:sz w:val="24"/>
        </w:rPr>
        <w:t xml:space="preserve">” means notes, bonds, debentures or other similar evidences of indebtedness for money borrowed. </w:t>
      </w:r>
    </w:p>
    <w:p>
      <w:pPr>
        <w:pStyle w:val="TextBody"/>
        <w:bidi w:val="0"/>
        <w:spacing w:before="240" w:after="0"/>
        <w:jc w:val="both"/>
        <w:rPr/>
      </w:pPr>
      <w:r>
        <w:rPr/>
        <w:t>“</w:t>
      </w:r>
      <w:r>
        <w:rPr>
          <w:rFonts w:ascii="Times New Roman" w:hAnsi="Times New Roman"/>
          <w:b/>
          <w:sz w:val="24"/>
        </w:rPr>
        <w:t>Exchange Act</w:t>
      </w:r>
      <w:r>
        <w:rPr>
          <w:rFonts w:ascii="Times New Roman" w:hAnsi="Times New Roman"/>
          <w:sz w:val="24"/>
        </w:rPr>
        <w:t xml:space="preserve">” means the United States Securities Exchange Act of 1934 and the rules and regulations promulgated thereunder, as amended. </w:t>
      </w:r>
    </w:p>
    <w:p>
      <w:pPr>
        <w:pStyle w:val="TextBody"/>
        <w:bidi w:val="0"/>
        <w:spacing w:before="240" w:after="0"/>
        <w:jc w:val="both"/>
        <w:rPr/>
      </w:pPr>
      <w:r>
        <w:rPr/>
        <w:t>“</w:t>
      </w:r>
      <w:r>
        <w:rPr>
          <w:rFonts w:ascii="Times New Roman" w:hAnsi="Times New Roman"/>
          <w:b/>
          <w:sz w:val="24"/>
        </w:rPr>
        <w:t>Fitch</w:t>
      </w:r>
      <w:r>
        <w:rPr>
          <w:rFonts w:ascii="Times New Roman" w:hAnsi="Times New Roman"/>
          <w:sz w:val="24"/>
        </w:rPr>
        <w:t xml:space="preserve">” means Fitch Ratings Ltd. </w:t>
      </w:r>
    </w:p>
    <w:p>
      <w:pPr>
        <w:pStyle w:val="TextBody"/>
        <w:bidi w:val="0"/>
        <w:spacing w:before="240" w:after="0"/>
        <w:jc w:val="both"/>
        <w:rPr/>
      </w:pPr>
      <w:r>
        <w:rPr/>
        <w:t>“</w:t>
      </w:r>
      <w:r>
        <w:rPr>
          <w:rFonts w:ascii="Times New Roman" w:hAnsi="Times New Roman"/>
          <w:b/>
          <w:sz w:val="24"/>
        </w:rPr>
        <w:t>Funded Obligation</w:t>
      </w:r>
      <w:r>
        <w:rPr>
          <w:rFonts w:ascii="Times New Roman" w:hAnsi="Times New Roman"/>
          <w:sz w:val="24"/>
        </w:rPr>
        <w:t xml:space="preserve">” means any Debt, the principal amount of which by its terms is not payable on demand and the due date of payment of which, after giving effect to any right of extension or renewal exercisable unilaterally on the part of the obligor, is more than 18 months from the date of the creation, issue or incurring of the same. </w:t>
      </w:r>
    </w:p>
    <w:p>
      <w:pPr>
        <w:pStyle w:val="TextBody"/>
        <w:bidi w:val="0"/>
        <w:spacing w:before="240" w:after="0"/>
        <w:jc w:val="both"/>
        <w:rPr/>
      </w:pPr>
      <w:r>
        <w:rPr/>
        <w:t>“</w:t>
      </w:r>
      <w:r>
        <w:rPr>
          <w:rFonts w:ascii="Times New Roman" w:hAnsi="Times New Roman"/>
          <w:b/>
          <w:sz w:val="24"/>
        </w:rPr>
        <w:t>Government of Canada Yield</w:t>
      </w:r>
      <w:r>
        <w:rPr>
          <w:rFonts w:ascii="Times New Roman" w:hAnsi="Times New Roman"/>
          <w:sz w:val="24"/>
        </w:rPr>
        <w:t xml:space="preserve">” as at any date, means the arithmetic average of the respective percentages determined by two major Canadian investment dealers selected by the Company to be the yield to the 2029 Maturity Date or the 2031 Par Call Date, as applicable, which, assuming semi-annual compounding, would be carried by a non-callable Government of Canada bond, having a term to maturity equal to the remaining term to the 2029 Maturity Date or the 2031 Par Call Date, as applicable, and issued in Canadian dollars in Canada at 100% of its principal amount. </w:t>
      </w:r>
    </w:p>
    <w:p>
      <w:pPr>
        <w:pStyle w:val="TextBody"/>
        <w:bidi w:val="0"/>
        <w:spacing w:before="240" w:after="0"/>
        <w:jc w:val="both"/>
        <w:rPr/>
      </w:pPr>
      <w:r>
        <w:rPr/>
        <w:t>“</w:t>
      </w:r>
      <w:r>
        <w:rPr>
          <w:rFonts w:ascii="Times New Roman" w:hAnsi="Times New Roman"/>
          <w:b/>
          <w:sz w:val="24"/>
        </w:rPr>
        <w:t>Investment Grade Rating</w:t>
      </w:r>
      <w:r>
        <w:rPr>
          <w:rFonts w:ascii="Times New Roman" w:hAnsi="Times New Roman"/>
          <w:sz w:val="24"/>
        </w:rPr>
        <w:t xml:space="preserve">” means a rating equal to or higher than Baa3 (or the equivalent) by Moody’s, BBB- (or the equivalent) by S&amp;P or BBB- (or the equivalent) by Fitch,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- 5 -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and the equivalent investment grade credit rating from any replacement Rating Agency or Rating Agencies selected by the Company. </w:t>
      </w:r>
    </w:p>
    <w:p>
      <w:pPr>
        <w:pStyle w:val="TextBody"/>
        <w:bidi w:val="0"/>
        <w:spacing w:before="240" w:after="0"/>
        <w:jc w:val="both"/>
        <w:rPr/>
      </w:pPr>
      <w:r>
        <w:rPr/>
        <w:t>“</w:t>
      </w:r>
      <w:r>
        <w:rPr>
          <w:rFonts w:ascii="Times New Roman" w:hAnsi="Times New Roman"/>
          <w:b/>
          <w:sz w:val="24"/>
        </w:rPr>
        <w:t>Material Subsidiary</w:t>
      </w:r>
      <w:r>
        <w:rPr>
          <w:rFonts w:ascii="Times New Roman" w:hAnsi="Times New Roman"/>
          <w:sz w:val="24"/>
        </w:rPr>
        <w:t xml:space="preserve">” means any Subsidiary of the Company the revenues of which for the 12 months ending at the end of the most recently completed fiscal year of such Subsidiary represent 10% or more of the revenues of the Company and its Subsidiaries taken as a whole for the 12 months ending at the end of the most recently completed fiscal year of the Company, or the gross assets of which as at the end of the most recently completed fiscal year of such Subsidiary represent 10% or more of the gross assets of the Company and its Subsidiaries taken as a whole as at the end of the most recently completed fiscal year of the Company, calculated in each case in accordance with GAAP. </w:t>
      </w:r>
    </w:p>
    <w:p>
      <w:pPr>
        <w:pStyle w:val="TextBody"/>
        <w:bidi w:val="0"/>
        <w:spacing w:before="240" w:after="0"/>
        <w:jc w:val="both"/>
        <w:rPr/>
      </w:pPr>
      <w:r>
        <w:rPr/>
        <w:t>“</w:t>
      </w:r>
      <w:r>
        <w:rPr>
          <w:rFonts w:ascii="Times New Roman" w:hAnsi="Times New Roman"/>
          <w:b/>
          <w:sz w:val="24"/>
        </w:rPr>
        <w:t>Moody’s</w:t>
      </w:r>
      <w:r>
        <w:rPr>
          <w:rFonts w:ascii="Times New Roman" w:hAnsi="Times New Roman"/>
          <w:sz w:val="24"/>
        </w:rPr>
        <w:t xml:space="preserve">” means Moody’s Investors Service, Inc. </w:t>
      </w:r>
    </w:p>
    <w:p>
      <w:pPr>
        <w:pStyle w:val="TextBody"/>
        <w:bidi w:val="0"/>
        <w:spacing w:before="240" w:after="0"/>
        <w:jc w:val="both"/>
        <w:rPr/>
      </w:pPr>
      <w:r>
        <w:rPr/>
        <w:t>“</w:t>
      </w:r>
      <w:r>
        <w:rPr>
          <w:rFonts w:ascii="Times New Roman" w:hAnsi="Times New Roman"/>
          <w:b/>
          <w:sz w:val="24"/>
        </w:rPr>
        <w:t>Non-Canadian Person</w:t>
      </w:r>
      <w:r>
        <w:rPr>
          <w:rFonts w:ascii="Times New Roman" w:hAnsi="Times New Roman"/>
          <w:sz w:val="24"/>
        </w:rPr>
        <w:t xml:space="preserve">” has the meaning set forth in Section 2.03(i) hereof. </w:t>
      </w:r>
    </w:p>
    <w:p>
      <w:pPr>
        <w:pStyle w:val="TextBody"/>
        <w:bidi w:val="0"/>
        <w:spacing w:before="240" w:after="0"/>
        <w:jc w:val="both"/>
        <w:rPr/>
      </w:pPr>
      <w:r>
        <w:rPr/>
        <w:t>“</w:t>
      </w:r>
      <w:r>
        <w:rPr>
          <w:rFonts w:ascii="Times New Roman" w:hAnsi="Times New Roman"/>
          <w:b/>
          <w:sz w:val="24"/>
        </w:rPr>
        <w:t>Non-Canadian Taxing Jurisdiction</w:t>
      </w:r>
      <w:r>
        <w:rPr>
          <w:rFonts w:ascii="Times New Roman" w:hAnsi="Times New Roman"/>
          <w:sz w:val="24"/>
        </w:rPr>
        <w:t xml:space="preserve">” has the meaning set forth in Section 2.03(i) hereof. </w:t>
      </w:r>
    </w:p>
    <w:p>
      <w:pPr>
        <w:pStyle w:val="TextBody"/>
        <w:bidi w:val="0"/>
        <w:spacing w:before="240" w:after="0"/>
        <w:jc w:val="both"/>
        <w:rPr/>
      </w:pPr>
      <w:r>
        <w:rPr/>
        <w:t>“</w:t>
      </w:r>
      <w:r>
        <w:rPr>
          <w:rFonts w:ascii="Times New Roman" w:hAnsi="Times New Roman"/>
          <w:b/>
          <w:sz w:val="24"/>
        </w:rPr>
        <w:t>Officer’s Certificate</w:t>
      </w:r>
      <w:r>
        <w:rPr>
          <w:rFonts w:ascii="Times New Roman" w:hAnsi="Times New Roman"/>
          <w:sz w:val="24"/>
        </w:rPr>
        <w:t xml:space="preserve">” means a certificate signed by the Chairman, Deputy Chairman, the President, the Chief Financial Officer or a Vice President, and by the Treasurer, an Assistant Treasurer, the Secretary, the Deputy Company Secretary or an Assistant Secretary of the Company, and delivered to the Trustee. </w:t>
      </w:r>
    </w:p>
    <w:p>
      <w:pPr>
        <w:pStyle w:val="TextBody"/>
        <w:bidi w:val="0"/>
        <w:spacing w:before="240" w:after="0"/>
        <w:jc w:val="both"/>
        <w:rPr/>
      </w:pPr>
      <w:r>
        <w:rPr/>
        <w:t>“</w:t>
      </w:r>
      <w:r>
        <w:rPr>
          <w:rFonts w:ascii="Times New Roman" w:hAnsi="Times New Roman"/>
          <w:b/>
          <w:sz w:val="24"/>
        </w:rPr>
        <w:t>Rating Agencies</w:t>
      </w:r>
      <w:r>
        <w:rPr>
          <w:rFonts w:ascii="Times New Roman" w:hAnsi="Times New Roman"/>
          <w:sz w:val="24"/>
        </w:rPr>
        <w:t xml:space="preserve">” means, with respect to a series of Notes, (a) each of Moody’s, S&amp;P and Fitch; and (b) if any of the Rating Agencies ceases to rate the Notes of such series or fails to make a rating of the Notes publicly available for reasons outside of the Company’s control, a “nationally recognized statistical rating organization” within the meaning of Rule 3(a)(62) under the Exchange Act selected by the Company (as certified by a resolution of the Board of Directors) as a replacement for Moody’s, S&amp;P or Fitch, or some or all of them, as the case may be. </w:t>
      </w:r>
    </w:p>
    <w:p>
      <w:pPr>
        <w:pStyle w:val="TextBody"/>
        <w:bidi w:val="0"/>
        <w:spacing w:before="240" w:after="0"/>
        <w:jc w:val="both"/>
        <w:rPr/>
      </w:pPr>
      <w:r>
        <w:rPr/>
        <w:t>“</w:t>
      </w:r>
      <w:r>
        <w:rPr>
          <w:rFonts w:ascii="Times New Roman" w:hAnsi="Times New Roman"/>
          <w:b/>
          <w:sz w:val="24"/>
        </w:rPr>
        <w:t>Rating Event</w:t>
      </w:r>
      <w:r>
        <w:rPr>
          <w:rFonts w:ascii="Times New Roman" w:hAnsi="Times New Roman"/>
          <w:sz w:val="24"/>
        </w:rPr>
        <w:t xml:space="preserve">” means, with respect to a series of Notes, the rating of the Notes of such series is lowered by all of the Rating Agencies, and the Notes of such series are rated below an Investment Grade Rating by all of the Rating Agencies on any day within the 60-day period (which 60-day period will be extended so long as the rating of the Notes of such series is under publicly announced consideration for a possible downgrade by such number of Rating Agencies) after the earlier of (1) the occurrence of a Change of Control and (2) public notice of the occurrence of a Change of Control or the Company’s intention to effect a Change of Control; provided, however, that a rating event otherwise arising by virtue of a particular reduction in rating will be deemed not to have occurred in respect of a particular Change of Control (and thus will not be deemed a rating event for purposes of the definition of Change of Control Triggering Event) if the Rating Agencies making the reduction in rating to which this definition would otherwise apply do not announce or publicly confirm or inform the Company that the reduction was the result, in whole or in part, of any event or circumstance comprised of or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arising as a result of, or in respect of, the applicable Change of Control whether or not the applicable Change of Control has occurred at the time of the rating event. </w:t>
      </w:r>
    </w:p>
    <w:p>
      <w:pPr>
        <w:pStyle w:val="TextBody"/>
        <w:bidi w:val="0"/>
        <w:spacing w:before="240" w:after="0"/>
        <w:jc w:val="both"/>
        <w:rPr/>
      </w:pPr>
      <w:r>
        <w:rPr/>
        <w:t>“</w:t>
      </w:r>
      <w:r>
        <w:rPr>
          <w:rFonts w:ascii="Times New Roman" w:hAnsi="Times New Roman"/>
          <w:b/>
          <w:sz w:val="24"/>
        </w:rPr>
        <w:t>Regular Record Date</w:t>
      </w:r>
      <w:r>
        <w:rPr>
          <w:rFonts w:ascii="Times New Roman" w:hAnsi="Times New Roman"/>
          <w:sz w:val="24"/>
        </w:rPr>
        <w:t xml:space="preserve">” means the date specified for determining holders entitled to receive interest on the Notes on any Interest Payment Date. </w:t>
      </w:r>
    </w:p>
    <w:p>
      <w:pPr>
        <w:pStyle w:val="TextBody"/>
        <w:bidi w:val="0"/>
        <w:spacing w:before="240" w:after="0"/>
        <w:jc w:val="both"/>
        <w:rPr/>
      </w:pPr>
      <w:r>
        <w:rPr/>
        <w:t>“</w:t>
      </w:r>
      <w:r>
        <w:rPr>
          <w:rFonts w:ascii="Times New Roman" w:hAnsi="Times New Roman"/>
          <w:b/>
          <w:sz w:val="24"/>
        </w:rPr>
        <w:t>S&amp;P</w:t>
      </w:r>
      <w:r>
        <w:rPr>
          <w:rFonts w:ascii="Times New Roman" w:hAnsi="Times New Roman"/>
          <w:sz w:val="24"/>
        </w:rPr>
        <w:t xml:space="preserve">” means S&amp;P Global Rating Services, a division of S&amp;P Global Inc. </w:t>
      </w:r>
    </w:p>
    <w:p>
      <w:pPr>
        <w:pStyle w:val="TextBody"/>
        <w:bidi w:val="0"/>
        <w:spacing w:before="240" w:after="0"/>
        <w:jc w:val="both"/>
        <w:rPr/>
      </w:pPr>
      <w:r>
        <w:rPr/>
        <w:t>“</w:t>
      </w:r>
      <w:r>
        <w:rPr>
          <w:rFonts w:ascii="Times New Roman" w:hAnsi="Times New Roman"/>
          <w:b/>
          <w:sz w:val="24"/>
        </w:rPr>
        <w:t>Thomson Reuters</w:t>
      </w:r>
      <w:r>
        <w:rPr>
          <w:rFonts w:ascii="Times New Roman" w:hAnsi="Times New Roman"/>
          <w:sz w:val="24"/>
        </w:rPr>
        <w:t xml:space="preserve">” means the Company and its Subsidiaries and “Thomson Reuters Entity” means any one of them. </w:t>
      </w:r>
    </w:p>
    <w:p>
      <w:pPr>
        <w:pStyle w:val="TextBody"/>
        <w:bidi w:val="0"/>
        <w:spacing w:before="240" w:after="0"/>
        <w:jc w:val="both"/>
        <w:rPr/>
      </w:pPr>
      <w:r>
        <w:rPr/>
        <w:t>“</w:t>
      </w:r>
      <w:r>
        <w:rPr>
          <w:rFonts w:ascii="Times New Roman" w:hAnsi="Times New Roman"/>
          <w:b/>
          <w:sz w:val="24"/>
        </w:rPr>
        <w:t>Thomson Reuters Founders Share</w:t>
      </w:r>
      <w:r>
        <w:rPr>
          <w:rFonts w:ascii="Times New Roman" w:hAnsi="Times New Roman"/>
          <w:sz w:val="24"/>
        </w:rPr>
        <w:t xml:space="preserve">” means the Thomson Reuters Founders Share in the capital of the Company. </w:t>
      </w:r>
    </w:p>
    <w:p>
      <w:pPr>
        <w:pStyle w:val="TextBody"/>
        <w:bidi w:val="0"/>
        <w:spacing w:before="240" w:after="0"/>
        <w:jc w:val="both"/>
        <w:rPr/>
      </w:pPr>
      <w:r>
        <w:rPr/>
        <w:t>“</w:t>
      </w:r>
      <w:r>
        <w:rPr>
          <w:rFonts w:ascii="Times New Roman" w:hAnsi="Times New Roman"/>
          <w:b/>
          <w:sz w:val="24"/>
        </w:rPr>
        <w:t>Thomson Reuters Founders Share Company</w:t>
      </w:r>
      <w:r>
        <w:rPr>
          <w:rFonts w:ascii="Times New Roman" w:hAnsi="Times New Roman"/>
          <w:sz w:val="24"/>
        </w:rPr>
        <w:t xml:space="preserve">” means Thomson Reuters Founders Share Company Limited, a corporation incorporated and existing in accordance with the laws of England and Wales. </w:t>
      </w:r>
    </w:p>
    <w:p>
      <w:pPr>
        <w:pStyle w:val="TextBody"/>
        <w:bidi w:val="0"/>
        <w:spacing w:before="240" w:after="0"/>
        <w:jc w:val="both"/>
        <w:rPr/>
      </w:pPr>
      <w:r>
        <w:rPr/>
        <w:t>“</w:t>
      </w:r>
      <w:r>
        <w:rPr>
          <w:rFonts w:ascii="Times New Roman" w:hAnsi="Times New Roman"/>
          <w:b/>
          <w:sz w:val="24"/>
        </w:rPr>
        <w:t>Wholly-Owned Subsidiary</w:t>
      </w:r>
      <w:r>
        <w:rPr>
          <w:rFonts w:ascii="Times New Roman" w:hAnsi="Times New Roman"/>
          <w:sz w:val="24"/>
        </w:rPr>
        <w:t xml:space="preserve">” means any Subsidiary of which the Company, at the time of determination, directly and/or indirectly, through one or more other Subsidiaries, owns 100% of the shares of Voting Stock/Interests of such Subsidiary. </w:t>
      </w:r>
    </w:p>
    <w:p>
      <w:pPr>
        <w:pStyle w:val="TextBody"/>
        <w:bidi w:val="0"/>
        <w:spacing w:before="240" w:after="0"/>
        <w:jc w:val="both"/>
        <w:rPr/>
      </w:pPr>
      <w:r>
        <w:rPr/>
        <w:t>“</w:t>
      </w:r>
      <w:r>
        <w:rPr>
          <w:rFonts w:ascii="Times New Roman" w:hAnsi="Times New Roman"/>
          <w:b/>
          <w:sz w:val="24"/>
        </w:rPr>
        <w:t>Woodbridge</w:t>
      </w:r>
      <w:r>
        <w:rPr>
          <w:rFonts w:ascii="Times New Roman" w:hAnsi="Times New Roman"/>
          <w:sz w:val="24"/>
        </w:rPr>
        <w:t xml:space="preserve">” means The Woodbridge Company Limited, a corporation incorporated under the laws of the Province of Ontario. </w:t>
      </w:r>
    </w:p>
    <w:p>
      <w:pPr>
        <w:pStyle w:val="TextBody"/>
        <w:bidi w:val="0"/>
        <w:spacing w:before="240" w:after="0"/>
        <w:jc w:val="both"/>
        <w:rPr/>
      </w:pPr>
      <w:r>
        <w:rPr/>
        <w:t>“</w:t>
      </w:r>
      <w:r>
        <w:rPr>
          <w:rFonts w:ascii="Times New Roman" w:hAnsi="Times New Roman"/>
          <w:b/>
          <w:sz w:val="24"/>
        </w:rPr>
        <w:t>Woodbridge Group</w:t>
      </w:r>
      <w:r>
        <w:rPr>
          <w:rFonts w:ascii="Times New Roman" w:hAnsi="Times New Roman"/>
          <w:sz w:val="24"/>
        </w:rPr>
        <w:t xml:space="preserve">” means at any particular time such of (a) Woodbridge, (b) the Affiliates of Woodbridge, and (c) the respective successors and assigns of Woodbridge or any such Affiliate, as, at such time, are controlled directly or indirectly by one or more corporations all of the shares of which are held by one or more individuals who are members of the family of the late first Lord Thomson of Fleet or trusts for their benefit.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II </w:t>
      </w:r>
    </w:p>
    <w:p>
      <w:pPr>
        <w:pStyle w:val="TextBody"/>
        <w:bidi w:val="0"/>
        <w:spacing w:before="240" w:after="0"/>
        <w:jc w:val="center"/>
        <w:rPr>
          <w:rFonts w:ascii="Times New Roman" w:hAnsi="Times New Roman"/>
          <w:b/>
          <w:sz w:val="24"/>
        </w:rPr>
      </w:pPr>
      <w:r>
        <w:rPr>
          <w:rFonts w:ascii="Times New Roman" w:hAnsi="Times New Roman"/>
          <w:b/>
          <w:sz w:val="24"/>
        </w:rPr>
        <w:t xml:space="preserve">STANDARD PROVISIONS; THE NOTES </w:t>
      </w:r>
    </w:p>
    <w:p>
      <w:pPr>
        <w:pStyle w:val="TextBody"/>
        <w:bidi w:val="0"/>
        <w:spacing w:before="240" w:after="0"/>
        <w:jc w:val="both"/>
        <w:rPr>
          <w:rFonts w:ascii="Times New Roman" w:hAnsi="Times New Roman"/>
          <w:b/>
          <w:sz w:val="24"/>
        </w:rPr>
      </w:pPr>
      <w:r>
        <w:rPr>
          <w:rFonts w:ascii="Times New Roman" w:hAnsi="Times New Roman"/>
          <w:b/>
          <w:sz w:val="24"/>
        </w:rPr>
        <w:t xml:space="preserve">Section 2.01 Creation of the Notes; Designation. </w:t>
      </w:r>
    </w:p>
    <w:p>
      <w:pPr>
        <w:pStyle w:val="TextBody"/>
        <w:bidi w:val="0"/>
        <w:spacing w:before="240" w:after="0"/>
        <w:jc w:val="both"/>
        <w:rPr>
          <w:rFonts w:ascii="Times New Roman" w:hAnsi="Times New Roman"/>
          <w:sz w:val="24"/>
        </w:rPr>
      </w:pPr>
      <w:r>
        <w:rPr>
          <w:rFonts w:ascii="Times New Roman" w:hAnsi="Times New Roman"/>
          <w:sz w:val="24"/>
        </w:rPr>
        <w:t xml:space="preserve">In accordance with Section 301 of the Indenture, the Company, as principal, hereby creates, pursuant to the Indenture: (i) a separate series of Securities designated as the “4.130% Notes due 2029” and (ii) a separate series of Securities designated as the “4.480% Notes due 2031”. </w:t>
      </w:r>
    </w:p>
    <w:p>
      <w:pPr>
        <w:pStyle w:val="TextBody"/>
        <w:bidi w:val="0"/>
        <w:spacing w:before="240" w:after="0"/>
        <w:jc w:val="both"/>
        <w:rPr>
          <w:rFonts w:ascii="Times New Roman" w:hAnsi="Times New Roman"/>
          <w:b/>
          <w:sz w:val="24"/>
        </w:rPr>
      </w:pPr>
      <w:r>
        <w:rPr>
          <w:rFonts w:ascii="Times New Roman" w:hAnsi="Times New Roman"/>
          <w:b/>
          <w:sz w:val="24"/>
        </w:rPr>
        <w:t xml:space="preserve">Section 2.02 Form of the Notes. </w:t>
      </w:r>
    </w:p>
    <w:p>
      <w:pPr>
        <w:pStyle w:val="TextBody"/>
        <w:bidi w:val="0"/>
        <w:spacing w:before="240" w:after="0"/>
        <w:jc w:val="both"/>
        <w:rPr>
          <w:rFonts w:ascii="Times New Roman" w:hAnsi="Times New Roman"/>
          <w:sz w:val="24"/>
        </w:rPr>
      </w:pPr>
      <w:r>
        <w:rPr>
          <w:rFonts w:ascii="Times New Roman" w:hAnsi="Times New Roman"/>
          <w:sz w:val="24"/>
        </w:rPr>
        <w:t>The Notes of each series shall be represented by one or more fully-registered global notes in book-entry form (each, a “</w:t>
      </w:r>
      <w:r>
        <w:rPr>
          <w:rFonts w:ascii="Times New Roman" w:hAnsi="Times New Roman"/>
          <w:b/>
          <w:sz w:val="24"/>
        </w:rPr>
        <w:t>Global Note</w:t>
      </w:r>
      <w:r>
        <w:rPr>
          <w:rFonts w:ascii="Times New Roman" w:hAnsi="Times New Roman"/>
          <w:sz w:val="24"/>
        </w:rPr>
        <w:t>”) which shall each be deposited with, or on behalf of, CDS Clearing and Depository Services Inc. (“</w:t>
      </w:r>
      <w:r>
        <w:rPr>
          <w:rFonts w:ascii="Times New Roman" w:hAnsi="Times New Roman"/>
          <w:b/>
          <w:sz w:val="24"/>
        </w:rPr>
        <w:t>CDS</w:t>
      </w:r>
      <w:r>
        <w:rPr>
          <w:rFonts w:ascii="Times New Roman" w:hAnsi="Times New Roman"/>
          <w:sz w:val="24"/>
        </w:rPr>
        <w:t xml:space="preserve">”) and registered in the name of CDS &amp; Co. The Global Note in respect of the 2029 Notes shall be in the form of Exhibit I attached hereto and the Global Note in respect of the 2031 Notes shall be in the form of Exhibit II attached hereto. So long as CDS, or its nominee, is the registered owner of a Global Note, CDS or its nominee, as the case may be, shall be considered the sole owner or Holder of the Notes represented by a Global Note for all purposes under the Indenture. Ownership of beneficial interests in a Global Note shall be shown on, and transfers thereof shall be effected only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- 7 -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through, records maintained by CDS (with respect to beneficial interests of participants or persons that hold interests through participants) or by participants or persons that hold interest through participants (with respect to beneficial interests of beneficial owners). Beneficial interests in a Global Note will be held in initial denominations of C$2,000 and subsequent multiples of C$1,000 in excess thereof. A Global Note may be transferred, in whole and not in part, only to another nominee of CDS or to a successor of CDS or its nominee. </w:t>
      </w:r>
    </w:p>
    <w:p>
      <w:pPr>
        <w:pStyle w:val="TextBody"/>
        <w:bidi w:val="0"/>
        <w:spacing w:before="240" w:after="0"/>
        <w:jc w:val="both"/>
        <w:rPr>
          <w:rFonts w:ascii="Times New Roman" w:hAnsi="Times New Roman"/>
          <w:b/>
          <w:sz w:val="24"/>
        </w:rPr>
      </w:pPr>
      <w:r>
        <w:rPr>
          <w:rFonts w:ascii="Times New Roman" w:hAnsi="Times New Roman"/>
          <w:b/>
          <w:sz w:val="24"/>
        </w:rPr>
        <w:t xml:space="preserve">Section 2.03 Terms and Conditions of the Notes. </w:t>
      </w:r>
    </w:p>
    <w:p>
      <w:pPr>
        <w:pStyle w:val="TextBody"/>
        <w:bidi w:val="0"/>
        <w:spacing w:before="240" w:after="0"/>
        <w:jc w:val="both"/>
        <w:rPr>
          <w:rFonts w:ascii="Times New Roman" w:hAnsi="Times New Roman"/>
          <w:sz w:val="24"/>
        </w:rPr>
      </w:pPr>
      <w:r>
        <w:rPr>
          <w:rFonts w:ascii="Times New Roman" w:hAnsi="Times New Roman"/>
          <w:sz w:val="24"/>
        </w:rPr>
        <w:t xml:space="preserve">The Notes shall be governed by all the terms and conditions of the Indenture, as supplemented by this Second Supplemental Indenture, and in particular, the following provisions shall be terms of the Notes: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b/>
          <w:sz w:val="24"/>
        </w:rPr>
        <w:t>Date of Payment of Principal</w:t>
      </w:r>
      <w:r>
        <w:rPr>
          <w:rFonts w:ascii="Times New Roman" w:hAnsi="Times New Roman"/>
          <w:sz w:val="24"/>
        </w:rPr>
        <w:t xml:space="preserve">. The principal of the 2029 Notes issued on the date hereof shall be payable on September 17, 2029. The principal of the 2031 Notes shall be payable on September 17, 2031.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b/>
          <w:sz w:val="24"/>
        </w:rPr>
        <w:t>Issue Price</w:t>
      </w:r>
      <w:r>
        <w:rPr>
          <w:rFonts w:ascii="Times New Roman" w:hAnsi="Times New Roman"/>
          <w:sz w:val="24"/>
        </w:rPr>
        <w:t xml:space="preserve">. The 2029 Notes issued on the date hereof shall be issued at 99.978% of the principal amount thereof and the 2031 Notes issued on the date hereof shall be issued at 99.987% of the principal amount thereof.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b/>
          <w:sz w:val="24"/>
        </w:rPr>
        <w:t>Interest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(A)  The 2029 Notes shall bear interest at the rate of 4.130% per annum; and the 2031 Notes shall bear interest at the rate of 4.480% per annum</w:t>
      </w:r>
      <w:r>
        <w:rPr>
          <w:rFonts w:ascii="Times New Roman" w:hAnsi="Times New Roman"/>
          <w:sz w:val="24"/>
          <w:u w:val="single"/>
        </w:rPr>
        <w:t xml:space="preserve"> provided</w:t>
      </w:r>
      <w:r>
        <w:rPr>
          <w:rFonts w:ascii="Times New Roman" w:hAnsi="Times New Roman"/>
          <w:sz w:val="24"/>
        </w:rPr>
        <w:t xml:space="preserve">, that in each case any principal and premium and any installment of interest which is overdue shall bear interest at the same rate (to the extent that the payment of such interest shall be legally enforceable). The interest for each series of Notes will be calculated on the basis of a 365-day year. </w:t>
      </w:r>
    </w:p>
    <w:p>
      <w:pPr>
        <w:pStyle w:val="TextBody"/>
        <w:bidi w:val="0"/>
        <w:spacing w:before="240" w:after="0"/>
        <w:jc w:val="both"/>
        <w:rPr>
          <w:rFonts w:ascii="Times New Roman" w:hAnsi="Times New Roman"/>
          <w:sz w:val="24"/>
        </w:rPr>
      </w:pPr>
      <w:r>
        <w:rPr>
          <w:rFonts w:ascii="Times New Roman" w:hAnsi="Times New Roman"/>
          <w:sz w:val="24"/>
        </w:rPr>
        <w:t xml:space="preserve">(B)  Interest in respect of each series of Notes shall accrue from and including September 17, 2026 or from and including the most recent Interest Payment Date to which interest has been paid or duly provided for. </w:t>
      </w:r>
    </w:p>
    <w:p>
      <w:pPr>
        <w:pStyle w:val="TextBody"/>
        <w:bidi w:val="0"/>
        <w:spacing w:before="240" w:after="0"/>
        <w:jc w:val="both"/>
        <w:rPr>
          <w:rFonts w:ascii="Times New Roman" w:hAnsi="Times New Roman"/>
          <w:sz w:val="24"/>
        </w:rPr>
      </w:pPr>
      <w:r>
        <w:rPr>
          <w:rFonts w:ascii="Times New Roman" w:hAnsi="Times New Roman"/>
          <w:sz w:val="24"/>
        </w:rPr>
        <w:t xml:space="preserve">(C)  The Interest Payment Dates on which interest shall be payable in respect of each series of Notes shall be March 17 and September 17 in each year, commencing March 17, 2027. </w:t>
      </w:r>
    </w:p>
    <w:p>
      <w:pPr>
        <w:pStyle w:val="TextBody"/>
        <w:bidi w:val="0"/>
        <w:spacing w:before="240" w:after="0"/>
        <w:jc w:val="both"/>
        <w:rPr>
          <w:rFonts w:ascii="Times New Roman" w:hAnsi="Times New Roman"/>
          <w:sz w:val="24"/>
        </w:rPr>
      </w:pPr>
      <w:r>
        <w:rPr>
          <w:rFonts w:ascii="Times New Roman" w:hAnsi="Times New Roman"/>
          <w:sz w:val="24"/>
        </w:rPr>
        <w:t xml:space="preserve">(D)  The Regular Record Dates for interest in respect of each series of Notes shall be March 1 and September 1 (whether or not a Business Day) in respect of the interest payable on March 17 and September 17, respectively.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b/>
          <w:sz w:val="24"/>
        </w:rPr>
        <w:t>Payment of Principal and Interest</w:t>
      </w:r>
      <w:r>
        <w:rPr>
          <w:rFonts w:ascii="Times New Roman" w:hAnsi="Times New Roman"/>
          <w:sz w:val="24"/>
        </w:rPr>
        <w:t xml:space="preserve">. Settlement for the Notes shall be made in immediately available funds. All payments of principal and interest shall be made by the Company in immediately available funds. The Notes shall trade in the depository system of CDS until Maturity, and secondary market trading activity for the Notes shall settle in immediately available funds.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b/>
          <w:sz w:val="24"/>
        </w:rPr>
        <w:t>Optional Redemption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2029 Notes shall be redeemable at the election of the Company, in whole or in part, at any time on not less than 10 days’ and not more than 60 days’ prior notice at a Redemption Price equal to the greater of (i) the 2029 Canada Yield Price and (ii) 100% of the principal amount of the 2029 Notes, in each case together with accrued and unpaid interest thereon to the Redemption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- 8 -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Date. Such accrued interest and the Redemption Price will be calculated on the basis of a 365-day year. Unless the Company defaults in the payment of the Redemption Price, on or after the Redemption Date, interest will cease to accrue on the 2029 Notes or the portions thereof called for redemption. </w:t>
      </w:r>
    </w:p>
    <w:p>
      <w:pPr>
        <w:pStyle w:val="TextBody"/>
        <w:bidi w:val="0"/>
        <w:spacing w:before="240" w:after="0"/>
        <w:jc w:val="both"/>
        <w:rPr>
          <w:rFonts w:ascii="Times New Roman" w:hAnsi="Times New Roman"/>
          <w:sz w:val="24"/>
        </w:rPr>
      </w:pPr>
      <w:r>
        <w:rPr>
          <w:rFonts w:ascii="Times New Roman" w:hAnsi="Times New Roman"/>
          <w:sz w:val="24"/>
        </w:rPr>
        <w:t xml:space="preserve">(B)  Prior to the 2031 Par Call Date, the 2031 Notes shall be redeemable at the election of the Company, in whole or in part, at any time on not less than 10 days’ and not more than 60 days’ prior notice at a Redemption Price equal to the greater of (i) the 2031 Canada Yield Price and (ii) 100% of the principal amount of the 2031 Notes, in each case together with accrued and unpaid interest thereon to the Redemption Date. Such accrued interest and the Redemption Price will be calculated on the basis of a 365-day year. Unless the Company defaults in the payment of the Redemption Price, on or after the Redemption Date, interest will cease to accrue on the 2031 Notes or the portions thereof called for redemption. On or after the 2031 Par Call Date, the 2031 Notes shall be redeemable at the election of the Company, in whole or in part, at any time on not less than 10 days’ and not more than 60 days’ prior notice at a Redemption Price equal to 100% of the principal amount of the 2031 Notes, together with accrued and unpaid interest thereon to the Redemption Date. </w:t>
      </w:r>
    </w:p>
    <w:p>
      <w:pPr>
        <w:pStyle w:val="TextBody"/>
        <w:bidi w:val="0"/>
        <w:spacing w:before="240" w:after="0"/>
        <w:jc w:val="both"/>
        <w:rPr>
          <w:rFonts w:ascii="Times New Roman" w:hAnsi="Times New Roman"/>
          <w:sz w:val="24"/>
        </w:rPr>
      </w:pPr>
      <w:r>
        <w:rPr>
          <w:rFonts w:ascii="Times New Roman" w:hAnsi="Times New Roman"/>
          <w:sz w:val="24"/>
        </w:rPr>
        <w:t xml:space="preserve">In each case, where fewer than all of the Notes are to be redeemed, the applicable Notes to be so redeemed will be redeemed on a </w:t>
      </w:r>
      <w:r>
        <w:rPr>
          <w:rFonts w:ascii="Times New Roman" w:hAnsi="Times New Roman"/>
          <w:i/>
          <w:sz w:val="24"/>
        </w:rPr>
        <w:t>pro rata</w:t>
      </w:r>
      <w:r>
        <w:rPr>
          <w:rFonts w:ascii="Times New Roman" w:hAnsi="Times New Roman"/>
          <w:sz w:val="24"/>
        </w:rPr>
        <w:t xml:space="preserve"> basis according to the principal amount of such Notes registered in the respective name of each holder of such Notes or in such other manner as the Notes Trustee may consider fair and appropriate in accordance with the procedures of CDS, provided that no such partial redemption shall reduce the non-redeemed portion of the principal amount of Notes to less than the minimum authorized denomination of the Notes.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b/>
          <w:sz w:val="24"/>
        </w:rPr>
        <w:t>Negative Pledge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So long as any of the Notes are Outstanding: </w:t>
      </w:r>
    </w:p>
    <w:p>
      <w:pPr>
        <w:pStyle w:val="TextBody"/>
        <w:bidi w:val="0"/>
        <w:spacing w:before="240" w:after="0"/>
        <w:jc w:val="both"/>
        <w:rPr>
          <w:rFonts w:ascii="Times New Roman" w:hAnsi="Times New Roman"/>
          <w:sz w:val="24"/>
        </w:rPr>
      </w:pPr>
      <w:r>
        <w:rPr>
          <w:rFonts w:ascii="Times New Roman" w:hAnsi="Times New Roman"/>
          <w:sz w:val="24"/>
        </w:rPr>
        <w:t xml:space="preserve">(A)  the Company will not create or permit to subsist after knowledge of the existence thereof any Security Interest upon any part of its undertaking or assets to secure any Debt of the Company; or </w:t>
      </w:r>
    </w:p>
    <w:p>
      <w:pPr>
        <w:pStyle w:val="TextBody"/>
        <w:bidi w:val="0"/>
        <w:spacing w:before="240" w:after="0"/>
        <w:jc w:val="both"/>
        <w:rPr>
          <w:rFonts w:ascii="Times New Roman" w:hAnsi="Times New Roman"/>
          <w:sz w:val="24"/>
        </w:rPr>
      </w:pPr>
      <w:r>
        <w:rPr>
          <w:rFonts w:ascii="Times New Roman" w:hAnsi="Times New Roman"/>
          <w:sz w:val="24"/>
        </w:rPr>
        <w:t xml:space="preserve">(B) the Company will not permit any Material Subsidiary to give any Guarantee to secure any Debt of the Company, </w:t>
      </w:r>
    </w:p>
    <w:p>
      <w:pPr>
        <w:pStyle w:val="TextBody"/>
        <w:bidi w:val="0"/>
        <w:spacing w:before="240" w:after="0"/>
        <w:jc w:val="both"/>
        <w:rPr>
          <w:rFonts w:ascii="Times New Roman" w:hAnsi="Times New Roman"/>
          <w:sz w:val="24"/>
        </w:rPr>
      </w:pPr>
      <w:r>
        <w:rPr>
          <w:rFonts w:ascii="Times New Roman" w:hAnsi="Times New Roman"/>
          <w:sz w:val="24"/>
        </w:rPr>
        <w:t xml:space="preserve">without at the same time or as soon as reasonably practicable thereafter offering to the Holders of Notes a ratable and </w:t>
      </w:r>
      <w:r>
        <w:rPr>
          <w:rFonts w:ascii="Times New Roman" w:hAnsi="Times New Roman"/>
          <w:i/>
          <w:sz w:val="24"/>
        </w:rPr>
        <w:t xml:space="preserve">pari passu </w:t>
      </w:r>
      <w:r>
        <w:rPr>
          <w:rFonts w:ascii="Times New Roman" w:hAnsi="Times New Roman"/>
          <w:sz w:val="24"/>
        </w:rPr>
        <w:t xml:space="preserve">interest in the same Security Interest or Guarantee, as applicable, but the covenant in this Section 2.03(f) will not apply to, or operate to prevent: </w:t>
      </w:r>
    </w:p>
    <w:p>
      <w:pPr>
        <w:pStyle w:val="TextBody"/>
        <w:bidi w:val="0"/>
        <w:spacing w:before="240" w:after="0"/>
        <w:jc w:val="both"/>
        <w:rPr>
          <w:rFonts w:ascii="Times New Roman" w:hAnsi="Times New Roman"/>
          <w:sz w:val="24"/>
        </w:rPr>
      </w:pPr>
      <w:r>
        <w:rPr>
          <w:rFonts w:ascii="Times New Roman" w:hAnsi="Times New Roman"/>
          <w:sz w:val="24"/>
        </w:rPr>
        <w:t xml:space="preserve">(I)  any Security Interest for, or any Guarantee by a Material Subsidiary of, any Debt of the Company, as applicable, the amount of which, when aggregated with the amount of all other Debt of the Company then outstanding in respect of which Security Interest or a Guarantee by a Material Subsidiary has been given, excluding any Security Interest or Guarantee given pursuant to the exceptions in subparagraphs (II) to (IV) below, would not exceed 10% of Consolidated Shareholders’ Equity; </w:t>
      </w:r>
    </w:p>
    <w:p>
      <w:pPr>
        <w:pStyle w:val="TextBody"/>
        <w:bidi w:val="0"/>
        <w:spacing w:before="240" w:after="0"/>
        <w:jc w:val="both"/>
        <w:rPr>
          <w:rFonts w:ascii="Times New Roman" w:hAnsi="Times New Roman"/>
          <w:sz w:val="24"/>
        </w:rPr>
      </w:pPr>
      <w:r>
        <w:rPr>
          <w:rFonts w:ascii="Times New Roman" w:hAnsi="Times New Roman"/>
          <w:sz w:val="24"/>
        </w:rPr>
        <w:t xml:space="preserve">(II)  any Security Interest on (a) any asset (including shares) acquired or held by the Company to secure Debt of the Company, respectively, incurred solely for the purpose of financing the acquisition, construction, research, development or improvement of such asset, or (b) shares of a Subsidiary organized solely to acquire any such asset;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- 9 -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(III)  the assumption by the Company of any Security Interest in existence on any asset at the time of acquisition thereof, including any such assumption consequent upon any amalgamation, merger, arrangement or other corporate reorganization; </w:t>
      </w:r>
    </w:p>
    <w:p>
      <w:pPr>
        <w:pStyle w:val="TextBody"/>
        <w:bidi w:val="0"/>
        <w:spacing w:before="240" w:after="0"/>
        <w:jc w:val="both"/>
        <w:rPr>
          <w:rFonts w:ascii="Times New Roman" w:hAnsi="Times New Roman"/>
          <w:sz w:val="24"/>
        </w:rPr>
      </w:pPr>
      <w:r>
        <w:rPr>
          <w:rFonts w:ascii="Times New Roman" w:hAnsi="Times New Roman"/>
          <w:sz w:val="24"/>
        </w:rPr>
        <w:t xml:space="preserve">(IV) the Company giving any Security Interest (other than on shares or fixed assets) in the ordinary course of its business to any bank or banks or others to secure any Debt of the Company that is not a Funded Obligation; or </w:t>
      </w:r>
    </w:p>
    <w:p>
      <w:pPr>
        <w:pStyle w:val="TextBody"/>
        <w:bidi w:val="0"/>
        <w:spacing w:before="240" w:after="0"/>
        <w:jc w:val="both"/>
        <w:rPr>
          <w:rFonts w:ascii="Times New Roman" w:hAnsi="Times New Roman"/>
          <w:sz w:val="24"/>
        </w:rPr>
      </w:pPr>
      <w:r>
        <w:rPr>
          <w:rFonts w:ascii="Times New Roman" w:hAnsi="Times New Roman"/>
          <w:sz w:val="24"/>
        </w:rPr>
        <w:t xml:space="preserve">(V) the extension, renewal or refunding of any Security Interest permitted under subparagraphs (II) to (IV) above to the extent of the principal amount of the Debt of the Company, as applicable, secured by and owing under any such Security Interest at the time of such extension, renewal or refunding. </w:t>
      </w:r>
    </w:p>
    <w:p>
      <w:pPr>
        <w:pStyle w:val="TextBody"/>
        <w:bidi w:val="0"/>
        <w:spacing w:before="240" w:after="0"/>
        <w:jc w:val="both"/>
        <w:rPr>
          <w:rFonts w:ascii="Times New Roman" w:hAnsi="Times New Roman"/>
          <w:sz w:val="24"/>
        </w:rPr>
      </w:pPr>
      <w:r>
        <w:rPr>
          <w:rFonts w:ascii="Times New Roman" w:hAnsi="Times New Roman"/>
          <w:sz w:val="24"/>
        </w:rPr>
        <w:t>(g)  </w:t>
      </w:r>
      <w:r>
        <w:rPr>
          <w:rFonts w:ascii="Times New Roman" w:hAnsi="Times New Roman"/>
          <w:b/>
          <w:sz w:val="24"/>
        </w:rPr>
        <w:t>Merger, Consolidation or Amalgamation</w:t>
      </w:r>
      <w:r>
        <w:rPr>
          <w:rFonts w:ascii="Times New Roman" w:hAnsi="Times New Roman"/>
          <w:sz w:val="24"/>
        </w:rPr>
        <w:t xml:space="preserve">. For purposes of the Notes, Section 801 of the Indenture shall not apply in respect of (i) any consolidation, amalgamation or merger involving the Company and any one or more of its Subsidiaries; (ii) any conveyance, transfer, or sale of lease of the Company’s properties or assets to any one or more of its Subsidiaries; or (iii) any other transaction between the Company and any one or more of its Subsidiaries. </w:t>
      </w:r>
    </w:p>
    <w:p>
      <w:pPr>
        <w:pStyle w:val="TextBody"/>
        <w:bidi w:val="0"/>
        <w:spacing w:before="240" w:after="0"/>
        <w:jc w:val="both"/>
        <w:rPr>
          <w:rFonts w:ascii="Times New Roman" w:hAnsi="Times New Roman"/>
          <w:sz w:val="24"/>
        </w:rPr>
      </w:pPr>
      <w:r>
        <w:rPr>
          <w:rFonts w:ascii="Times New Roman" w:hAnsi="Times New Roman"/>
          <w:sz w:val="24"/>
        </w:rPr>
        <w:t>(h)  </w:t>
      </w:r>
      <w:r>
        <w:rPr>
          <w:rFonts w:ascii="Times New Roman" w:hAnsi="Times New Roman"/>
          <w:b/>
          <w:sz w:val="24"/>
        </w:rPr>
        <w:t>Applicability of Defeasance or Covenant Defeasance</w:t>
      </w:r>
      <w:r>
        <w:rPr>
          <w:rFonts w:ascii="Times New Roman" w:hAnsi="Times New Roman"/>
          <w:sz w:val="24"/>
        </w:rPr>
        <w:t xml:space="preserve">. The provisions of Article 14 of the Indenture shall apply to the Notes.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b/>
          <w:sz w:val="24"/>
        </w:rPr>
        <w:t xml:space="preserve">Additional Amounts. </w:t>
      </w:r>
      <w:r>
        <w:rPr>
          <w:rFonts w:ascii="Times New Roman" w:hAnsi="Times New Roman"/>
          <w:sz w:val="24"/>
        </w:rPr>
        <w:t xml:space="preserve">For purposes of the Notes, Section 1005 of the Indenture shall be replaced with the following: </w:t>
      </w:r>
    </w:p>
    <w:p>
      <w:pPr>
        <w:pStyle w:val="TextBody"/>
        <w:bidi w:val="0"/>
        <w:spacing w:before="240" w:after="0"/>
        <w:jc w:val="both"/>
        <w:rPr>
          <w:rFonts w:ascii="Times New Roman" w:hAnsi="Times New Roman"/>
          <w:sz w:val="24"/>
        </w:rPr>
      </w:pPr>
      <w:r>
        <w:rPr>
          <w:rFonts w:ascii="Times New Roman" w:hAnsi="Times New Roman"/>
          <w:sz w:val="24"/>
        </w:rPr>
        <w:t>Where any Person assumes the Company’s obligations under this Indenture as a result of an amalgamation, consolidation, merger, conveyance, transfer or lease effected in compliance with Article Eight and such Person is domiciled or otherwise resident for Tax purposes in or makes payment on or in respect of the Notes from a jurisdiction other than Canada or a political subdivision thereof (each such Person, a “</w:t>
      </w:r>
      <w:r>
        <w:rPr>
          <w:rFonts w:ascii="Times New Roman" w:hAnsi="Times New Roman"/>
          <w:b/>
          <w:sz w:val="24"/>
        </w:rPr>
        <w:t>Non-Canadian Person</w:t>
      </w:r>
      <w:r>
        <w:rPr>
          <w:rFonts w:ascii="Times New Roman" w:hAnsi="Times New Roman"/>
          <w:sz w:val="24"/>
        </w:rPr>
        <w:t xml:space="preserve">”), then: </w:t>
      </w:r>
    </w:p>
    <w:p>
      <w:pPr>
        <w:pStyle w:val="TextBody"/>
        <w:bidi w:val="0"/>
        <w:spacing w:before="240" w:after="0"/>
        <w:jc w:val="both"/>
        <w:rPr>
          <w:rFonts w:ascii="Times New Roman" w:hAnsi="Times New Roman"/>
          <w:sz w:val="24"/>
        </w:rPr>
      </w:pPr>
      <w:r>
        <w:rPr>
          <w:rFonts w:ascii="Times New Roman" w:hAnsi="Times New Roman"/>
          <w:sz w:val="24"/>
        </w:rPr>
        <w:t xml:space="preserve">(A)  the provisions of 2.03(j)(B)(I) through (VII) and 2.03(j)(C) of the Second Supplemental Indenture shall apply to such Non-Canadian Person, with such modifications, additions or substitutions as may be appropriate with respect to such jurisdiction, including, without limitation, that “Co-Obligor” shall be read as such Person and “Non-Canadian Taxing Jurisdiction” shall be read as the jurisdiction of domicile or residence for Tax purposes of such Non-Canadian Person or any jurisdiction from which payments on or in respect of the Notes are made or any authority or agency therein or thereof having the power to tax, subject to customary exceptions consistent with the nature of the exceptions set forth in Section 2.03(j)(B)(II)(i) through (x) of the Second Supplemental Indenture; </w:t>
      </w:r>
    </w:p>
    <w:p>
      <w:pPr>
        <w:pStyle w:val="TextBody"/>
        <w:bidi w:val="0"/>
        <w:spacing w:before="240" w:after="0"/>
        <w:jc w:val="both"/>
        <w:rPr>
          <w:rFonts w:ascii="Times New Roman" w:hAnsi="Times New Roman"/>
          <w:sz w:val="24"/>
        </w:rPr>
      </w:pPr>
      <w:r>
        <w:rPr>
          <w:rFonts w:ascii="Times New Roman" w:hAnsi="Times New Roman"/>
          <w:sz w:val="24"/>
        </w:rPr>
        <w:t xml:space="preserve">(B)  at least 10 days prior to each date on which any payment under or with respect to the Securities is due and payable, if such Non-Canadian Person will be obligated to pay Foreign Additional Amounts with respect to such payment, such Non-Canadian Person will deliver to the Trustee an Officer’s Certificate stating the fact that such Foreign Additional Amounts will be payable, the amounts so payable and will set forth such other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- 10 -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information necessary to enable the Trustee to pay such Foreign Additional Amounts to Holders on the payment date; </w:t>
      </w:r>
    </w:p>
    <w:p>
      <w:pPr>
        <w:pStyle w:val="TextBody"/>
        <w:bidi w:val="0"/>
        <w:spacing w:before="240" w:after="0"/>
        <w:jc w:val="both"/>
        <w:rPr>
          <w:rFonts w:ascii="Times New Roman" w:hAnsi="Times New Roman"/>
          <w:sz w:val="24"/>
        </w:rPr>
      </w:pPr>
      <w:r>
        <w:rPr>
          <w:rFonts w:ascii="Times New Roman" w:hAnsi="Times New Roman"/>
          <w:sz w:val="24"/>
        </w:rPr>
        <w:t xml:space="preserve">(C)  whenever in this Indenture there is mentioned, in any context, the payment of principal (and premium, if any), Redemption Price, interest or any other amount payable under or with respect to any Security such mention shall be deemed to include mention of the payment of Foreign Additional Amounts provided for in this Section 1005 to the extent that, in such context, Foreign Additional Amounts are, were or would be payable in respect thereof pursuant to the provisions of this Section 1005 and express mention of the payment of Foreign Additional Amounts (if applicable) in any provisions of this Indenture shall not be construed as excluding Foreign Additional Amounts in those provisions of this Indenture where such express mention is not made (if applicable); and </w:t>
      </w:r>
    </w:p>
    <w:p>
      <w:pPr>
        <w:pStyle w:val="TextBody"/>
        <w:bidi w:val="0"/>
        <w:spacing w:before="240" w:after="0"/>
        <w:jc w:val="both"/>
        <w:rPr>
          <w:rFonts w:ascii="Times New Roman" w:hAnsi="Times New Roman"/>
          <w:sz w:val="24"/>
        </w:rPr>
      </w:pPr>
      <w:r>
        <w:rPr>
          <w:rFonts w:ascii="Times New Roman" w:hAnsi="Times New Roman"/>
          <w:sz w:val="24"/>
        </w:rPr>
        <w:t xml:space="preserve">(D)  such Non-Canadian Person will furnish to Holders, within 30 days after the date the payment of any Taxes of a Foreign Taxing Jurisdiction is due pursuant to applicable law, certified copies of tax receipts evidencing such payment by such Non-Canadian Person. </w:t>
      </w:r>
    </w:p>
    <w:p>
      <w:pPr>
        <w:pStyle w:val="TextBody"/>
        <w:bidi w:val="0"/>
        <w:spacing w:before="240" w:after="0"/>
        <w:jc w:val="both"/>
        <w:rPr>
          <w:rFonts w:ascii="Times New Roman" w:hAnsi="Times New Roman"/>
          <w:sz w:val="24"/>
        </w:rPr>
      </w:pPr>
      <w:r>
        <w:rPr>
          <w:rFonts w:ascii="Times New Roman" w:hAnsi="Times New Roman"/>
          <w:sz w:val="24"/>
        </w:rPr>
        <w:t>(j)  </w:t>
      </w:r>
      <w:r>
        <w:rPr>
          <w:rFonts w:ascii="Times New Roman" w:hAnsi="Times New Roman"/>
          <w:b/>
          <w:sz w:val="24"/>
        </w:rPr>
        <w:t>Assumption by a Subsidiary</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The Company shall have the right at any time, without notice to or consent of the Holders of the Notes of either series, to designate a Wholly-Owned Subsidiary to assume, as co-obligor (a “</w:t>
      </w:r>
      <w:r>
        <w:rPr>
          <w:rFonts w:ascii="Times New Roman" w:hAnsi="Times New Roman"/>
          <w:b/>
          <w:sz w:val="24"/>
        </w:rPr>
        <w:t>Co-Obligor</w:t>
      </w:r>
      <w:r>
        <w:rPr>
          <w:rFonts w:ascii="Times New Roman" w:hAnsi="Times New Roman"/>
          <w:sz w:val="24"/>
        </w:rPr>
        <w:t xml:space="preserve">”) on a joint and several basis with the Company, all obligations of the Company under the Indenture (insofar as it applies to a particular series of Notes) and a particular series of Notes, provided that: </w:t>
      </w:r>
    </w:p>
    <w:p>
      <w:pPr>
        <w:pStyle w:val="TextBody"/>
        <w:bidi w:val="0"/>
        <w:spacing w:before="240" w:after="0"/>
        <w:jc w:val="both"/>
        <w:rPr>
          <w:rFonts w:ascii="Times New Roman" w:hAnsi="Times New Roman"/>
          <w:sz w:val="24"/>
        </w:rPr>
      </w:pPr>
      <w:r>
        <w:rPr>
          <w:rFonts w:ascii="Times New Roman" w:hAnsi="Times New Roman"/>
          <w:sz w:val="24"/>
        </w:rPr>
        <w:t xml:space="preserve">(A)  by an indenture supplemental to the Indenture, executed and delivered to the Trustees, in form satisfactory to the Trustees, the Co-Obligor shall expressly assume, as co-obligor on a joint and several basis with the Company, the Company’s obligation for the due and punctual payment of the principal of (and premium, if any), including the Redemption Price and Repayment Price, and interest on all the Notes of such series and the performance of every covenant of the Indenture (insofar as it applies to the Notes of such series) on the part of the Company to be performed or observed; </w:t>
      </w:r>
    </w:p>
    <w:p>
      <w:pPr>
        <w:pStyle w:val="TextBody"/>
        <w:bidi w:val="0"/>
        <w:spacing w:before="240" w:after="0"/>
        <w:jc w:val="both"/>
        <w:rPr>
          <w:rFonts w:ascii="Times New Roman" w:hAnsi="Times New Roman"/>
          <w:sz w:val="24"/>
        </w:rPr>
      </w:pPr>
      <w:r>
        <w:rPr>
          <w:rFonts w:ascii="Times New Roman" w:hAnsi="Times New Roman"/>
          <w:sz w:val="24"/>
        </w:rPr>
        <w:t xml:space="preserve">(B)  such supplemental indenture shall also provide that: </w:t>
      </w:r>
    </w:p>
    <w:p>
      <w:pPr>
        <w:pStyle w:val="TextBody"/>
        <w:bidi w:val="0"/>
        <w:spacing w:before="240" w:after="0"/>
        <w:jc w:val="both"/>
        <w:rPr>
          <w:rFonts w:ascii="Times New Roman" w:hAnsi="Times New Roman"/>
          <w:sz w:val="24"/>
        </w:rPr>
      </w:pPr>
      <w:r>
        <w:rPr>
          <w:rFonts w:ascii="Times New Roman" w:hAnsi="Times New Roman"/>
          <w:sz w:val="24"/>
        </w:rPr>
        <w:t>(I)  all payments made by the Co-Obligor under or with respect to the Notes of such series will be made free and clear of and without withholding or deduction for or on account of any present or future tax, duty, levy, impost, assessment or other governmental charge (including penalties, interest and other liabilities related thereto) (hereinafter “</w:t>
      </w:r>
      <w:r>
        <w:rPr>
          <w:rFonts w:ascii="Times New Roman" w:hAnsi="Times New Roman"/>
          <w:b/>
          <w:sz w:val="24"/>
        </w:rPr>
        <w:t>Taxes</w:t>
      </w:r>
      <w:r>
        <w:rPr>
          <w:rFonts w:ascii="Times New Roman" w:hAnsi="Times New Roman"/>
          <w:sz w:val="24"/>
        </w:rPr>
        <w:t>”) imposed by or on behalf of the government of any jurisdiction in which the Co-Obligor is domiciled or otherwise resident for Tax purposes or from which it makes payment on or in respect of the Notes or by any authority or agency therein or thereof having the power to tax (other than Canada or a political subdivision thereof) (each, a “</w:t>
      </w:r>
      <w:r>
        <w:rPr>
          <w:rFonts w:ascii="Times New Roman" w:hAnsi="Times New Roman"/>
          <w:b/>
          <w:sz w:val="24"/>
        </w:rPr>
        <w:t>Non-Canadian Taxing Jurisdiction</w:t>
      </w:r>
      <w:r>
        <w:rPr>
          <w:rFonts w:ascii="Times New Roman" w:hAnsi="Times New Roman"/>
          <w:sz w:val="24"/>
        </w:rPr>
        <w:t xml:space="preserve">”), unless the Co-Obligor is required to withhold or deduct any amount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- 11 -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for or on account of Taxes of any Non-Canadian Taxing Jurisdiction by law or by the interpretation or administration thereof; </w:t>
      </w:r>
    </w:p>
    <w:p>
      <w:pPr>
        <w:pStyle w:val="TextBody"/>
        <w:bidi w:val="0"/>
        <w:spacing w:before="240" w:after="0"/>
        <w:jc w:val="both"/>
        <w:rPr>
          <w:rFonts w:ascii="Times New Roman" w:hAnsi="Times New Roman"/>
          <w:sz w:val="24"/>
        </w:rPr>
      </w:pPr>
      <w:r>
        <w:rPr>
          <w:rFonts w:ascii="Times New Roman" w:hAnsi="Times New Roman"/>
          <w:sz w:val="24"/>
        </w:rPr>
        <w:t>(II)  if the Co-Obligor is so required to withhold or deduct any amount for or on account of any Taxes of a Non-Canadian Taxing Jurisdiction from any payment made under or with respect to the Notes of such series, the Co-Obligor will pay such additional amounts (“</w:t>
      </w:r>
      <w:r>
        <w:rPr>
          <w:rFonts w:ascii="Times New Roman" w:hAnsi="Times New Roman"/>
          <w:b/>
          <w:sz w:val="24"/>
        </w:rPr>
        <w:t>Foreign Additional Amounts</w:t>
      </w:r>
      <w:r>
        <w:rPr>
          <w:rFonts w:ascii="Times New Roman" w:hAnsi="Times New Roman"/>
          <w:sz w:val="24"/>
        </w:rPr>
        <w:t xml:space="preserve">”) as may be necessary so that the net amount received by each Holder or beneficial owner of Notes after such withholding or deduction (including any withholding or deduction of Taxes of a Non-Canadian Taxing Jurisdiction attributable to such Foreign Additional Amounts) will not be less than the amount the Holder or beneficial owner would have received if such Taxes had not been withheld or deducted, provided that no such Foreign Additional Amounts will be payable with respect to; </w:t>
      </w:r>
    </w:p>
    <w:p>
      <w:pPr>
        <w:pStyle w:val="TextBody"/>
        <w:bidi w:val="0"/>
        <w:spacing w:before="240" w:after="0"/>
        <w:jc w:val="both"/>
        <w:rPr>
          <w:rFonts w:ascii="Times New Roman" w:hAnsi="Times New Roman"/>
          <w:sz w:val="24"/>
        </w:rPr>
      </w:pPr>
      <w:r>
        <w:rPr>
          <w:rFonts w:ascii="Times New Roman" w:hAnsi="Times New Roman"/>
          <w:sz w:val="24"/>
        </w:rPr>
        <w:t xml:space="preserve">(i)  any Taxes imposed by reason of the Holder or beneficial owner of Notes (or a fiduciary, settlor, beneficiary, member or shareholder of, or possessor of power over, such Holder or beneficial owner, if such Holder or beneficial owner is an estate, trust, partnership, limited liability company or corporation) being considered as having a present or former connection to a Non-Canadian Taxing Jurisdiction or a political subdivision thereof or therein (including, but not limited to, citizenship, nationality, residence, domicile, incorporation, or existence of a business, including without limitation a non-resident insurer who carries on an insurance business in a Non-Canadian Taxing Jurisdiction and in a country other than such Non-Canadian Taxing Jurisdiction, a permanent establishment, a dependent agent, a place of business or a place of management present or deemed present within a Non-Canadian Taxing Jurisdiction), other than any connection arising solely from the acquisition, ownership or disposition of the Notes or the receipt of payments under or with respect to the Notes; </w:t>
      </w:r>
    </w:p>
    <w:p>
      <w:pPr>
        <w:pStyle w:val="TextBody"/>
        <w:bidi w:val="0"/>
        <w:spacing w:before="240" w:after="0"/>
        <w:jc w:val="both"/>
        <w:rPr>
          <w:rFonts w:ascii="Times New Roman" w:hAnsi="Times New Roman"/>
          <w:sz w:val="24"/>
        </w:rPr>
      </w:pPr>
      <w:r>
        <w:rPr>
          <w:rFonts w:ascii="Times New Roman" w:hAnsi="Times New Roman"/>
          <w:sz w:val="24"/>
        </w:rPr>
        <w:t xml:space="preserve">(ii)  any Taxes imposed because the Holder or beneficial owner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0"/>
        <w:gridCol w:w="611"/>
        <w:gridCol w:w="7554"/>
      </w:tblGrid>
      <w:tr>
        <w:trPr/>
        <w:tc>
          <w:tcPr>
            <w:tcW w:w="204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7554"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is or was for United States federal income tax purposes a personal holding company, a passive foreign investment company, a controlled foreign corporation, or a corporation that has accumulated earnings to avoid United States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9"/>
        <w:gridCol w:w="612"/>
        <w:gridCol w:w="7554"/>
      </w:tblGrid>
      <w:tr>
        <w:trPr/>
        <w:tc>
          <w:tcPr>
            <w:tcW w:w="203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7554"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actually or constructively owns or owned 10% or more of the total combined voting power of all classes of stock of the Co-Obligor or the Company within the meaning of Section 871(h)(3) of the U.S. Internal Revenue Code of 1986, as amended (or any successor provision); or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- 12 -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42"/>
        <w:gridCol w:w="714"/>
        <w:gridCol w:w="7349"/>
      </w:tblGrid>
      <w:tr>
        <w:trPr/>
        <w:tc>
          <w:tcPr>
            <w:tcW w:w="2142"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(c)</w:t>
            </w:r>
          </w:p>
        </w:tc>
        <w:tc>
          <w:tcPr>
            <w:tcW w:w="7349"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is or was a bank receiving interest as described in Section 881(c)(3) of the U.S. Internal Revenue Code of 1986, as amended (or any successor provision); </w:t>
            </w:r>
          </w:p>
        </w:tc>
      </w:tr>
    </w:tbl>
    <w:p>
      <w:pPr>
        <w:pStyle w:val="TextBody"/>
        <w:bidi w:val="0"/>
        <w:spacing w:before="240" w:after="0"/>
        <w:jc w:val="both"/>
        <w:rPr>
          <w:rFonts w:ascii="Times New Roman" w:hAnsi="Times New Roman"/>
          <w:sz w:val="24"/>
        </w:rPr>
      </w:pPr>
      <w:r>
        <w:rPr>
          <w:rFonts w:ascii="Times New Roman" w:hAnsi="Times New Roman"/>
          <w:sz w:val="24"/>
        </w:rPr>
        <w:t xml:space="preserve">(iii)  any Taxes that are imposed or withheld by reason of the failure of the Holder or beneficial owner of Notes of such series to comply with any certification, identification, information, documentation or other reporting requirement if compliance is required by law, regulation, or administrative practice of a Non-Canadian Taxing Jurisdiction or an applicable treaty as a precondition to exemption from, or a reduction in the rate of deduction or withholding of, such Taxes or is otherwise reasonably requested by the Company or Co-Obligor to support a claim for relief or exemption from such Taxes; </w:t>
      </w:r>
    </w:p>
    <w:p>
      <w:pPr>
        <w:pStyle w:val="TextBody"/>
        <w:bidi w:val="0"/>
        <w:spacing w:before="240" w:after="0"/>
        <w:jc w:val="both"/>
        <w:rPr>
          <w:rFonts w:ascii="Times New Roman" w:hAnsi="Times New Roman"/>
          <w:sz w:val="24"/>
        </w:rPr>
      </w:pPr>
      <w:r>
        <w:rPr>
          <w:rFonts w:ascii="Times New Roman" w:hAnsi="Times New Roman"/>
          <w:sz w:val="24"/>
        </w:rPr>
        <w:t xml:space="preserve">(iv)  any estate, inheritance, gift, sales, transfer, excise or personal property or any similar Taxes with respect to the Notes of such series; </w:t>
      </w:r>
    </w:p>
    <w:p>
      <w:pPr>
        <w:pStyle w:val="TextBody"/>
        <w:bidi w:val="0"/>
        <w:spacing w:before="240" w:after="0"/>
        <w:jc w:val="both"/>
        <w:rPr>
          <w:rFonts w:ascii="Times New Roman" w:hAnsi="Times New Roman"/>
          <w:sz w:val="24"/>
        </w:rPr>
      </w:pPr>
      <w:r>
        <w:rPr>
          <w:rFonts w:ascii="Times New Roman" w:hAnsi="Times New Roman"/>
          <w:sz w:val="24"/>
        </w:rPr>
        <w:t xml:space="preserve">(v)  any Tax that is payable, imposed, levied, collected or assessed other than by withholding from payments made on or in respect of the Notes of such series; </w:t>
      </w:r>
    </w:p>
    <w:p>
      <w:pPr>
        <w:pStyle w:val="TextBody"/>
        <w:bidi w:val="0"/>
        <w:spacing w:before="240" w:after="0"/>
        <w:jc w:val="both"/>
        <w:rPr>
          <w:rFonts w:ascii="Times New Roman" w:hAnsi="Times New Roman"/>
          <w:sz w:val="24"/>
        </w:rPr>
      </w:pPr>
      <w:r>
        <w:rPr>
          <w:rFonts w:ascii="Times New Roman" w:hAnsi="Times New Roman"/>
          <w:sz w:val="24"/>
        </w:rPr>
        <w:t xml:space="preserve">(vi)  any Note presented for payment (where presentation is required) more than 30 days after the later of (i) the date on which such payment first becomes due or (ii) if the full amount of the monies payable has not been paid to the Holders or beneficial owners of the Notes of such series on or prior to such date, the date on which the full amount of such monies has been paid to the Holders or beneficial owners of the Notes, except to the extent that the Holder or beneficial owner of the Notes of such series would have been entitled to such Foreign Additional Amounts on presentation of the same for payment on the last day of such period of 30 days; </w:t>
      </w:r>
    </w:p>
    <w:p>
      <w:pPr>
        <w:pStyle w:val="TextBody"/>
        <w:bidi w:val="0"/>
        <w:spacing w:before="240" w:after="0"/>
        <w:jc w:val="both"/>
        <w:rPr>
          <w:rFonts w:ascii="Times New Roman" w:hAnsi="Times New Roman"/>
          <w:sz w:val="24"/>
        </w:rPr>
      </w:pPr>
      <w:r>
        <w:rPr>
          <w:rFonts w:ascii="Times New Roman" w:hAnsi="Times New Roman"/>
          <w:sz w:val="24"/>
        </w:rPr>
        <w:t xml:space="preserve">(vii)  any Taxes required to be withheld by any paying agent from any payment on a Note of such series, if such payment can be made without such withholding by any other paying agent; </w:t>
      </w:r>
    </w:p>
    <w:p>
      <w:pPr>
        <w:pStyle w:val="TextBody"/>
        <w:bidi w:val="0"/>
        <w:spacing w:before="240" w:after="0"/>
        <w:jc w:val="both"/>
        <w:rPr>
          <w:rFonts w:ascii="Times New Roman" w:hAnsi="Times New Roman"/>
          <w:sz w:val="24"/>
        </w:rPr>
      </w:pPr>
      <w:r>
        <w:rPr>
          <w:rFonts w:ascii="Times New Roman" w:hAnsi="Times New Roman"/>
          <w:sz w:val="24"/>
        </w:rPr>
        <w:t>(viii)  any (i) tax, assessment, withholding or deduction required pursuant to Sections 1471 to 1474 of the U.S. Internal Revenue Code of 1986, as amended (“</w:t>
      </w:r>
      <w:r>
        <w:rPr>
          <w:rFonts w:ascii="Times New Roman" w:hAnsi="Times New Roman"/>
          <w:b/>
          <w:sz w:val="24"/>
        </w:rPr>
        <w:t>FATCA</w:t>
      </w:r>
      <w:r>
        <w:rPr>
          <w:rFonts w:ascii="Times New Roman" w:hAnsi="Times New Roman"/>
          <w:sz w:val="24"/>
        </w:rPr>
        <w:t xml:space="preserve">”), or any successor version thereof, or any similar legislation imposed by any other governmental authority, or (ii) Tax or penalty arising from the Holder’s or beneficial owner’s failure to properly comply with the Holder’s or beneficial owner’s obligations imposed under the </w:t>
      </w:r>
      <w:r>
        <w:rPr>
          <w:rFonts w:ascii="Times New Roman" w:hAnsi="Times New Roman"/>
          <w:i/>
          <w:sz w:val="24"/>
        </w:rPr>
        <w:t>Canada-United States Enhanced Tax Information Exchange Agreement Implementation Act</w:t>
      </w:r>
      <w:r>
        <w:rPr>
          <w:rFonts w:ascii="Times New Roman" w:hAnsi="Times New Roman"/>
          <w:sz w:val="24"/>
        </w:rPr>
        <w:t xml:space="preserve"> (Canada) or any treaty, law or regulation or other official guidance enacted by Canada implementing FATCA or an intergovernmental agreement with respect to FATCA or any similar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- 13 -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legislation imposed by any other governmental authority, including, for greater certainty, Part XVIII and Part XIX of the </w:t>
      </w:r>
      <w:r>
        <w:rPr>
          <w:rFonts w:ascii="Times New Roman" w:hAnsi="Times New Roman"/>
          <w:i/>
          <w:sz w:val="24"/>
        </w:rPr>
        <w:t>Income Tax Act</w:t>
      </w:r>
      <w:r>
        <w:rPr>
          <w:rFonts w:ascii="Times New Roman" w:hAnsi="Times New Roman"/>
          <w:sz w:val="24"/>
        </w:rPr>
        <w:t xml:space="preserve"> (Canada); or </w:t>
      </w:r>
    </w:p>
    <w:p>
      <w:pPr>
        <w:pStyle w:val="TextBody"/>
        <w:bidi w:val="0"/>
        <w:spacing w:before="240" w:after="0"/>
        <w:jc w:val="both"/>
        <w:rPr>
          <w:rFonts w:ascii="Times New Roman" w:hAnsi="Times New Roman"/>
          <w:sz w:val="24"/>
        </w:rPr>
      </w:pPr>
      <w:r>
        <w:rPr>
          <w:rFonts w:ascii="Times New Roman" w:hAnsi="Times New Roman"/>
          <w:sz w:val="24"/>
        </w:rPr>
        <w:t xml:space="preserve">(ix)  any backup withholding pursuant to Section 3406 of the U.S. Internal Revenue Code of 1986, as amended; or </w:t>
      </w:r>
    </w:p>
    <w:p>
      <w:pPr>
        <w:pStyle w:val="TextBody"/>
        <w:bidi w:val="0"/>
        <w:spacing w:before="240" w:after="0"/>
        <w:jc w:val="both"/>
        <w:rPr>
          <w:rFonts w:ascii="Times New Roman" w:hAnsi="Times New Roman"/>
          <w:sz w:val="24"/>
        </w:rPr>
      </w:pPr>
      <w:r>
        <w:rPr>
          <w:rFonts w:ascii="Times New Roman" w:hAnsi="Times New Roman"/>
          <w:sz w:val="24"/>
        </w:rPr>
        <w:t xml:space="preserve">(x)  any Taxes imposed by reason of any combination of the foregoing; </w:t>
      </w:r>
    </w:p>
    <w:p>
      <w:pPr>
        <w:pStyle w:val="TextBody"/>
        <w:bidi w:val="0"/>
        <w:spacing w:before="240" w:after="0"/>
        <w:jc w:val="both"/>
        <w:rPr>
          <w:rFonts w:ascii="Times New Roman" w:hAnsi="Times New Roman"/>
          <w:sz w:val="24"/>
        </w:rPr>
      </w:pPr>
      <w:r>
        <w:rPr>
          <w:rFonts w:ascii="Times New Roman" w:hAnsi="Times New Roman"/>
          <w:sz w:val="24"/>
        </w:rPr>
        <w:t xml:space="preserve">nor will any Foreign Additional Amounts be paid with respect to any payment on a Note of such series to any beneficial owner that is not the sole beneficial owner of such Note, or a portion of such Note, or that is a fiduciary, partnership or limited liability company, but only to the extent that a beneficiary or settlor with respect to the fiduciary, a beneficial owner or a member of the partnership or limited liability company would not have been entitled to the payment of such Foreign Additional Amounts had such beneficiary, settlor, beneficial owner or member received directly its beneficial or distributive share of such payment; </w:t>
      </w:r>
    </w:p>
    <w:p>
      <w:pPr>
        <w:pStyle w:val="TextBody"/>
        <w:bidi w:val="0"/>
        <w:spacing w:before="240" w:after="0"/>
        <w:jc w:val="both"/>
        <w:rPr>
          <w:rFonts w:ascii="Times New Roman" w:hAnsi="Times New Roman"/>
          <w:sz w:val="24"/>
        </w:rPr>
      </w:pPr>
      <w:r>
        <w:rPr>
          <w:rFonts w:ascii="Times New Roman" w:hAnsi="Times New Roman"/>
          <w:sz w:val="24"/>
        </w:rPr>
        <w:t xml:space="preserve">(III)  the obligations of the Co-Obligor under this Section 2.03(j) shall survive the termination of the Indenture; </w:t>
      </w:r>
    </w:p>
    <w:p>
      <w:pPr>
        <w:pStyle w:val="TextBody"/>
        <w:bidi w:val="0"/>
        <w:spacing w:before="240" w:after="0"/>
        <w:jc w:val="both"/>
        <w:rPr>
          <w:rFonts w:ascii="Times New Roman" w:hAnsi="Times New Roman"/>
          <w:sz w:val="24"/>
        </w:rPr>
      </w:pPr>
      <w:r>
        <w:rPr>
          <w:rFonts w:ascii="Times New Roman" w:hAnsi="Times New Roman"/>
          <w:sz w:val="24"/>
        </w:rPr>
        <w:t xml:space="preserve">(IV)  if the Co-Obligor is required by law or by the interpretation or administration thereof to withhold or deduct any Taxes of a Non-Canadian Taxing Jurisdiction from any payment under or with respect to the Notes for which the Co-Obligor would then have been required to pay Foreign Additional Amounts and fails to so withhold or deduct, the Co-Obligor will indemnify and hold harmless each Holder or beneficial owner of such Notes for the amount of: </w:t>
      </w:r>
    </w:p>
    <w:p>
      <w:pPr>
        <w:pStyle w:val="TextBody"/>
        <w:bidi w:val="0"/>
        <w:spacing w:before="240" w:after="0"/>
        <w:jc w:val="both"/>
        <w:rPr>
          <w:rFonts w:ascii="Times New Roman" w:hAnsi="Times New Roman"/>
          <w:sz w:val="24"/>
        </w:rPr>
      </w:pPr>
      <w:r>
        <w:rPr>
          <w:rFonts w:ascii="Times New Roman" w:hAnsi="Times New Roman"/>
          <w:sz w:val="24"/>
        </w:rPr>
        <w:t xml:space="preserve">(i)   any Taxes of a Non-Canadian Taxing Jurisdiction levied or imposed on and paid by such Holder or beneficial owner; </w:t>
      </w:r>
    </w:p>
    <w:p>
      <w:pPr>
        <w:pStyle w:val="TextBody"/>
        <w:bidi w:val="0"/>
        <w:spacing w:before="240" w:after="0"/>
        <w:jc w:val="both"/>
        <w:rPr>
          <w:rFonts w:ascii="Times New Roman" w:hAnsi="Times New Roman"/>
          <w:sz w:val="24"/>
        </w:rPr>
      </w:pPr>
      <w:r>
        <w:rPr>
          <w:rFonts w:ascii="Times New Roman" w:hAnsi="Times New Roman"/>
          <w:sz w:val="24"/>
        </w:rPr>
        <w:t xml:space="preserve">(ii)   any liability (including penalties, interest and expenses) arising from such Taxes; and </w:t>
      </w:r>
    </w:p>
    <w:p>
      <w:pPr>
        <w:pStyle w:val="TextBody"/>
        <w:bidi w:val="0"/>
        <w:spacing w:before="240" w:after="0"/>
        <w:jc w:val="both"/>
        <w:rPr>
          <w:rFonts w:ascii="Times New Roman" w:hAnsi="Times New Roman"/>
          <w:sz w:val="24"/>
        </w:rPr>
      </w:pPr>
      <w:r>
        <w:rPr>
          <w:rFonts w:ascii="Times New Roman" w:hAnsi="Times New Roman"/>
          <w:sz w:val="24"/>
        </w:rPr>
        <w:t xml:space="preserve">(iii)  any Taxes of a Non-Canadian Taxing Jurisdiction imposed with respect to any payment under clause (i) or (ii) above; </w:t>
      </w:r>
    </w:p>
    <w:p>
      <w:pPr>
        <w:pStyle w:val="TextBody"/>
        <w:bidi w:val="0"/>
        <w:spacing w:before="240" w:after="0"/>
        <w:jc w:val="both"/>
        <w:rPr>
          <w:rFonts w:ascii="Times New Roman" w:hAnsi="Times New Roman"/>
          <w:sz w:val="24"/>
        </w:rPr>
      </w:pPr>
      <w:r>
        <w:rPr>
          <w:rFonts w:ascii="Times New Roman" w:hAnsi="Times New Roman"/>
          <w:sz w:val="24"/>
        </w:rPr>
        <w:t xml:space="preserve">(V)  immediately after giving effect to such transaction, no Event of Default, and no event which, after notice or lapse of time or both, would become an Event of Default, shall have happened and be continuing; </w:t>
      </w:r>
    </w:p>
    <w:p>
      <w:pPr>
        <w:pStyle w:val="TextBody"/>
        <w:bidi w:val="0"/>
        <w:spacing w:before="240" w:after="0"/>
        <w:jc w:val="both"/>
        <w:rPr>
          <w:rFonts w:ascii="Times New Roman" w:hAnsi="Times New Roman"/>
          <w:sz w:val="24"/>
        </w:rPr>
      </w:pPr>
      <w:r>
        <w:rPr>
          <w:rFonts w:ascii="Times New Roman" w:hAnsi="Times New Roman"/>
          <w:sz w:val="24"/>
        </w:rPr>
        <w:t xml:space="preserve">(VI)  following such transaction, the Company shall not be discharged from its obligations and covenants under the Indenture and the Notes of such series; and </w:t>
      </w:r>
    </w:p>
    <w:p>
      <w:pPr>
        <w:pStyle w:val="TextBody"/>
        <w:bidi w:val="0"/>
        <w:spacing w:before="240" w:after="0"/>
        <w:jc w:val="both"/>
        <w:rPr>
          <w:rFonts w:ascii="Times New Roman" w:hAnsi="Times New Roman"/>
          <w:sz w:val="24"/>
        </w:rPr>
      </w:pPr>
      <w:r>
        <w:rPr>
          <w:rFonts w:ascii="Times New Roman" w:hAnsi="Times New Roman"/>
          <w:sz w:val="24"/>
        </w:rPr>
        <w:t xml:space="preserve">(VII)  the Company shall have delivered to the Notes Trustee an Officer’s Certificate and an Opinion of Counsel, each stating that such assumption and such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supplemental indenture comply with this Section 2.03(j) and that all conditions precedent provided for relating to such transaction have been complied with; </w:t>
      </w:r>
    </w:p>
    <w:p>
      <w:pPr>
        <w:pStyle w:val="TextBody"/>
        <w:bidi w:val="0"/>
        <w:spacing w:before="240" w:after="0"/>
        <w:jc w:val="both"/>
        <w:rPr>
          <w:rFonts w:ascii="Times New Roman" w:hAnsi="Times New Roman"/>
          <w:sz w:val="24"/>
        </w:rPr>
      </w:pPr>
      <w:r>
        <w:rPr>
          <w:rFonts w:ascii="Times New Roman" w:hAnsi="Times New Roman"/>
          <w:sz w:val="24"/>
        </w:rPr>
        <w:t xml:space="preserve">and </w:t>
      </w:r>
    </w:p>
    <w:p>
      <w:pPr>
        <w:pStyle w:val="TextBody"/>
        <w:bidi w:val="0"/>
        <w:spacing w:before="240" w:after="0"/>
        <w:jc w:val="both"/>
        <w:rPr>
          <w:rFonts w:ascii="Times New Roman" w:hAnsi="Times New Roman"/>
          <w:sz w:val="24"/>
        </w:rPr>
      </w:pPr>
      <w:r>
        <w:rPr>
          <w:rFonts w:ascii="Times New Roman" w:hAnsi="Times New Roman"/>
          <w:sz w:val="24"/>
        </w:rPr>
        <w:t xml:space="preserve">(C)  the obligations of the Co-Obligor under the Notes shall rank equally with all of the Co-Obligor’s other unsecured and unsubordinated obligations. </w:t>
      </w:r>
    </w:p>
    <w:p>
      <w:pPr>
        <w:pStyle w:val="TextBody"/>
        <w:bidi w:val="0"/>
        <w:spacing w:before="240" w:after="0"/>
        <w:jc w:val="both"/>
        <w:rPr>
          <w:rFonts w:ascii="Times New Roman" w:hAnsi="Times New Roman"/>
          <w:sz w:val="24"/>
        </w:rPr>
      </w:pPr>
      <w:r>
        <w:rPr>
          <w:rFonts w:ascii="Times New Roman" w:hAnsi="Times New Roman"/>
          <w:sz w:val="24"/>
        </w:rPr>
        <w:t>(k)  </w:t>
      </w:r>
      <w:r>
        <w:rPr>
          <w:rFonts w:ascii="Times New Roman" w:hAnsi="Times New Roman"/>
          <w:b/>
          <w:sz w:val="24"/>
        </w:rPr>
        <w:t>Tax Redemption</w:t>
      </w:r>
      <w:r>
        <w:rPr>
          <w:rFonts w:ascii="Times New Roman" w:hAnsi="Times New Roman"/>
          <w:sz w:val="24"/>
        </w:rPr>
        <w:t xml:space="preserve">. Where any Non-Canadian Person (i) assumes the Company’s obligations under the Notes of either series and this Indenture as a result of an amalgamation, consolidation, merger, conveyance, transfer or lease effected in compliance with Article Eight of the Indenture (such that, pursuant to Section 2.03(i) hereof, the provisions of Section 2.03(j)(B)(I) through (VII) and Section 2.03(j)(C) of the Second Supplemental Indenture have become applicable to such Non-Canadian Person with such modifications, additions or substitutions as may be appropriate with respect to such jurisdiction), or (ii) becomes a Co-Obligor under the Notes of either series in accordance with Section 2.03(j) hereof, the Securities will be redeemable, at such Non-Canadian Person’s option, in whole and not in part, at any time, at 100% of the aggregate principal amount, together with accrued and unpaid interest thereon to the Redemption Date (including Foreign Additional Amounts), upon the giving of a notice as described in Section 1102 and Section 1104 of the Indenture, if (1) such Non-Canadian Person determines that (a) as a result of any change in or amendment to (including any officially announced prospective change or amendment) the laws (or any rules, regulations, rulings or administrative pronouncements promulgated thereunder) of any Non-Canadian Taxing Jurisdiction, or any change in official position regarding the application or interpretation of such laws, rules, regulations, rulings or administrative pronouncements (including a holding by a court of competent jurisdiction), which change or amendment is announced or becomes effective (assuming, in the case of any announced prospective change, that such announced change will become effective as of the date specified in such announcement and in the form announced) on or after the date such successor Non-Canadian Person assumes the Company’s obligations, such Non-Canadian Person has or will become obligated to pay, on the next succeeding Interest Payment Date, Foreign Additional Amounts with respect to any Notes of such series or (b) on or after the date such successor Non-Canadian Person assumes the Company’s obligations, any action has been taken by any taxing authority of, or any decision has been rendered by a court of competent jurisdiction in, a Non-Canadian Taxing Jurisdiction, including any of those actions specified in clause (a) above, whether or not such action was taken or decision was rendered with respect to such Non-Canadian Person, or any change, amendment, application or interpretation shall be officially proposed (assuming that such announced change will become effective as of the date specified in such announcement and in the form announced), which, in any such case, in the Opinion of Counsel to such Non-Canadian Person, will result in such Non-Canadian Person becoming obligated to pay, on the next succeeding Interest Payment Date, Foreign Additional Amounts with respect to any Notes of such series, and (2) in any such case, such Person in its business judgment determines that such obligation cannot be avoided by the use of reasonable measures available to such Non-Canadian Person (which, for the avoidance of doubt, shall not include a change in the terms of the Notes of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- 15 -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such series or a substitution of the debtor); provided however, that at the time such notice of redemption is given, such obligation to pay such Foreign Additional Amounts remains in effect. </w:t>
      </w:r>
    </w:p>
    <w:p>
      <w:pPr>
        <w:pStyle w:val="TextBody"/>
        <w:bidi w:val="0"/>
        <w:spacing w:before="240" w:after="0"/>
        <w:jc w:val="both"/>
        <w:rPr>
          <w:rFonts w:ascii="Times New Roman" w:hAnsi="Times New Roman"/>
          <w:sz w:val="24"/>
        </w:rPr>
      </w:pPr>
      <w:r>
        <w:rPr>
          <w:rFonts w:ascii="Times New Roman" w:hAnsi="Times New Roman"/>
          <w:sz w:val="24"/>
        </w:rPr>
        <w:t>(l)  </w:t>
      </w:r>
      <w:r>
        <w:rPr>
          <w:rFonts w:ascii="Times New Roman" w:hAnsi="Times New Roman"/>
          <w:b/>
          <w:sz w:val="24"/>
        </w:rPr>
        <w:t>Offer to Repurchase on Change of Control Triggering Event.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(A)  If a Change of Control Triggering Event occurs, unless the Company has exercised its right to redeem the Notes of a series, the Company will be required to make an offer to repurchase all, or, at the Holder’s option, any part (equal to C$1,000 or an integral multiple thereof), of each Holder’s Notes of each series on the terms set forth in this Section 2.03(l) (in this Section, the “Change of Control Offer”). In the Change of Control Offer, the Company shall offer payment in cash equal to 101% of the aggregate principal amount of such Notes plus accrued and unpaid interest, if any, on the Notes of the series to be repurchased to the date of repurchase (in this Section, the “</w:t>
      </w:r>
      <w:r>
        <w:rPr>
          <w:rFonts w:ascii="Times New Roman" w:hAnsi="Times New Roman"/>
          <w:b/>
          <w:sz w:val="24"/>
        </w:rPr>
        <w:t>Change of Control Payment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(B)  Within 30 days following any Change of Control Triggering Event, the Company shall deliver a notice to each Holder of the Notes of the series to be repurchased, with a copy to the Notes Trustee for such series, describing the transaction or transactions that constitute the Change of Control Triggering Event and offering to repurchase the Notes of such series on the payment date specified in the notice, which date will be no earlier than 30 days and no later than 60 days from the date such notice is delivered (in this Section, the “</w:t>
      </w:r>
      <w:r>
        <w:rPr>
          <w:rFonts w:ascii="Times New Roman" w:hAnsi="Times New Roman"/>
          <w:b/>
          <w:sz w:val="24"/>
        </w:rPr>
        <w:t>Change of Control Payment Date</w:t>
      </w:r>
      <w:r>
        <w:rPr>
          <w:rFonts w:ascii="Times New Roman" w:hAnsi="Times New Roman"/>
          <w:sz w:val="24"/>
        </w:rPr>
        <w:t xml:space="preserve">”), pursuant to the procedures required by this Section 2.03(l) and described in such notice. The Company shall comply with the requirements of applicable securities laws and regulations in connection with the repurchase of the Notes as a result of a Change of Control Triggering Event. To the extent that the provisions of any applicable securities laws or regulations conflict with the provisions under this Section 2.03(l), the Company shall comply with the applicable securities laws and regulations and will not be deemed to have breached its obligations under this Section 2.03(l) by virtue of such conflict. </w:t>
      </w:r>
    </w:p>
    <w:p>
      <w:pPr>
        <w:pStyle w:val="TextBody"/>
        <w:bidi w:val="0"/>
        <w:spacing w:before="240" w:after="0"/>
        <w:jc w:val="both"/>
        <w:rPr>
          <w:rFonts w:ascii="Times New Roman" w:hAnsi="Times New Roman"/>
          <w:sz w:val="24"/>
        </w:rPr>
      </w:pPr>
      <w:r>
        <w:rPr>
          <w:rFonts w:ascii="Times New Roman" w:hAnsi="Times New Roman"/>
          <w:sz w:val="24"/>
        </w:rPr>
        <w:t xml:space="preserve">(C)  On the Change of Control Payment Date, the Company will, to the extent lawful: </w:t>
      </w:r>
    </w:p>
    <w:p>
      <w:pPr>
        <w:pStyle w:val="TextBody"/>
        <w:bidi w:val="0"/>
        <w:spacing w:before="240" w:after="0"/>
        <w:jc w:val="both"/>
        <w:rPr>
          <w:rFonts w:ascii="Times New Roman" w:hAnsi="Times New Roman"/>
          <w:sz w:val="24"/>
        </w:rPr>
      </w:pPr>
      <w:r>
        <w:rPr>
          <w:rFonts w:ascii="Times New Roman" w:hAnsi="Times New Roman"/>
          <w:sz w:val="24"/>
        </w:rPr>
        <w:t xml:space="preserve">(I)  accept for payment all Notes of such series or portions of the Notes of such series properly tendered pursuant to the Change of Control Offer; </w:t>
      </w:r>
    </w:p>
    <w:p>
      <w:pPr>
        <w:pStyle w:val="TextBody"/>
        <w:bidi w:val="0"/>
        <w:spacing w:before="240" w:after="0"/>
        <w:jc w:val="both"/>
        <w:rPr>
          <w:rFonts w:ascii="Times New Roman" w:hAnsi="Times New Roman"/>
          <w:sz w:val="24"/>
        </w:rPr>
      </w:pPr>
      <w:r>
        <w:rPr>
          <w:rFonts w:ascii="Times New Roman" w:hAnsi="Times New Roman"/>
          <w:sz w:val="24"/>
        </w:rPr>
        <w:t xml:space="preserve">(II)  deposit with the Notes Trustee an amount equal to the Change of Control Payment in respect of all Notes of such series or portions of the Notes of such series properly tendered; and </w:t>
      </w:r>
    </w:p>
    <w:p>
      <w:pPr>
        <w:pStyle w:val="TextBody"/>
        <w:bidi w:val="0"/>
        <w:spacing w:before="240" w:after="0"/>
        <w:jc w:val="both"/>
        <w:rPr>
          <w:rFonts w:ascii="Times New Roman" w:hAnsi="Times New Roman"/>
          <w:sz w:val="24"/>
        </w:rPr>
      </w:pPr>
      <w:r>
        <w:rPr>
          <w:rFonts w:ascii="Times New Roman" w:hAnsi="Times New Roman"/>
          <w:sz w:val="24"/>
        </w:rPr>
        <w:t xml:space="preserve">(III)  deliver or cause to be delivered to the Notes Trustee the Notes of such series properly accepted, together with an Officer’s Certificate stating the aggregate principal amount of the Notes of such series or portions of the Notes of such series being purchased by the Company. </w:t>
      </w:r>
    </w:p>
    <w:p>
      <w:pPr>
        <w:pStyle w:val="TextBody"/>
        <w:bidi w:val="0"/>
        <w:spacing w:before="240" w:after="0"/>
        <w:jc w:val="both"/>
        <w:rPr>
          <w:rFonts w:ascii="Times New Roman" w:hAnsi="Times New Roman"/>
          <w:sz w:val="24"/>
        </w:rPr>
      </w:pPr>
      <w:r>
        <w:rPr>
          <w:rFonts w:ascii="Times New Roman" w:hAnsi="Times New Roman"/>
          <w:sz w:val="24"/>
        </w:rPr>
        <w:t xml:space="preserve">(D)  The Notes Trustee will promptly deliver to each Holder of properly tendered Notes of such series the purchase price for such Notes, and the Notes Trustee will, upon receipt of a Company Order to authenticate, promptly authenticate and deliver (or cause to be transferred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- 16 -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by book-entry) to each such Holder a new Note equal in principal amount to any unpurchased portion of any such Note surrendered; provided that each new Note will be in a principal amount of C$2,000 and integral multiples of C$1,000 in excess thereof. </w:t>
      </w:r>
    </w:p>
    <w:p>
      <w:pPr>
        <w:pStyle w:val="TextBody"/>
        <w:bidi w:val="0"/>
        <w:spacing w:before="240" w:after="0"/>
        <w:jc w:val="both"/>
        <w:rPr>
          <w:rFonts w:ascii="Times New Roman" w:hAnsi="Times New Roman"/>
          <w:sz w:val="24"/>
        </w:rPr>
      </w:pPr>
      <w:r>
        <w:rPr>
          <w:rFonts w:ascii="Times New Roman" w:hAnsi="Times New Roman"/>
          <w:sz w:val="24"/>
        </w:rPr>
        <w:t xml:space="preserve">(E)  The Company will not be required to make a Change of Control Offer upon a Change of Control Triggering Event if a third party makes such an offer in the manner, at the times and otherwise in compliance with the requirements for an offer made by the Company and such third party purchases all Notes of such series properly tendered and not withdrawn under its offer. </w:t>
      </w:r>
    </w:p>
    <w:p>
      <w:pPr>
        <w:pStyle w:val="TextBody"/>
        <w:bidi w:val="0"/>
        <w:spacing w:before="240" w:after="0"/>
        <w:jc w:val="both"/>
        <w:rPr>
          <w:rFonts w:ascii="Times New Roman" w:hAnsi="Times New Roman"/>
          <w:sz w:val="24"/>
        </w:rPr>
      </w:pPr>
      <w:r>
        <w:rPr>
          <w:rFonts w:ascii="Times New Roman" w:hAnsi="Times New Roman"/>
          <w:sz w:val="24"/>
        </w:rPr>
        <w:t>(m)  </w:t>
      </w:r>
      <w:r>
        <w:rPr>
          <w:rFonts w:ascii="Times New Roman" w:hAnsi="Times New Roman"/>
          <w:b/>
          <w:sz w:val="24"/>
        </w:rPr>
        <w:t>Place of Payment</w:t>
      </w:r>
      <w:r>
        <w:rPr>
          <w:rFonts w:ascii="Times New Roman" w:hAnsi="Times New Roman"/>
          <w:sz w:val="24"/>
        </w:rPr>
        <w:t xml:space="preserve">. So long as the Notes are in global form, the Place of Payment for the Notes will be Toronto, Ontario. </w:t>
      </w:r>
    </w:p>
    <w:p>
      <w:pPr>
        <w:pStyle w:val="TextBody"/>
        <w:bidi w:val="0"/>
        <w:spacing w:before="240" w:after="0"/>
        <w:jc w:val="both"/>
        <w:rPr>
          <w:rFonts w:ascii="Times New Roman" w:hAnsi="Times New Roman"/>
          <w:sz w:val="24"/>
        </w:rPr>
      </w:pPr>
      <w:r>
        <w:rPr>
          <w:rFonts w:ascii="Times New Roman" w:hAnsi="Times New Roman"/>
          <w:sz w:val="24"/>
        </w:rPr>
        <w:t>(n)  </w:t>
      </w:r>
      <w:r>
        <w:rPr>
          <w:rFonts w:ascii="Times New Roman" w:hAnsi="Times New Roman"/>
          <w:b/>
          <w:sz w:val="24"/>
        </w:rPr>
        <w:t>Trustee</w:t>
      </w:r>
      <w:r>
        <w:rPr>
          <w:rFonts w:ascii="Times New Roman" w:hAnsi="Times New Roman"/>
          <w:sz w:val="24"/>
        </w:rPr>
        <w:t xml:space="preserve">. Pursuant to the Indenture, the Notes Trustee is hereby appointed as trustee of the Notes and all future series of Securities for which it may be designated to act as Trustee by Company Order delivered to it prior to the issuance of such series of Securities and the Notes Trustee hereby accepts such appointment. The Co-Trustee acknowledges and agrees with the Company and the Notes Trustee that (i) the Co-Trustee is not a trustee of the Notes, and (ii) the Co-Trustee shall not act as Paying Agent, Security Registrar or Transfer Agent for the Notes unless so appointed by the Company. </w:t>
      </w:r>
    </w:p>
    <w:p>
      <w:pPr>
        <w:pStyle w:val="TextBody"/>
        <w:bidi w:val="0"/>
        <w:spacing w:before="240" w:after="0"/>
        <w:jc w:val="both"/>
        <w:rPr>
          <w:rFonts w:ascii="Times New Roman" w:hAnsi="Times New Roman"/>
          <w:b/>
          <w:sz w:val="24"/>
        </w:rPr>
      </w:pPr>
      <w:r>
        <w:rPr>
          <w:rFonts w:ascii="Times New Roman" w:hAnsi="Times New Roman"/>
          <w:b/>
          <w:sz w:val="24"/>
        </w:rPr>
        <w:t xml:space="preserve">Section 2.04 Execution of the Notes. </w:t>
      </w:r>
    </w:p>
    <w:p>
      <w:pPr>
        <w:pStyle w:val="TextBody"/>
        <w:bidi w:val="0"/>
        <w:spacing w:before="240" w:after="0"/>
        <w:jc w:val="both"/>
        <w:rPr>
          <w:rFonts w:ascii="Times New Roman" w:hAnsi="Times New Roman"/>
          <w:sz w:val="24"/>
        </w:rPr>
      </w:pPr>
      <w:r>
        <w:rPr>
          <w:rFonts w:ascii="Times New Roman" w:hAnsi="Times New Roman"/>
          <w:sz w:val="24"/>
        </w:rPr>
        <w:t xml:space="preserve">For purposes of Section 303 of the Indenture, the Treasurer may execute the Notes, which may be attested by the Assistant Secretary.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III </w:t>
      </w:r>
    </w:p>
    <w:p>
      <w:pPr>
        <w:pStyle w:val="TextBody"/>
        <w:bidi w:val="0"/>
        <w:spacing w:before="240" w:after="0"/>
        <w:jc w:val="center"/>
        <w:rPr>
          <w:rFonts w:ascii="Times New Roman" w:hAnsi="Times New Roman"/>
          <w:b/>
          <w:sz w:val="24"/>
        </w:rPr>
      </w:pPr>
      <w:r>
        <w:rPr>
          <w:rFonts w:ascii="Times New Roman" w:hAnsi="Times New Roman"/>
          <w:b/>
          <w:sz w:val="24"/>
        </w:rPr>
        <w:t xml:space="preserve">EVENTS OF DEFAULT </w:t>
      </w:r>
    </w:p>
    <w:p>
      <w:pPr>
        <w:pStyle w:val="TextBody"/>
        <w:bidi w:val="0"/>
        <w:spacing w:before="240" w:after="0"/>
        <w:jc w:val="both"/>
        <w:rPr>
          <w:rFonts w:ascii="Times New Roman" w:hAnsi="Times New Roman"/>
          <w:b/>
          <w:sz w:val="24"/>
        </w:rPr>
      </w:pPr>
      <w:r>
        <w:rPr>
          <w:rFonts w:ascii="Times New Roman" w:hAnsi="Times New Roman"/>
          <w:b/>
          <w:sz w:val="24"/>
        </w:rPr>
        <w:t xml:space="preserve">Section 3.01 Events of Default. </w:t>
      </w:r>
    </w:p>
    <w:p>
      <w:pPr>
        <w:pStyle w:val="TextBody"/>
        <w:bidi w:val="0"/>
        <w:spacing w:before="240" w:after="0"/>
        <w:jc w:val="both"/>
        <w:rPr>
          <w:rFonts w:ascii="Times New Roman" w:hAnsi="Times New Roman"/>
          <w:sz w:val="24"/>
        </w:rPr>
      </w:pPr>
      <w:r>
        <w:rPr>
          <w:rFonts w:ascii="Times New Roman" w:hAnsi="Times New Roman"/>
          <w:sz w:val="24"/>
        </w:rPr>
        <w:t xml:space="preserve">For the benefit of Holders of the Notes, the failure by the Company to comply with its obligations set forth in Section 2.03(l) hereof is an Event of Default and shall be added to Section 501 of the Indenture and considered as clause (7) to Section 501 with respect to the Notes for all purposes of the Indenture.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IV </w:t>
      </w:r>
    </w:p>
    <w:p>
      <w:pPr>
        <w:pStyle w:val="TextBody"/>
        <w:bidi w:val="0"/>
        <w:spacing w:before="240" w:after="0"/>
        <w:jc w:val="center"/>
        <w:rPr>
          <w:rFonts w:ascii="Times New Roman" w:hAnsi="Times New Roman"/>
          <w:b/>
          <w:sz w:val="24"/>
        </w:rPr>
      </w:pPr>
      <w:r>
        <w:rPr>
          <w:rFonts w:ascii="Times New Roman" w:hAnsi="Times New Roman"/>
          <w:b/>
          <w:sz w:val="24"/>
        </w:rPr>
        <w:t xml:space="preserve">MISCELLANEOUS PROVISIONS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4.01 Effect of Second Supplemental Indenture. </w:t>
      </w:r>
    </w:p>
    <w:p>
      <w:pPr>
        <w:pStyle w:val="TextBody"/>
        <w:bidi w:val="0"/>
        <w:spacing w:before="240" w:after="0"/>
        <w:jc w:val="both"/>
        <w:rPr>
          <w:rFonts w:ascii="Times New Roman" w:hAnsi="Times New Roman"/>
          <w:sz w:val="24"/>
        </w:rPr>
      </w:pPr>
      <w:r>
        <w:rPr>
          <w:rFonts w:ascii="Times New Roman" w:hAnsi="Times New Roman"/>
          <w:sz w:val="24"/>
        </w:rPr>
        <w:t xml:space="preserve">(a)  This Second Supplemental Indenture is a supplemental indenture within the meaning of Section 901 of the Indenture, and the Indenture shall be read together with this Second Supplemental Indenture and shall have the same effect over the Notes in the same manner as if the provisions of the Indenture and this Second Supplemental Indenture were contained in the same instrument. </w:t>
      </w:r>
    </w:p>
    <w:p>
      <w:pPr>
        <w:pStyle w:val="TextBody"/>
        <w:bidi w:val="0"/>
        <w:spacing w:before="240" w:after="0"/>
        <w:jc w:val="both"/>
        <w:rPr>
          <w:rFonts w:ascii="Times New Roman" w:hAnsi="Times New Roman"/>
          <w:sz w:val="24"/>
        </w:rPr>
      </w:pPr>
      <w:r>
        <w:rPr>
          <w:rFonts w:ascii="Times New Roman" w:hAnsi="Times New Roman"/>
          <w:sz w:val="24"/>
        </w:rPr>
        <w:t xml:space="preserve">(b)  In all other respects, the Indenture is confirmed by the parties hereto as supplemented by the terms of this Second Supplemental Indenture.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- 17 - </w:t>
      </w:r>
    </w:p>
    <w:p>
      <w:pPr>
        <w:pStyle w:val="TextBody"/>
        <w:bidi w:val="0"/>
        <w:spacing w:before="0" w:after="0"/>
        <w:jc w:val="left"/>
        <w:rPr/>
      </w:pPr>
      <w:r>
        <w:rPr/>
        <w:t> </w:t>
      </w:r>
    </w:p>
    <w:p>
      <w:pPr>
        <w:pStyle w:val="TextBody"/>
        <w:bidi w:val="0"/>
        <w:spacing w:before="0" w:after="0"/>
        <w:jc w:val="both"/>
        <w:rPr>
          <w:rFonts w:ascii="Times New Roman" w:hAnsi="Times New Roman"/>
          <w:b/>
          <w:sz w:val="24"/>
        </w:rPr>
      </w:pPr>
      <w:r>
        <w:rPr>
          <w:rFonts w:ascii="Times New Roman" w:hAnsi="Times New Roman"/>
          <w:b/>
          <w:sz w:val="24"/>
        </w:rPr>
        <w:t xml:space="preserve">Section 4.02 Governing Law. </w:t>
      </w:r>
    </w:p>
    <w:p>
      <w:pPr>
        <w:pStyle w:val="TextBody"/>
        <w:bidi w:val="0"/>
        <w:spacing w:before="240" w:after="0"/>
        <w:jc w:val="both"/>
        <w:rPr>
          <w:rFonts w:ascii="Times New Roman" w:hAnsi="Times New Roman"/>
          <w:sz w:val="24"/>
        </w:rPr>
      </w:pPr>
      <w:r>
        <w:rPr>
          <w:rFonts w:ascii="Times New Roman" w:hAnsi="Times New Roman"/>
          <w:sz w:val="24"/>
        </w:rPr>
        <w:t xml:space="preserve">This Second Supplemental Indenture and the Notes shall be governed by and construed in accordance with the laws of the State of New York. For greater certainty, the exercise, performance or discharge by the Notes Trustee of any of its rights, powers, duties, or responsibilities hereunder shall be construed in accordance with the laws of the Province of Ontario and the federal laws of Canada applicable thereto.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4.03 Effect of Headings and Table of Contents. </w:t>
      </w:r>
    </w:p>
    <w:p>
      <w:pPr>
        <w:pStyle w:val="TextBody"/>
        <w:bidi w:val="0"/>
        <w:spacing w:before="240" w:after="0"/>
        <w:jc w:val="both"/>
        <w:rPr>
          <w:rFonts w:ascii="Times New Roman" w:hAnsi="Times New Roman"/>
          <w:sz w:val="24"/>
        </w:rPr>
      </w:pPr>
      <w:r>
        <w:rPr>
          <w:rFonts w:ascii="Times New Roman" w:hAnsi="Times New Roman"/>
          <w:sz w:val="24"/>
        </w:rPr>
        <w:t xml:space="preserve">The Article and Section headings herein are for convenience only and shall not affect the construction hereof.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4.04 Successors and Assigns. </w:t>
      </w:r>
    </w:p>
    <w:p>
      <w:pPr>
        <w:pStyle w:val="TextBody"/>
        <w:bidi w:val="0"/>
        <w:spacing w:before="240" w:after="0"/>
        <w:jc w:val="both"/>
        <w:rPr>
          <w:rFonts w:ascii="Times New Roman" w:hAnsi="Times New Roman"/>
          <w:sz w:val="24"/>
        </w:rPr>
      </w:pPr>
      <w:r>
        <w:rPr>
          <w:rFonts w:ascii="Times New Roman" w:hAnsi="Times New Roman"/>
          <w:sz w:val="24"/>
        </w:rPr>
        <w:t xml:space="preserve">All covenants and agreements in this Second Supplemental Indenture by the Company shall bind its successors and assigns, whether so expressed or not.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4.05 Severability Clause. </w:t>
      </w:r>
    </w:p>
    <w:p>
      <w:pPr>
        <w:pStyle w:val="TextBody"/>
        <w:bidi w:val="0"/>
        <w:spacing w:before="240" w:after="0"/>
        <w:jc w:val="both"/>
        <w:rPr>
          <w:rFonts w:ascii="Times New Roman" w:hAnsi="Times New Roman"/>
          <w:sz w:val="24"/>
        </w:rPr>
      </w:pPr>
      <w:r>
        <w:rPr>
          <w:rFonts w:ascii="Times New Roman" w:hAnsi="Times New Roman"/>
          <w:sz w:val="24"/>
        </w:rPr>
        <w:t xml:space="preserve">In case any provision in this Second Supplemental Indenture or in any Notes, as applicable, shall be invalid, illegal or unenforceable, the validity, legality and enforceability of the remaining provisions shall not in any way be affected or impaired thereby.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4.06 Interest Act. </w:t>
      </w:r>
    </w:p>
    <w:p>
      <w:pPr>
        <w:pStyle w:val="TextBody"/>
        <w:bidi w:val="0"/>
        <w:spacing w:before="240" w:after="0"/>
        <w:jc w:val="both"/>
        <w:rPr>
          <w:rFonts w:ascii="Times New Roman" w:hAnsi="Times New Roman"/>
          <w:sz w:val="24"/>
        </w:rPr>
      </w:pPr>
      <w:r>
        <w:rPr>
          <w:rFonts w:ascii="Times New Roman" w:hAnsi="Times New Roman"/>
          <w:sz w:val="24"/>
        </w:rPr>
        <w:t xml:space="preserve">For purposes of the </w:t>
      </w:r>
      <w:r>
        <w:rPr>
          <w:rFonts w:ascii="Times New Roman" w:hAnsi="Times New Roman"/>
          <w:i/>
          <w:sz w:val="24"/>
        </w:rPr>
        <w:t xml:space="preserve">Interest Act </w:t>
      </w:r>
      <w:r>
        <w:rPr>
          <w:rFonts w:ascii="Times New Roman" w:hAnsi="Times New Roman"/>
          <w:sz w:val="24"/>
        </w:rPr>
        <w:t xml:space="preserve">(Canada), where interest is required to be calculated on the basis of any period of less than a calendar year, the yearly rate of interest which is equivalent to such rate of interest for such period of less than one year may be determined by multiplying such rate of interest by a fraction, the numerator of which is the actual number of days in the year in which such interest is payable and the denominator of which is the number of days in such period.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4.07 Benefits of Indenture. </w:t>
      </w:r>
    </w:p>
    <w:p>
      <w:pPr>
        <w:pStyle w:val="TextBody"/>
        <w:bidi w:val="0"/>
        <w:spacing w:before="240" w:after="0"/>
        <w:jc w:val="both"/>
        <w:rPr>
          <w:rFonts w:ascii="Times New Roman" w:hAnsi="Times New Roman"/>
          <w:sz w:val="24"/>
        </w:rPr>
      </w:pPr>
      <w:r>
        <w:rPr>
          <w:rFonts w:ascii="Times New Roman" w:hAnsi="Times New Roman"/>
          <w:sz w:val="24"/>
        </w:rPr>
        <w:t xml:space="preserve">Nothing in this Second Supplemental Indenture or in the Notes, as the case may be, express or implied, shall give to any Person, other than the parties hereto, any Authenticating Agent, any Paying Agent, any Security Registrar and their successors hereunder, the Holders of the Notes, any benefit or any legal or equitable right, remedy or claim under this Second Supplemental Indenture.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4.08 Counterparts. </w:t>
      </w:r>
    </w:p>
    <w:p>
      <w:pPr>
        <w:pStyle w:val="TextBody"/>
        <w:bidi w:val="0"/>
        <w:spacing w:before="240" w:after="0"/>
        <w:jc w:val="both"/>
        <w:rPr>
          <w:rFonts w:ascii="Times New Roman" w:hAnsi="Times New Roman"/>
          <w:sz w:val="24"/>
        </w:rPr>
      </w:pPr>
      <w:r>
        <w:rPr>
          <w:rFonts w:ascii="Times New Roman" w:hAnsi="Times New Roman"/>
          <w:sz w:val="24"/>
        </w:rPr>
        <w:t xml:space="preserve">This Second Supplemental Indenture may be executed in any number of counterparts, each of which so executed shall be deemed to be an original, but all such counterparts shall together constitute but one and the same Indenture. Counterparts may be delivered via facsimile, electronic mail, electronic signatures (including, without limitation, DocuSign and AdobeSign) or other transmission method and any counterpart so delivered shall be deemed to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- 18 -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have been duly and validly delivered and be valid and effective for all purposes. Facsimile, documents executed, scanned and transmitted electronically and electronic signatures, including those created or transmitted through a software platform or application, shall be deemed original signatures for purposes of this Indenture and all other related documents and all matters and agreements related thereto, with such facsimile, scanned and electronic signatures having the same legal effect as original signatures. The parties hereto agree that this Second Supplemental Indenture or any other related document or any instrument, agreement or document necessary for the consummation of the transactions contemplated by this Indenture or the other related documents or related hereto or thereto (including, without limitation, addendums, amendments, notices, instructions, communications with respect to the delivery of securities or the wire transfer of funds or other communications) (“</w:t>
      </w:r>
      <w:r>
        <w:rPr>
          <w:rFonts w:ascii="Times New Roman" w:hAnsi="Times New Roman"/>
          <w:b/>
          <w:sz w:val="24"/>
        </w:rPr>
        <w:t>Executed Documentation</w:t>
      </w:r>
      <w:r>
        <w:rPr>
          <w:rFonts w:ascii="Times New Roman" w:hAnsi="Times New Roman"/>
          <w:sz w:val="24"/>
        </w:rPr>
        <w:t xml:space="preserve">”)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Notes Trustee acts on any Executed Documentation sent by electronic transmission, the Notes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Notes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Notes Trustee acting on unauthorized instructions and the risk of interception and misuse by third parties.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4.09 Acceptance of Trusts. </w:t>
      </w:r>
    </w:p>
    <w:p>
      <w:pPr>
        <w:pStyle w:val="TextBody"/>
        <w:bidi w:val="0"/>
        <w:spacing w:before="240" w:after="0"/>
        <w:jc w:val="both"/>
        <w:rPr>
          <w:rFonts w:ascii="Times New Roman" w:hAnsi="Times New Roman"/>
          <w:sz w:val="24"/>
        </w:rPr>
      </w:pPr>
      <w:r>
        <w:rPr>
          <w:rFonts w:ascii="Times New Roman" w:hAnsi="Times New Roman"/>
          <w:sz w:val="24"/>
        </w:rPr>
        <w:t xml:space="preserve">The Notes Trustee hereby accepts the trusts in this Second Supplemental Indenture declared and provided for and agrees to perform the same upon the terms and conditions set forth in the Indenture and in trust for the Holders from time to time, subject to the terms and conditions of the Indenture.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4.10 Effective Time. </w:t>
      </w:r>
    </w:p>
    <w:p>
      <w:pPr>
        <w:pStyle w:val="TextBody"/>
        <w:bidi w:val="0"/>
        <w:spacing w:before="240" w:after="0"/>
        <w:jc w:val="both"/>
        <w:rPr>
          <w:rFonts w:ascii="Times New Roman" w:hAnsi="Times New Roman"/>
          <w:sz w:val="24"/>
        </w:rPr>
      </w:pPr>
      <w:r>
        <w:rPr>
          <w:rFonts w:ascii="Times New Roman" w:hAnsi="Times New Roman"/>
          <w:sz w:val="24"/>
        </w:rPr>
        <w:t xml:space="preserve">This Second Supplemental Indenture shall become effective upon the execution and delivery of this Second Supplemental Indenture by the Company and the Notes Trustee. </w:t>
      </w:r>
    </w:p>
    <w:p>
      <w:pPr>
        <w:pStyle w:val="TextBody"/>
        <w:bidi w:val="0"/>
        <w:spacing w:before="240" w:after="0"/>
        <w:jc w:val="center"/>
        <w:rPr>
          <w:rFonts w:ascii="Times New Roman" w:hAnsi="Times New Roman"/>
          <w:sz w:val="24"/>
        </w:rPr>
      </w:pPr>
      <w:r>
        <w:rPr>
          <w:rFonts w:ascii="Times New Roman" w:hAnsi="Times New Roman"/>
          <w:sz w:val="24"/>
        </w:rPr>
        <w:t xml:space="preserve">* * * *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 WITNESS WHEREOF, the parties hereto have caused this Second Supplemental Indenture to be duly executed and attested, all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69"/>
        <w:gridCol w:w="123"/>
        <w:gridCol w:w="2890"/>
      </w:tblGrid>
      <w:tr>
        <w:trPr/>
        <w:tc>
          <w:tcPr>
            <w:tcW w:w="106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THOMSON REUTERS CORPORATION</w:t>
            </w:r>
            <w:r>
              <w:rPr/>
              <w:t>, as Issuer</w:t>
            </w:r>
          </w:p>
        </w:tc>
      </w:tr>
      <w:tr>
        <w:trPr>
          <w:trHeight w:val="360" w:hRule="atLeast"/>
        </w:trPr>
        <w:tc>
          <w:tcPr>
            <w:tcW w:w="1069" w:type="dxa"/>
            <w:tcBorders/>
            <w:vAlign w:val="center"/>
          </w:tcPr>
          <w:p>
            <w:pPr>
              <w:pStyle w:val="TableContents"/>
              <w:bidi w:val="0"/>
              <w:spacing w:before="0" w:after="283"/>
              <w:jc w:val="left"/>
              <w:rPr>
                <w:sz w:val="4"/>
                <w:szCs w:val="4"/>
              </w:rPr>
            </w:pPr>
            <w:r>
              <w:rPr>
                <w:sz w:val="4"/>
                <w:szCs w:val="4"/>
              </w:rPr>
            </w:r>
          </w:p>
        </w:tc>
        <w:tc>
          <w:tcPr>
            <w:tcW w:w="3013" w:type="dxa"/>
            <w:gridSpan w:val="2"/>
            <w:tcBorders/>
            <w:vAlign w:val="center"/>
          </w:tcPr>
          <w:p>
            <w:pPr>
              <w:pStyle w:val="TableContents"/>
              <w:bidi w:val="0"/>
              <w:spacing w:before="0" w:after="283"/>
              <w:jc w:val="left"/>
              <w:rPr>
                <w:sz w:val="4"/>
                <w:szCs w:val="4"/>
              </w:rPr>
            </w:pPr>
            <w:r>
              <w:rPr>
                <w:sz w:val="4"/>
                <w:szCs w:val="4"/>
              </w:rPr>
            </w:r>
          </w:p>
        </w:tc>
      </w:tr>
      <w:tr>
        <w:trPr/>
        <w:tc>
          <w:tcPr>
            <w:tcW w:w="1069" w:type="dxa"/>
            <w:tcBorders/>
            <w:vAlign w:val="bottom"/>
          </w:tcPr>
          <w:p>
            <w:pPr>
              <w:pStyle w:val="TableContents"/>
              <w:bidi w:val="0"/>
              <w:spacing w:before="0" w:after="283"/>
              <w:jc w:val="left"/>
              <w:rPr/>
            </w:pPr>
            <w:r>
              <w:rPr/>
              <w:t>By: </w:t>
            </w:r>
          </w:p>
        </w:tc>
        <w:tc>
          <w:tcPr>
            <w:tcW w:w="123" w:type="dxa"/>
            <w:tcBorders/>
            <w:vAlign w:val="bottom"/>
          </w:tcPr>
          <w:p>
            <w:pPr>
              <w:pStyle w:val="TableContents"/>
              <w:bidi w:val="0"/>
              <w:spacing w:before="0" w:after="283"/>
              <w:jc w:val="left"/>
              <w:rPr/>
            </w:pPr>
            <w:r>
              <w:rPr/>
              <w:t> </w:t>
            </w:r>
          </w:p>
        </w:tc>
        <w:tc>
          <w:tcPr>
            <w:tcW w:w="2890" w:type="dxa"/>
            <w:tcBorders/>
            <w:vAlign w:val="bottom"/>
          </w:tcPr>
          <w:p>
            <w:pPr>
              <w:pStyle w:val="TableContents"/>
              <w:pBdr>
                <w:bottom w:val="single" w:sz="2" w:space="1" w:color="000000"/>
              </w:pBdr>
              <w:bidi w:val="0"/>
              <w:spacing w:before="0" w:after="20"/>
              <w:jc w:val="both"/>
              <w:rPr>
                <w:rFonts w:ascii="Times New Roman" w:hAnsi="Times New Roman"/>
                <w:i/>
                <w:sz w:val="24"/>
              </w:rPr>
            </w:pPr>
            <w:r>
              <w:rPr>
                <w:rFonts w:ascii="Times New Roman" w:hAnsi="Times New Roman"/>
                <w:i/>
                <w:sz w:val="24"/>
              </w:rPr>
              <w:t>/s/ Chad MacLean</w:t>
            </w:r>
          </w:p>
        </w:tc>
      </w:tr>
      <w:tr>
        <w:trPr/>
        <w:tc>
          <w:tcPr>
            <w:tcW w:w="106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890" w:type="dxa"/>
            <w:tcBorders/>
            <w:vAlign w:val="bottom"/>
          </w:tcPr>
          <w:p>
            <w:pPr>
              <w:pStyle w:val="TableContents"/>
              <w:bidi w:val="0"/>
              <w:spacing w:before="0" w:after="0"/>
              <w:jc w:val="left"/>
              <w:rPr/>
            </w:pPr>
            <w:r>
              <w:rPr/>
              <w:t> </w:t>
            </w:r>
            <w:r>
              <w:rPr>
                <w:rFonts w:ascii="Times New Roman" w:hAnsi="Times New Roman"/>
                <w:sz w:val="24"/>
              </w:rPr>
              <w:t>Name: Chad MacLean</w:t>
            </w:r>
          </w:p>
          <w:p>
            <w:pPr>
              <w:pStyle w:val="TableContents"/>
              <w:bidi w:val="0"/>
              <w:spacing w:before="0" w:after="20"/>
              <w:jc w:val="left"/>
              <w:rPr/>
            </w:pPr>
            <w:r>
              <w:rPr/>
              <w:t> </w:t>
            </w:r>
            <w:r>
              <w:rPr>
                <w:rFonts w:ascii="Times New Roman" w:hAnsi="Times New Roman"/>
                <w:sz w:val="24"/>
              </w:rPr>
              <w:t>Title:  Treasurer</w:t>
            </w:r>
          </w:p>
        </w:tc>
      </w:tr>
      <w:tr>
        <w:trPr>
          <w:trHeight w:val="36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WEST PUBLISHING CORPORATION</w:t>
            </w:r>
            <w:r>
              <w:rPr/>
              <w:t>, as a Subsidiary Guarantor</w:t>
            </w:r>
          </w:p>
        </w:tc>
      </w:tr>
      <w:tr>
        <w:trPr>
          <w:trHeight w:val="360" w:hRule="atLeast"/>
        </w:trPr>
        <w:tc>
          <w:tcPr>
            <w:tcW w:w="1069" w:type="dxa"/>
            <w:tcBorders/>
            <w:vAlign w:val="center"/>
          </w:tcPr>
          <w:p>
            <w:pPr>
              <w:pStyle w:val="TableContents"/>
              <w:bidi w:val="0"/>
              <w:spacing w:before="0" w:after="283"/>
              <w:jc w:val="left"/>
              <w:rPr>
                <w:sz w:val="4"/>
                <w:szCs w:val="4"/>
              </w:rPr>
            </w:pPr>
            <w:r>
              <w:rPr>
                <w:sz w:val="4"/>
                <w:szCs w:val="4"/>
              </w:rPr>
            </w:r>
          </w:p>
        </w:tc>
        <w:tc>
          <w:tcPr>
            <w:tcW w:w="3013" w:type="dxa"/>
            <w:gridSpan w:val="2"/>
            <w:tcBorders/>
            <w:vAlign w:val="center"/>
          </w:tcPr>
          <w:p>
            <w:pPr>
              <w:pStyle w:val="TableContents"/>
              <w:bidi w:val="0"/>
              <w:spacing w:before="0" w:after="283"/>
              <w:jc w:val="left"/>
              <w:rPr>
                <w:sz w:val="4"/>
                <w:szCs w:val="4"/>
              </w:rPr>
            </w:pPr>
            <w:r>
              <w:rPr>
                <w:sz w:val="4"/>
                <w:szCs w:val="4"/>
              </w:rPr>
            </w:r>
          </w:p>
        </w:tc>
      </w:tr>
      <w:tr>
        <w:trPr/>
        <w:tc>
          <w:tcPr>
            <w:tcW w:w="1069" w:type="dxa"/>
            <w:tcBorders/>
            <w:vAlign w:val="bottom"/>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2890" w:type="dxa"/>
            <w:tcBorders/>
            <w:vAlign w:val="bottom"/>
          </w:tcPr>
          <w:p>
            <w:pPr>
              <w:pStyle w:val="TableContents"/>
              <w:pBdr>
                <w:bottom w:val="single" w:sz="2" w:space="1" w:color="000000"/>
              </w:pBdr>
              <w:bidi w:val="0"/>
              <w:spacing w:before="0" w:after="20"/>
              <w:jc w:val="both"/>
              <w:rPr>
                <w:rFonts w:ascii="Times New Roman" w:hAnsi="Times New Roman"/>
                <w:i/>
                <w:sz w:val="24"/>
              </w:rPr>
            </w:pPr>
            <w:r>
              <w:rPr>
                <w:rFonts w:ascii="Times New Roman" w:hAnsi="Times New Roman"/>
                <w:i/>
                <w:sz w:val="24"/>
              </w:rPr>
              <w:t>/s/ Ragunath Ramanathan</w:t>
            </w:r>
          </w:p>
        </w:tc>
      </w:tr>
      <w:tr>
        <w:trPr/>
        <w:tc>
          <w:tcPr>
            <w:tcW w:w="106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890" w:type="dxa"/>
            <w:tcBorders/>
            <w:vAlign w:val="bottom"/>
          </w:tcPr>
          <w:p>
            <w:pPr>
              <w:pStyle w:val="TableContents"/>
              <w:bidi w:val="0"/>
              <w:spacing w:before="0" w:after="0"/>
              <w:jc w:val="left"/>
              <w:rPr/>
            </w:pPr>
            <w:r>
              <w:rPr/>
              <w:t> </w:t>
            </w:r>
            <w:r>
              <w:rPr>
                <w:rFonts w:ascii="Times New Roman" w:hAnsi="Times New Roman"/>
                <w:sz w:val="24"/>
              </w:rPr>
              <w:t>Name: Ragunath Ramanathan</w:t>
            </w:r>
          </w:p>
          <w:p>
            <w:pPr>
              <w:pStyle w:val="TableContents"/>
              <w:bidi w:val="0"/>
              <w:spacing w:before="0" w:after="20"/>
              <w:jc w:val="left"/>
              <w:rPr/>
            </w:pPr>
            <w:r>
              <w:rPr/>
              <w:t> </w:t>
            </w:r>
            <w:r>
              <w:rPr>
                <w:rFonts w:ascii="Times New Roman" w:hAnsi="Times New Roman"/>
                <w:sz w:val="24"/>
              </w:rPr>
              <w:t>Title:  President</w:t>
            </w:r>
          </w:p>
        </w:tc>
      </w:tr>
      <w:tr>
        <w:trPr>
          <w:trHeight w:val="48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THOMSON REUTERS APPLICATIONS INC.</w:t>
            </w:r>
            <w:r>
              <w:rPr/>
              <w:t>, as a Subsidiary Guarantor</w:t>
            </w:r>
          </w:p>
        </w:tc>
      </w:tr>
      <w:tr>
        <w:trPr>
          <w:trHeight w:val="360" w:hRule="atLeast"/>
        </w:trPr>
        <w:tc>
          <w:tcPr>
            <w:tcW w:w="1069" w:type="dxa"/>
            <w:tcBorders/>
            <w:vAlign w:val="center"/>
          </w:tcPr>
          <w:p>
            <w:pPr>
              <w:pStyle w:val="TableContents"/>
              <w:bidi w:val="0"/>
              <w:spacing w:before="0" w:after="283"/>
              <w:jc w:val="left"/>
              <w:rPr>
                <w:sz w:val="4"/>
                <w:szCs w:val="4"/>
              </w:rPr>
            </w:pPr>
            <w:r>
              <w:rPr>
                <w:sz w:val="4"/>
                <w:szCs w:val="4"/>
              </w:rPr>
            </w:r>
          </w:p>
        </w:tc>
        <w:tc>
          <w:tcPr>
            <w:tcW w:w="3013" w:type="dxa"/>
            <w:gridSpan w:val="2"/>
            <w:tcBorders/>
            <w:vAlign w:val="center"/>
          </w:tcPr>
          <w:p>
            <w:pPr>
              <w:pStyle w:val="TableContents"/>
              <w:bidi w:val="0"/>
              <w:spacing w:before="0" w:after="283"/>
              <w:jc w:val="left"/>
              <w:rPr>
                <w:sz w:val="4"/>
                <w:szCs w:val="4"/>
              </w:rPr>
            </w:pPr>
            <w:r>
              <w:rPr>
                <w:sz w:val="4"/>
                <w:szCs w:val="4"/>
              </w:rPr>
            </w:r>
          </w:p>
        </w:tc>
      </w:tr>
      <w:tr>
        <w:trPr/>
        <w:tc>
          <w:tcPr>
            <w:tcW w:w="1069" w:type="dxa"/>
            <w:tcBorders/>
            <w:vAlign w:val="bottom"/>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2890" w:type="dxa"/>
            <w:tcBorders/>
            <w:vAlign w:val="bottom"/>
          </w:tcPr>
          <w:p>
            <w:pPr>
              <w:pStyle w:val="TableContents"/>
              <w:pBdr>
                <w:bottom w:val="single" w:sz="2" w:space="1" w:color="000000"/>
              </w:pBdr>
              <w:bidi w:val="0"/>
              <w:spacing w:before="0" w:after="20"/>
              <w:jc w:val="both"/>
              <w:rPr>
                <w:rFonts w:ascii="Times New Roman" w:hAnsi="Times New Roman"/>
                <w:i/>
                <w:sz w:val="24"/>
              </w:rPr>
            </w:pPr>
            <w:r>
              <w:rPr>
                <w:rFonts w:ascii="Times New Roman" w:hAnsi="Times New Roman"/>
                <w:i/>
                <w:sz w:val="24"/>
              </w:rPr>
              <w:t>/s/ Ragunath Ramanathan</w:t>
            </w:r>
          </w:p>
        </w:tc>
      </w:tr>
      <w:tr>
        <w:trPr/>
        <w:tc>
          <w:tcPr>
            <w:tcW w:w="106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890" w:type="dxa"/>
            <w:tcBorders/>
            <w:vAlign w:val="bottom"/>
          </w:tcPr>
          <w:p>
            <w:pPr>
              <w:pStyle w:val="TableContents"/>
              <w:bidi w:val="0"/>
              <w:spacing w:before="0" w:after="0"/>
              <w:jc w:val="left"/>
              <w:rPr/>
            </w:pPr>
            <w:r>
              <w:rPr/>
              <w:t> </w:t>
            </w:r>
            <w:r>
              <w:rPr>
                <w:rFonts w:ascii="Times New Roman" w:hAnsi="Times New Roman"/>
                <w:sz w:val="24"/>
              </w:rPr>
              <w:t>Name: Ragunath Ramanathan</w:t>
            </w:r>
          </w:p>
          <w:p>
            <w:pPr>
              <w:pStyle w:val="TableContents"/>
              <w:bidi w:val="0"/>
              <w:spacing w:before="0" w:after="20"/>
              <w:jc w:val="left"/>
              <w:rPr/>
            </w:pPr>
            <w:r>
              <w:rPr/>
              <w:t> </w:t>
            </w:r>
            <w:r>
              <w:rPr>
                <w:rFonts w:ascii="Times New Roman" w:hAnsi="Times New Roman"/>
                <w:sz w:val="24"/>
              </w:rPr>
              <w:t>Title:  President</w:t>
            </w:r>
          </w:p>
        </w:tc>
      </w:tr>
      <w:tr>
        <w:trPr>
          <w:trHeight w:val="36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THOMSON REUTERS (TAX</w:t>
            </w:r>
            <w:r>
              <w:rPr/>
              <w:t> </w:t>
            </w:r>
            <w:r>
              <w:rPr>
                <w:b/>
              </w:rPr>
              <w:t>&amp; ACCOUNTING) INC.</w:t>
            </w:r>
            <w:r>
              <w:rPr/>
              <w:t>, as a Subsidiary Guarantor</w:t>
            </w:r>
          </w:p>
        </w:tc>
      </w:tr>
      <w:tr>
        <w:trPr>
          <w:trHeight w:val="360" w:hRule="atLeast"/>
        </w:trPr>
        <w:tc>
          <w:tcPr>
            <w:tcW w:w="1069" w:type="dxa"/>
            <w:tcBorders/>
            <w:vAlign w:val="center"/>
          </w:tcPr>
          <w:p>
            <w:pPr>
              <w:pStyle w:val="TableContents"/>
              <w:bidi w:val="0"/>
              <w:spacing w:before="0" w:after="283"/>
              <w:jc w:val="left"/>
              <w:rPr>
                <w:sz w:val="4"/>
                <w:szCs w:val="4"/>
              </w:rPr>
            </w:pPr>
            <w:r>
              <w:rPr>
                <w:sz w:val="4"/>
                <w:szCs w:val="4"/>
              </w:rPr>
            </w:r>
          </w:p>
        </w:tc>
        <w:tc>
          <w:tcPr>
            <w:tcW w:w="3013" w:type="dxa"/>
            <w:gridSpan w:val="2"/>
            <w:tcBorders/>
            <w:vAlign w:val="center"/>
          </w:tcPr>
          <w:p>
            <w:pPr>
              <w:pStyle w:val="TableContents"/>
              <w:bidi w:val="0"/>
              <w:spacing w:before="0" w:after="283"/>
              <w:jc w:val="left"/>
              <w:rPr>
                <w:sz w:val="4"/>
                <w:szCs w:val="4"/>
              </w:rPr>
            </w:pPr>
            <w:r>
              <w:rPr>
                <w:sz w:val="4"/>
                <w:szCs w:val="4"/>
              </w:rPr>
            </w:r>
          </w:p>
        </w:tc>
      </w:tr>
      <w:tr>
        <w:trPr/>
        <w:tc>
          <w:tcPr>
            <w:tcW w:w="1069" w:type="dxa"/>
            <w:tcBorders/>
            <w:vAlign w:val="bottom"/>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2890" w:type="dxa"/>
            <w:tcBorders/>
            <w:vAlign w:val="bottom"/>
          </w:tcPr>
          <w:p>
            <w:pPr>
              <w:pStyle w:val="TableContents"/>
              <w:pBdr>
                <w:bottom w:val="single" w:sz="2" w:space="1" w:color="000000"/>
              </w:pBdr>
              <w:bidi w:val="0"/>
              <w:spacing w:before="0" w:after="20"/>
              <w:jc w:val="both"/>
              <w:rPr>
                <w:rFonts w:ascii="Times New Roman" w:hAnsi="Times New Roman"/>
                <w:i/>
                <w:sz w:val="24"/>
              </w:rPr>
            </w:pPr>
            <w:r>
              <w:rPr>
                <w:rFonts w:ascii="Times New Roman" w:hAnsi="Times New Roman"/>
                <w:i/>
                <w:sz w:val="24"/>
              </w:rPr>
              <w:t>/s/ Elizabeth Beastrom</w:t>
            </w:r>
          </w:p>
        </w:tc>
      </w:tr>
      <w:tr>
        <w:trPr/>
        <w:tc>
          <w:tcPr>
            <w:tcW w:w="106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890" w:type="dxa"/>
            <w:tcBorders/>
            <w:vAlign w:val="bottom"/>
          </w:tcPr>
          <w:p>
            <w:pPr>
              <w:pStyle w:val="TableContents"/>
              <w:bidi w:val="0"/>
              <w:spacing w:before="0" w:after="0"/>
              <w:jc w:val="left"/>
              <w:rPr/>
            </w:pPr>
            <w:r>
              <w:rPr/>
              <w:t> </w:t>
            </w:r>
            <w:r>
              <w:rPr>
                <w:rFonts w:ascii="Times New Roman" w:hAnsi="Times New Roman"/>
                <w:sz w:val="24"/>
              </w:rPr>
              <w:t>Name: Elizabeth Beastrom</w:t>
            </w:r>
          </w:p>
          <w:p>
            <w:pPr>
              <w:pStyle w:val="TableContents"/>
              <w:bidi w:val="0"/>
              <w:spacing w:before="0" w:after="20"/>
              <w:jc w:val="left"/>
              <w:rPr/>
            </w:pPr>
            <w:r>
              <w:rPr/>
              <w:t> </w:t>
            </w:r>
            <w:r>
              <w:rPr>
                <w:rFonts w:ascii="Times New Roman" w:hAnsi="Times New Roman"/>
                <w:sz w:val="24"/>
              </w:rPr>
              <w:t>Title:  President</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- 20 -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17"/>
        <w:gridCol w:w="60"/>
        <w:gridCol w:w="3305"/>
      </w:tblGrid>
      <w:tr>
        <w:trPr/>
        <w:tc>
          <w:tcPr>
            <w:tcW w:w="7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rHeight w:val="36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COMPUTERSHARE TRUST COMPANY OF CANADA, </w:t>
            </w:r>
            <w:r>
              <w:rPr/>
              <w:t>as Notes Trustee</w:t>
            </w:r>
          </w:p>
        </w:tc>
      </w:tr>
      <w:tr>
        <w:trPr>
          <w:trHeight w:val="360" w:hRule="atLeast"/>
        </w:trPr>
        <w:tc>
          <w:tcPr>
            <w:tcW w:w="717" w:type="dxa"/>
            <w:tcBorders/>
            <w:vAlign w:val="center"/>
          </w:tcPr>
          <w:p>
            <w:pPr>
              <w:pStyle w:val="TableContents"/>
              <w:bidi w:val="0"/>
              <w:spacing w:before="0" w:after="283"/>
              <w:jc w:val="left"/>
              <w:rPr>
                <w:sz w:val="4"/>
                <w:szCs w:val="4"/>
              </w:rPr>
            </w:pPr>
            <w:r>
              <w:rPr>
                <w:sz w:val="4"/>
                <w:szCs w:val="4"/>
              </w:rPr>
            </w:r>
          </w:p>
        </w:tc>
        <w:tc>
          <w:tcPr>
            <w:tcW w:w="3365" w:type="dxa"/>
            <w:gridSpan w:val="2"/>
            <w:tcBorders/>
            <w:vAlign w:val="center"/>
          </w:tcPr>
          <w:p>
            <w:pPr>
              <w:pStyle w:val="TableContents"/>
              <w:bidi w:val="0"/>
              <w:spacing w:before="0" w:after="283"/>
              <w:jc w:val="left"/>
              <w:rPr>
                <w:sz w:val="4"/>
                <w:szCs w:val="4"/>
              </w:rPr>
            </w:pPr>
            <w:r>
              <w:rPr>
                <w:sz w:val="4"/>
                <w:szCs w:val="4"/>
              </w:rPr>
            </w:r>
          </w:p>
        </w:tc>
      </w:tr>
      <w:tr>
        <w:trPr/>
        <w:tc>
          <w:tcPr>
            <w:tcW w:w="717" w:type="dxa"/>
            <w:tcBorders/>
            <w:vAlign w:val="bottom"/>
          </w:tcPr>
          <w:p>
            <w:pPr>
              <w:pStyle w:val="TableContents"/>
              <w:bidi w:val="0"/>
              <w:spacing w:before="0" w:after="283"/>
              <w:jc w:val="left"/>
              <w:rPr/>
            </w:pPr>
            <w:r>
              <w:rPr/>
              <w:t>By: </w:t>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pBdr>
                <w:bottom w:val="single" w:sz="2" w:space="1" w:color="000000"/>
              </w:pBdr>
              <w:bidi w:val="0"/>
              <w:spacing w:before="0" w:after="20"/>
              <w:jc w:val="both"/>
              <w:rPr>
                <w:rFonts w:ascii="Times New Roman" w:hAnsi="Times New Roman"/>
                <w:i/>
                <w:sz w:val="24"/>
              </w:rPr>
            </w:pPr>
            <w:r>
              <w:rPr>
                <w:rFonts w:ascii="Times New Roman" w:hAnsi="Times New Roman"/>
                <w:i/>
                <w:sz w:val="24"/>
              </w:rPr>
              <w:t>/s/ Neil Scott</w:t>
            </w:r>
          </w:p>
        </w:tc>
      </w:tr>
      <w:tr>
        <w:trPr/>
        <w:tc>
          <w:tcPr>
            <w:tcW w:w="7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bidi w:val="0"/>
              <w:spacing w:before="0" w:after="0"/>
              <w:jc w:val="left"/>
              <w:rPr/>
            </w:pPr>
            <w:r>
              <w:rPr/>
              <w:t> </w:t>
            </w:r>
            <w:r>
              <w:rPr>
                <w:rFonts w:ascii="Times New Roman" w:hAnsi="Times New Roman"/>
                <w:sz w:val="24"/>
              </w:rPr>
              <w:t>Name: Neil Scott</w:t>
            </w:r>
          </w:p>
          <w:p>
            <w:pPr>
              <w:pStyle w:val="TableContents"/>
              <w:bidi w:val="0"/>
              <w:spacing w:before="0" w:after="20"/>
              <w:jc w:val="left"/>
              <w:rPr/>
            </w:pPr>
            <w:r>
              <w:rPr/>
              <w:t> </w:t>
            </w:r>
            <w:r>
              <w:rPr>
                <w:rFonts w:ascii="Times New Roman" w:hAnsi="Times New Roman"/>
                <w:sz w:val="24"/>
              </w:rPr>
              <w:t>Title:  Corporate Trust Officer</w:t>
            </w:r>
          </w:p>
        </w:tc>
      </w:tr>
      <w:tr>
        <w:trPr>
          <w:trHeight w:val="360" w:hRule="atLeast"/>
        </w:trPr>
        <w:tc>
          <w:tcPr>
            <w:tcW w:w="717" w:type="dxa"/>
            <w:tcBorders/>
            <w:vAlign w:val="center"/>
          </w:tcPr>
          <w:p>
            <w:pPr>
              <w:pStyle w:val="TableContents"/>
              <w:bidi w:val="0"/>
              <w:spacing w:before="0" w:after="283"/>
              <w:jc w:val="left"/>
              <w:rPr>
                <w:sz w:val="4"/>
                <w:szCs w:val="4"/>
              </w:rPr>
            </w:pPr>
            <w:r>
              <w:rPr>
                <w:sz w:val="4"/>
                <w:szCs w:val="4"/>
              </w:rPr>
            </w:r>
          </w:p>
        </w:tc>
        <w:tc>
          <w:tcPr>
            <w:tcW w:w="3365" w:type="dxa"/>
            <w:gridSpan w:val="2"/>
            <w:tcBorders/>
            <w:vAlign w:val="center"/>
          </w:tcPr>
          <w:p>
            <w:pPr>
              <w:pStyle w:val="TableContents"/>
              <w:bidi w:val="0"/>
              <w:spacing w:before="0" w:after="283"/>
              <w:jc w:val="left"/>
              <w:rPr>
                <w:sz w:val="4"/>
                <w:szCs w:val="4"/>
              </w:rPr>
            </w:pPr>
            <w:r>
              <w:rPr>
                <w:sz w:val="4"/>
                <w:szCs w:val="4"/>
              </w:rPr>
            </w:r>
          </w:p>
        </w:tc>
      </w:tr>
      <w:tr>
        <w:trPr/>
        <w:tc>
          <w:tcPr>
            <w:tcW w:w="717"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pBdr>
                <w:bottom w:val="single" w:sz="2" w:space="1" w:color="000000"/>
              </w:pBdr>
              <w:bidi w:val="0"/>
              <w:spacing w:before="0" w:after="20"/>
              <w:jc w:val="both"/>
              <w:rPr>
                <w:rFonts w:ascii="Times New Roman" w:hAnsi="Times New Roman"/>
                <w:i/>
                <w:sz w:val="24"/>
              </w:rPr>
            </w:pPr>
            <w:r>
              <w:rPr>
                <w:rFonts w:ascii="Times New Roman" w:hAnsi="Times New Roman"/>
                <w:i/>
                <w:sz w:val="24"/>
              </w:rPr>
              <w:t>/s/ Mohanie Shivprasad</w:t>
            </w:r>
          </w:p>
        </w:tc>
      </w:tr>
      <w:tr>
        <w:trPr/>
        <w:tc>
          <w:tcPr>
            <w:tcW w:w="7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bidi w:val="0"/>
              <w:spacing w:before="0" w:after="0"/>
              <w:jc w:val="left"/>
              <w:rPr/>
            </w:pPr>
            <w:r>
              <w:rPr/>
              <w:t> </w:t>
            </w:r>
            <w:r>
              <w:rPr>
                <w:rFonts w:ascii="Times New Roman" w:hAnsi="Times New Roman"/>
                <w:sz w:val="24"/>
              </w:rPr>
              <w:t>Name: Mohanie Shivprasad</w:t>
            </w:r>
          </w:p>
          <w:p>
            <w:pPr>
              <w:pStyle w:val="TableContents"/>
              <w:bidi w:val="0"/>
              <w:spacing w:before="0" w:after="20"/>
              <w:jc w:val="left"/>
              <w:rPr/>
            </w:pPr>
            <w:r>
              <w:rPr/>
              <w:t> </w:t>
            </w:r>
            <w:r>
              <w:rPr>
                <w:rFonts w:ascii="Times New Roman" w:hAnsi="Times New Roman"/>
                <w:sz w:val="24"/>
              </w:rPr>
              <w:t>Title:  Associate Trust Officer</w:t>
            </w:r>
          </w:p>
        </w:tc>
      </w:tr>
      <w:tr>
        <w:trPr>
          <w:trHeight w:val="1215"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DEUTSCHE BANK TRUST COMPANY AMERICAS</w:t>
            </w:r>
            <w:r>
              <w:rPr/>
              <w:t>, as Co-Trustee</w:t>
            </w:r>
          </w:p>
        </w:tc>
      </w:tr>
      <w:tr>
        <w:trPr>
          <w:trHeight w:val="360" w:hRule="atLeast"/>
        </w:trPr>
        <w:tc>
          <w:tcPr>
            <w:tcW w:w="717" w:type="dxa"/>
            <w:tcBorders/>
            <w:vAlign w:val="center"/>
          </w:tcPr>
          <w:p>
            <w:pPr>
              <w:pStyle w:val="TableContents"/>
              <w:bidi w:val="0"/>
              <w:spacing w:before="0" w:after="283"/>
              <w:jc w:val="left"/>
              <w:rPr>
                <w:sz w:val="4"/>
                <w:szCs w:val="4"/>
              </w:rPr>
            </w:pPr>
            <w:r>
              <w:rPr>
                <w:sz w:val="4"/>
                <w:szCs w:val="4"/>
              </w:rPr>
            </w:r>
          </w:p>
        </w:tc>
        <w:tc>
          <w:tcPr>
            <w:tcW w:w="3365" w:type="dxa"/>
            <w:gridSpan w:val="2"/>
            <w:tcBorders/>
            <w:vAlign w:val="center"/>
          </w:tcPr>
          <w:p>
            <w:pPr>
              <w:pStyle w:val="TableContents"/>
              <w:bidi w:val="0"/>
              <w:spacing w:before="0" w:after="283"/>
              <w:jc w:val="left"/>
              <w:rPr>
                <w:sz w:val="4"/>
                <w:szCs w:val="4"/>
              </w:rPr>
            </w:pPr>
            <w:r>
              <w:rPr>
                <w:sz w:val="4"/>
                <w:szCs w:val="4"/>
              </w:rPr>
            </w:r>
          </w:p>
        </w:tc>
      </w:tr>
      <w:tr>
        <w:trPr/>
        <w:tc>
          <w:tcPr>
            <w:tcW w:w="717"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pBdr>
                <w:bottom w:val="single" w:sz="2" w:space="1" w:color="000000"/>
              </w:pBdr>
              <w:bidi w:val="0"/>
              <w:spacing w:before="0" w:after="20"/>
              <w:jc w:val="both"/>
              <w:rPr>
                <w:rFonts w:ascii="Times New Roman" w:hAnsi="Times New Roman"/>
                <w:i/>
                <w:sz w:val="24"/>
              </w:rPr>
            </w:pPr>
            <w:r>
              <w:rPr>
                <w:rFonts w:ascii="Times New Roman" w:hAnsi="Times New Roman"/>
                <w:i/>
                <w:sz w:val="24"/>
              </w:rPr>
              <w:t>/s/ Rodney Gaughan</w:t>
            </w:r>
          </w:p>
        </w:tc>
      </w:tr>
      <w:tr>
        <w:trPr/>
        <w:tc>
          <w:tcPr>
            <w:tcW w:w="7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bidi w:val="0"/>
              <w:spacing w:before="0" w:after="0"/>
              <w:jc w:val="left"/>
              <w:rPr/>
            </w:pPr>
            <w:r>
              <w:rPr/>
              <w:t> </w:t>
            </w:r>
            <w:r>
              <w:rPr>
                <w:rFonts w:ascii="Times New Roman" w:hAnsi="Times New Roman"/>
                <w:sz w:val="24"/>
              </w:rPr>
              <w:t>Name: Rodney Gaughan</w:t>
            </w:r>
          </w:p>
          <w:p>
            <w:pPr>
              <w:pStyle w:val="TableContents"/>
              <w:bidi w:val="0"/>
              <w:spacing w:before="0" w:after="20"/>
              <w:jc w:val="left"/>
              <w:rPr/>
            </w:pPr>
            <w:r>
              <w:rPr/>
              <w:t> </w:t>
            </w:r>
            <w:r>
              <w:rPr>
                <w:rFonts w:ascii="Times New Roman" w:hAnsi="Times New Roman"/>
                <w:sz w:val="24"/>
              </w:rPr>
              <w:t>Title:  Vice President</w:t>
            </w:r>
          </w:p>
        </w:tc>
      </w:tr>
      <w:tr>
        <w:trPr>
          <w:trHeight w:val="360" w:hRule="atLeast"/>
        </w:trPr>
        <w:tc>
          <w:tcPr>
            <w:tcW w:w="717" w:type="dxa"/>
            <w:tcBorders/>
            <w:vAlign w:val="center"/>
          </w:tcPr>
          <w:p>
            <w:pPr>
              <w:pStyle w:val="TableContents"/>
              <w:bidi w:val="0"/>
              <w:spacing w:before="0" w:after="283"/>
              <w:jc w:val="left"/>
              <w:rPr>
                <w:sz w:val="4"/>
                <w:szCs w:val="4"/>
              </w:rPr>
            </w:pPr>
            <w:r>
              <w:rPr>
                <w:sz w:val="4"/>
                <w:szCs w:val="4"/>
              </w:rPr>
            </w:r>
          </w:p>
        </w:tc>
        <w:tc>
          <w:tcPr>
            <w:tcW w:w="3365" w:type="dxa"/>
            <w:gridSpan w:val="2"/>
            <w:tcBorders/>
            <w:vAlign w:val="center"/>
          </w:tcPr>
          <w:p>
            <w:pPr>
              <w:pStyle w:val="TableContents"/>
              <w:bidi w:val="0"/>
              <w:spacing w:before="0" w:after="283"/>
              <w:jc w:val="left"/>
              <w:rPr>
                <w:sz w:val="4"/>
                <w:szCs w:val="4"/>
              </w:rPr>
            </w:pPr>
            <w:r>
              <w:rPr>
                <w:sz w:val="4"/>
                <w:szCs w:val="4"/>
              </w:rPr>
            </w:r>
          </w:p>
        </w:tc>
      </w:tr>
      <w:tr>
        <w:trPr/>
        <w:tc>
          <w:tcPr>
            <w:tcW w:w="717"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pBdr>
                <w:bottom w:val="single" w:sz="2" w:space="1" w:color="000000"/>
              </w:pBdr>
              <w:bidi w:val="0"/>
              <w:spacing w:before="0" w:after="20"/>
              <w:jc w:val="both"/>
              <w:rPr>
                <w:rFonts w:ascii="Times New Roman" w:hAnsi="Times New Roman"/>
                <w:i/>
                <w:sz w:val="24"/>
              </w:rPr>
            </w:pPr>
            <w:r>
              <w:rPr>
                <w:rFonts w:ascii="Times New Roman" w:hAnsi="Times New Roman"/>
                <w:i/>
                <w:sz w:val="24"/>
              </w:rPr>
              <w:t>/s/ Denise Kellerk</w:t>
            </w:r>
          </w:p>
        </w:tc>
      </w:tr>
      <w:tr>
        <w:trPr/>
        <w:tc>
          <w:tcPr>
            <w:tcW w:w="7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05" w:type="dxa"/>
            <w:tcBorders/>
            <w:vAlign w:val="bottom"/>
          </w:tcPr>
          <w:p>
            <w:pPr>
              <w:pStyle w:val="TableContents"/>
              <w:bidi w:val="0"/>
              <w:spacing w:before="0" w:after="0"/>
              <w:jc w:val="left"/>
              <w:rPr/>
            </w:pPr>
            <w:r>
              <w:rPr/>
              <w:t> </w:t>
            </w:r>
            <w:r>
              <w:rPr>
                <w:rFonts w:ascii="Times New Roman" w:hAnsi="Times New Roman"/>
                <w:sz w:val="24"/>
              </w:rPr>
              <w:t>Name: Denise Kellerk</w:t>
            </w:r>
          </w:p>
          <w:p>
            <w:pPr>
              <w:pStyle w:val="TableContents"/>
              <w:bidi w:val="0"/>
              <w:spacing w:before="0" w:after="20"/>
              <w:jc w:val="left"/>
              <w:rPr/>
            </w:pPr>
            <w:r>
              <w:rPr/>
              <w:t> </w:t>
            </w:r>
            <w:r>
              <w:rPr>
                <w:rFonts w:ascii="Times New Roman" w:hAnsi="Times New Roman"/>
                <w:sz w:val="24"/>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- 21 - </w:t>
      </w:r>
    </w:p>
    <w:p>
      <w:pPr>
        <w:pStyle w:val="TextBody"/>
        <w:bidi w:val="0"/>
        <w:spacing w:before="0" w:after="0"/>
        <w:jc w:val="left"/>
        <w:rPr/>
      </w:pPr>
      <w:r>
        <w:rPr/>
        <w:t> </w:t>
      </w:r>
    </w:p>
    <w:p>
      <w:pPr>
        <w:pStyle w:val="TextBody"/>
        <w:bidi w:val="0"/>
        <w:spacing w:before="0" w:after="0"/>
        <w:jc w:val="center"/>
        <w:rPr>
          <w:rFonts w:ascii="Times New Roman" w:hAnsi="Times New Roman"/>
          <w:sz w:val="24"/>
          <w:u w:val="single"/>
        </w:rPr>
      </w:pPr>
      <w:r>
        <w:rPr>
          <w:rFonts w:ascii="Times New Roman" w:hAnsi="Times New Roman"/>
          <w:sz w:val="24"/>
          <w:u w:val="single"/>
        </w:rPr>
        <w:t xml:space="preserve">EXHIBIT I </w:t>
      </w:r>
    </w:p>
    <w:p>
      <w:pPr>
        <w:pStyle w:val="TextBody"/>
        <w:bidi w:val="0"/>
        <w:spacing w:before="240" w:after="0"/>
        <w:jc w:val="center"/>
        <w:rPr>
          <w:rFonts w:ascii="Times New Roman" w:hAnsi="Times New Roman"/>
          <w:sz w:val="24"/>
        </w:rPr>
      </w:pPr>
      <w:r>
        <w:rPr>
          <w:rFonts w:ascii="Times New Roman" w:hAnsi="Times New Roman"/>
          <w:sz w:val="24"/>
        </w:rPr>
        <w:t xml:space="preserve">(Form of 2029 Global Notes) </w:t>
      </w:r>
    </w:p>
    <w:p>
      <w:pPr>
        <w:pStyle w:val="TextBody"/>
        <w:bidi w:val="0"/>
        <w:spacing w:before="240" w:after="0"/>
        <w:jc w:val="both"/>
        <w:rPr>
          <w:rFonts w:ascii="Times New Roman" w:hAnsi="Times New Roman"/>
          <w:b/>
          <w:sz w:val="24"/>
        </w:rPr>
      </w:pPr>
      <w:r>
        <w:rPr>
          <w:rFonts w:ascii="Times New Roman" w:hAnsi="Times New Roman"/>
          <w:b/>
          <w:sz w:val="24"/>
        </w:rPr>
        <w:t xml:space="preserve">Unless this certificate is presented by an authorized representative of CDS Clearing and Depository Services Inc. (“CDS”) to Thomson Reuters Corporation (the “Issuer”) or its agent for registration of transfer, exchange or payment, and any certificate issued in respect thereof is registered in the name of CDS &amp; CO., or in such other name as is requested by an authorized representative of CDS (and any payment is made to CDS &amp; CO. or to such other entity as is requested by an authorized representative of CDS), ANY TRANSFER, PLEDGE OR OTHER USE HEREOF FOR VALUE OR OTHERWISE BY OR TO ANY PERSON IS WRONGFUL since the registered holder hereof, CDS &amp; CO., has a property interest in the securities represented by this certificate herein and it is a violation of its rights for another person to hold, transfer or deal with this certificate. </w:t>
      </w:r>
    </w:p>
    <w:p>
      <w:pPr>
        <w:pStyle w:val="TextBody"/>
        <w:bidi w:val="0"/>
        <w:spacing w:before="240" w:after="0"/>
        <w:jc w:val="both"/>
        <w:rPr>
          <w:rFonts w:ascii="Times New Roman" w:hAnsi="Times New Roman"/>
          <w:sz w:val="24"/>
        </w:rPr>
      </w:pPr>
      <w:r>
        <w:rPr>
          <w:rFonts w:ascii="Times New Roman" w:hAnsi="Times New Roman"/>
          <w:sz w:val="24"/>
        </w:rPr>
        <w:t xml:space="preserve">UNLESS PERMITTED UNDER CANADIAN SECURITIES LEGISLATION, THE HOLDER OF THIS SECURITY MUST NOT TRADE THE SECURITY BEFORE JANUARY 18, 2027. </w:t>
      </w:r>
    </w:p>
    <w:p>
      <w:pPr>
        <w:pStyle w:val="TextBody"/>
        <w:bidi w:val="0"/>
        <w:spacing w:before="240" w:after="0"/>
        <w:jc w:val="center"/>
        <w:rPr>
          <w:rFonts w:ascii="Times New Roman" w:hAnsi="Times New Roman"/>
          <w:b/>
          <w:sz w:val="24"/>
        </w:rPr>
      </w:pPr>
      <w:r>
        <w:rPr>
          <w:rFonts w:ascii="Times New Roman" w:hAnsi="Times New Roman"/>
          <w:b/>
          <w:sz w:val="24"/>
        </w:rPr>
        <w:t xml:space="preserve">THOMSON REUTERS CORPORATION </w:t>
      </w:r>
    </w:p>
    <w:p>
      <w:pPr>
        <w:pStyle w:val="TextBody"/>
        <w:bidi w:val="0"/>
        <w:spacing w:before="240" w:after="0"/>
        <w:jc w:val="center"/>
        <w:rPr>
          <w:rFonts w:ascii="Times New Roman" w:hAnsi="Times New Roman"/>
          <w:sz w:val="24"/>
        </w:rPr>
      </w:pPr>
      <w:r>
        <w:rPr>
          <w:rFonts w:ascii="Times New Roman" w:hAnsi="Times New Roman"/>
          <w:sz w:val="24"/>
        </w:rPr>
        <w:t xml:space="preserve">4.130% Notes due 2029 </w:t>
      </w:r>
    </w:p>
    <w:p>
      <w:pPr>
        <w:pStyle w:val="TextBody"/>
        <w:bidi w:val="0"/>
        <w:spacing w:before="240" w:after="0"/>
        <w:jc w:val="left"/>
        <w:rPr>
          <w:rFonts w:ascii="Times New Roman" w:hAnsi="Times New Roman"/>
          <w:sz w:val="24"/>
        </w:rPr>
      </w:pPr>
      <w:r>
        <w:rPr>
          <w:rFonts w:ascii="Times New Roman" w:hAnsi="Times New Roman"/>
          <w:sz w:val="24"/>
        </w:rPr>
        <w:t xml:space="preserve">No. A-1 </w:t>
      </w:r>
    </w:p>
    <w:p>
      <w:pPr>
        <w:pStyle w:val="TextBody"/>
        <w:bidi w:val="0"/>
        <w:spacing w:before="240" w:after="0"/>
        <w:jc w:val="right"/>
        <w:rPr>
          <w:rFonts w:ascii="Times New Roman" w:hAnsi="Times New Roman"/>
          <w:sz w:val="24"/>
        </w:rPr>
      </w:pPr>
      <w:r>
        <w:rPr>
          <w:rFonts w:ascii="Times New Roman" w:hAnsi="Times New Roman"/>
          <w:sz w:val="24"/>
        </w:rPr>
        <w:t xml:space="preserve">C$● </w:t>
      </w:r>
    </w:p>
    <w:p>
      <w:pPr>
        <w:pStyle w:val="TextBody"/>
        <w:bidi w:val="0"/>
        <w:spacing w:before="0" w:after="0"/>
        <w:jc w:val="right"/>
        <w:rPr>
          <w:rFonts w:ascii="Times New Roman" w:hAnsi="Times New Roman"/>
          <w:sz w:val="24"/>
        </w:rPr>
      </w:pPr>
      <w:r>
        <w:rPr>
          <w:rFonts w:ascii="Times New Roman" w:hAnsi="Times New Roman"/>
          <w:sz w:val="24"/>
        </w:rPr>
        <w:t xml:space="preserve">CUSIP:884903BY0 </w:t>
      </w:r>
    </w:p>
    <w:p>
      <w:pPr>
        <w:pStyle w:val="TextBody"/>
        <w:bidi w:val="0"/>
        <w:spacing w:before="0" w:after="0"/>
        <w:jc w:val="right"/>
        <w:rPr>
          <w:rFonts w:ascii="Times New Roman" w:hAnsi="Times New Roman"/>
          <w:sz w:val="24"/>
        </w:rPr>
      </w:pPr>
      <w:r>
        <w:rPr>
          <w:rFonts w:ascii="Times New Roman" w:hAnsi="Times New Roman"/>
          <w:sz w:val="24"/>
        </w:rPr>
        <w:t xml:space="preserve">ISIN: CA884903BY06 </w:t>
      </w:r>
    </w:p>
    <w:p>
      <w:pPr>
        <w:pStyle w:val="TextBody"/>
        <w:bidi w:val="0"/>
        <w:spacing w:before="240" w:after="0"/>
        <w:jc w:val="both"/>
        <w:rPr>
          <w:rFonts w:ascii="Times New Roman" w:hAnsi="Times New Roman"/>
          <w:sz w:val="24"/>
        </w:rPr>
      </w:pPr>
      <w:r>
        <w:rPr>
          <w:rFonts w:ascii="Times New Roman" w:hAnsi="Times New Roman"/>
          <w:sz w:val="24"/>
        </w:rPr>
        <w:t xml:space="preserve">THOMSON REUTERS CORPORATION, a corporation duly organized and existing under the laws of the Province of Ontario (herein called the “Corporation”, which term includes any successor Person under the Indenture hereinafter referred to), for value received, hereby promises to pay to CDS &amp; Co., or its registered assigns, the principal sum of C$● (● CANADIAN DOLLARS) on September 17, 2029, at the office or agency of the Corporation referred to below, and to pay interest thereon on ●, 20● and semi-annually thereafter, on March 17 and September 17 in each year, from September 17, 2026, or from the most recent Interest Payment Date to which interest has been paid or duly provided for, at the rate of 4.130% per annum, until the principal hereof is paid or duly provided for, and (to the extent lawful) to pay on demand interest on any overdue interest at the rate borne by the Securities from the date on which such overdue interest becomes payable to the date payment of such interest has been made or duly provided for. The interest so payable, and punctually paid or duly provided for, on any Interest Payment Date will, as provided in such Indenture, be paid to the Person in whose name this Security is registered at the close of business on the Regular Record Date for such interest, which shall be March 1 or September 1 (whether or not a Business Day), as the case may be, next preceding such Interest Payment Date. Any such interest not so punctually paid or duly provided for shall forthwith cease to be payable to the Holder on such Regular Record Date, and such defaulted interest and (to the extent lawful) interest on such defaulted interest at the rate borne by the Securities, may be paid to the Person in whose name this Security is registered at the close of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- 22 -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business on a Special Record Date for the payment of such Defaulted Interest to be fixed by the Trustee, notice whereof shall be given to Holders not less than 10 days prior to such Special Record Date, or may be paid at any time in any other lawful manner not inconsistent with the requirements of any securities exchange on which the Securities may be listed, and upon such notice as may be required by such exchange, all as more fully provided in said Indenture. </w:t>
      </w:r>
    </w:p>
    <w:p>
      <w:pPr>
        <w:pStyle w:val="TextBody"/>
        <w:bidi w:val="0"/>
        <w:spacing w:before="240" w:after="0"/>
        <w:jc w:val="both"/>
        <w:rPr>
          <w:rFonts w:ascii="Times New Roman" w:hAnsi="Times New Roman"/>
          <w:sz w:val="24"/>
        </w:rPr>
      </w:pPr>
      <w:r>
        <w:rPr>
          <w:rFonts w:ascii="Times New Roman" w:hAnsi="Times New Roman"/>
          <w:sz w:val="24"/>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both"/>
        <w:rPr>
          <w:rFonts w:ascii="Times New Roman" w:hAnsi="Times New Roman"/>
          <w:sz w:val="24"/>
        </w:rPr>
      </w:pPr>
      <w:r>
        <w:rPr>
          <w:rFonts w:ascii="Times New Roman" w:hAnsi="Times New Roman"/>
          <w:sz w:val="24"/>
        </w:rPr>
        <w:t xml:space="preserve">Unless the certificate of authentication hereon has been duly executed by the Trustee by manual or electronic signature, this Security shall not be entitled to any benefit under the Indenture, or be valid or obligatory for any purpose.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- 23 -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IN WITNESS WHEREOF, the Corporation has caused this instrument to be duly executed and attested. </w:t>
      </w:r>
    </w:p>
    <w:p>
      <w:pPr>
        <w:pStyle w:val="TextBody"/>
        <w:bidi w:val="0"/>
        <w:spacing w:before="360" w:after="0"/>
        <w:jc w:val="left"/>
        <w:rPr>
          <w:rFonts w:ascii="Times New Roman" w:hAnsi="Times New Roman"/>
          <w:sz w:val="24"/>
        </w:rPr>
      </w:pPr>
      <w:r>
        <w:rPr>
          <w:rFonts w:ascii="Times New Roman" w:hAnsi="Times New Roman"/>
          <w:sz w:val="24"/>
        </w:rPr>
        <w:t xml:space="preserve">Dated: ●, 20● </w:t>
      </w:r>
    </w:p>
    <w:p>
      <w:pPr>
        <w:pStyle w:val="TextBody"/>
        <w:bidi w:val="0"/>
        <w:spacing w:before="0" w:after="0"/>
        <w:jc w:val="left"/>
        <w:rPr/>
      </w:pPr>
      <w:r>
        <w:rPr/>
        <w:t> </w:t>
      </w:r>
    </w:p>
    <w:tbl>
      <w:tblPr>
        <w:tblW w:w="4400" w:type="dxa"/>
        <w:jc w:val="right"/>
        <w:tblInd w:w="0" w:type="dxa"/>
        <w:tblLayout w:type="fixed"/>
        <w:tblCellMar>
          <w:top w:w="0" w:type="dxa"/>
          <w:left w:w="0" w:type="dxa"/>
          <w:bottom w:w="0" w:type="dxa"/>
          <w:right w:w="0" w:type="dxa"/>
        </w:tblCellMar>
      </w:tblPr>
      <w:tblGrid>
        <w:gridCol w:w="2036"/>
        <w:gridCol w:w="218"/>
        <w:gridCol w:w="2146"/>
      </w:tblGrid>
      <w:tr>
        <w:trPr/>
        <w:tc>
          <w:tcPr>
            <w:tcW w:w="2036"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cPr>
          <w:p>
            <w:pPr>
              <w:pStyle w:val="TableContents"/>
              <w:bidi w:val="0"/>
              <w:spacing w:before="0" w:after="283"/>
              <w:jc w:val="left"/>
              <w:rPr>
                <w:b/>
              </w:rPr>
            </w:pPr>
            <w:r>
              <w:rPr>
                <w:b/>
              </w:rPr>
              <w:t>THOMSON REUTERS CORPORATION</w:t>
            </w:r>
          </w:p>
        </w:tc>
      </w:tr>
      <w:tr>
        <w:trPr>
          <w:trHeight w:val="360" w:hRule="atLeast"/>
        </w:trPr>
        <w:tc>
          <w:tcPr>
            <w:tcW w:w="2036" w:type="dxa"/>
            <w:tcBorders/>
            <w:vAlign w:val="center"/>
          </w:tcPr>
          <w:p>
            <w:pPr>
              <w:pStyle w:val="TableContents"/>
              <w:bidi w:val="0"/>
              <w:spacing w:before="0" w:after="283"/>
              <w:jc w:val="left"/>
              <w:rPr>
                <w:sz w:val="4"/>
                <w:szCs w:val="4"/>
              </w:rPr>
            </w:pPr>
            <w:r>
              <w:rPr>
                <w:sz w:val="4"/>
                <w:szCs w:val="4"/>
              </w:rPr>
            </w:r>
          </w:p>
        </w:tc>
        <w:tc>
          <w:tcPr>
            <w:tcW w:w="2364" w:type="dxa"/>
            <w:gridSpan w:val="2"/>
            <w:tcBorders/>
            <w:vAlign w:val="center"/>
          </w:tcPr>
          <w:p>
            <w:pPr>
              <w:pStyle w:val="TableContents"/>
              <w:bidi w:val="0"/>
              <w:spacing w:before="0" w:after="283"/>
              <w:jc w:val="left"/>
              <w:rPr>
                <w:sz w:val="4"/>
                <w:szCs w:val="4"/>
              </w:rPr>
            </w:pPr>
            <w:r>
              <w:rPr>
                <w:sz w:val="4"/>
                <w:szCs w:val="4"/>
              </w:rPr>
            </w:r>
          </w:p>
        </w:tc>
      </w:tr>
      <w:tr>
        <w:trPr/>
        <w:tc>
          <w:tcPr>
            <w:tcW w:w="2036" w:type="dxa"/>
            <w:tcBorders/>
            <w:vAlign w:val="bottom"/>
          </w:tcPr>
          <w:p>
            <w:pPr>
              <w:pStyle w:val="TableContents"/>
              <w:bidi w:val="0"/>
              <w:spacing w:before="0" w:after="283"/>
              <w:jc w:val="left"/>
              <w:rPr/>
            </w:pPr>
            <w:r>
              <w:rPr/>
              <w:t>By:  </w:t>
            </w:r>
          </w:p>
        </w:tc>
        <w:tc>
          <w:tcPr>
            <w:tcW w:w="218" w:type="dxa"/>
            <w:tcBorders/>
            <w:vAlign w:val="bottom"/>
          </w:tcPr>
          <w:p>
            <w:pPr>
              <w:pStyle w:val="TableContents"/>
              <w:bidi w:val="0"/>
              <w:spacing w:before="0" w:after="283"/>
              <w:jc w:val="left"/>
              <w:rPr/>
            </w:pPr>
            <w:r>
              <w:rPr/>
              <w:t> </w:t>
            </w:r>
          </w:p>
        </w:tc>
        <w:tc>
          <w:tcPr>
            <w:tcW w:w="2146" w:type="dxa"/>
            <w:tcBorders/>
            <w:vAlign w:val="bottom"/>
          </w:tcPr>
          <w:p>
            <w:pPr>
              <w:pStyle w:val="TableContents"/>
              <w:pBdr>
                <w:bottom w:val="single" w:sz="2" w:space="1" w:color="000000"/>
              </w:pBdr>
              <w:bidi w:val="0"/>
              <w:spacing w:before="0" w:after="20"/>
              <w:jc w:val="left"/>
              <w:rPr/>
            </w:pPr>
            <w:r>
              <w:rPr/>
              <w:t> </w:t>
            </w:r>
          </w:p>
        </w:tc>
      </w:tr>
      <w:tr>
        <w:trPr/>
        <w:tc>
          <w:tcPr>
            <w:tcW w:w="203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2146" w:type="dxa"/>
            <w:tcBorders/>
            <w:vAlign w:val="bottom"/>
          </w:tcPr>
          <w:p>
            <w:pPr>
              <w:pStyle w:val="TableContents"/>
              <w:bidi w:val="0"/>
              <w:spacing w:before="0" w:after="0"/>
              <w:jc w:val="left"/>
              <w:rPr/>
            </w:pPr>
            <w:r>
              <w:rPr/>
              <w:t> </w:t>
            </w:r>
            <w:r>
              <w:rPr>
                <w:rFonts w:ascii="Times New Roman" w:hAnsi="Times New Roman"/>
                <w:sz w:val="24"/>
              </w:rPr>
              <w:t>Name:</w:t>
            </w:r>
          </w:p>
          <w:p>
            <w:pPr>
              <w:pStyle w:val="TableContents"/>
              <w:bidi w:val="0"/>
              <w:spacing w:before="0" w:after="20"/>
              <w:jc w:val="left"/>
              <w:rPr/>
            </w:pPr>
            <w:r>
              <w:rPr/>
              <w:t> </w:t>
            </w:r>
            <w:r>
              <w:rPr>
                <w:rFonts w:ascii="Times New Roman" w:hAnsi="Times New Roman"/>
                <w:sz w:val="24"/>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16"/>
        <w:gridCol w:w="60"/>
        <w:gridCol w:w="3106"/>
      </w:tblGrid>
      <w:tr>
        <w:trPr/>
        <w:tc>
          <w:tcPr>
            <w:tcW w:w="9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916" w:type="dxa"/>
            <w:tcBorders/>
            <w:vAlign w:val="bottom"/>
          </w:tcPr>
          <w:p>
            <w:pPr>
              <w:pStyle w:val="TableContents"/>
              <w:bidi w:val="0"/>
              <w:spacing w:before="0" w:after="283"/>
              <w:jc w:val="left"/>
              <w:rPr/>
            </w:pPr>
            <w:r>
              <w:rPr/>
              <w:t>Attest: </w:t>
            </w:r>
          </w:p>
        </w:tc>
        <w:tc>
          <w:tcPr>
            <w:tcW w:w="60" w:type="dxa"/>
            <w:tcBorders/>
            <w:vAlign w:val="bottom"/>
          </w:tcPr>
          <w:p>
            <w:pPr>
              <w:pStyle w:val="TableContents"/>
              <w:bidi w:val="0"/>
              <w:spacing w:before="0" w:after="283"/>
              <w:jc w:val="left"/>
              <w:rPr/>
            </w:pPr>
            <w:r>
              <w:rPr/>
              <w:t> </w:t>
            </w:r>
          </w:p>
        </w:tc>
        <w:tc>
          <w:tcPr>
            <w:tcW w:w="3106" w:type="dxa"/>
            <w:tcBorders/>
            <w:vAlign w:val="bottom"/>
          </w:tcPr>
          <w:p>
            <w:pPr>
              <w:pStyle w:val="TableContents"/>
              <w:pBdr>
                <w:bottom w:val="single" w:sz="2" w:space="1" w:color="000000"/>
              </w:pBdr>
              <w:bidi w:val="0"/>
              <w:spacing w:before="0" w:after="20"/>
              <w:jc w:val="left"/>
              <w:rPr/>
            </w:pPr>
            <w:r>
              <w:rPr/>
              <w:t> </w:t>
            </w:r>
          </w:p>
        </w:tc>
      </w:tr>
      <w:tr>
        <w:trPr/>
        <w:tc>
          <w:tcPr>
            <w:tcW w:w="9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6" w:type="dxa"/>
            <w:tcBorders/>
            <w:vAlign w:val="bottom"/>
          </w:tcPr>
          <w:p>
            <w:pPr>
              <w:pStyle w:val="TableContents"/>
              <w:bidi w:val="0"/>
              <w:spacing w:before="0" w:after="0"/>
              <w:jc w:val="left"/>
              <w:rPr/>
            </w:pPr>
            <w:r>
              <w:rPr/>
              <w:t> </w:t>
            </w:r>
            <w:r>
              <w:rPr>
                <w:rFonts w:ascii="Times New Roman" w:hAnsi="Times New Roman"/>
                <w:sz w:val="24"/>
              </w:rPr>
              <w:t>Name:</w:t>
            </w:r>
          </w:p>
          <w:p>
            <w:pPr>
              <w:pStyle w:val="TableContents"/>
              <w:bidi w:val="0"/>
              <w:spacing w:before="0" w:after="20"/>
              <w:jc w:val="left"/>
              <w:rPr/>
            </w:pPr>
            <w:r>
              <w:rPr/>
              <w:t> </w:t>
            </w:r>
            <w:r>
              <w:rPr>
                <w:rFonts w:ascii="Times New Roman" w:hAnsi="Times New Roman"/>
                <w:sz w:val="24"/>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4"/>
        </w:rPr>
      </w:pPr>
      <w:r>
        <w:rPr>
          <w:rFonts w:ascii="Times New Roman" w:hAnsi="Times New Roman"/>
          <w:sz w:val="24"/>
        </w:rPr>
        <w:t xml:space="preserve">TRUSTEE’S CERTIFICATE OF AUTHENTICATION </w:t>
      </w:r>
    </w:p>
    <w:p>
      <w:pPr>
        <w:pStyle w:val="TextBody"/>
        <w:bidi w:val="0"/>
        <w:spacing w:before="240" w:after="0"/>
        <w:jc w:val="both"/>
        <w:rPr>
          <w:rFonts w:ascii="Times New Roman" w:hAnsi="Times New Roman"/>
          <w:sz w:val="24"/>
        </w:rPr>
      </w:pPr>
      <w:r>
        <w:rPr>
          <w:rFonts w:ascii="Times New Roman" w:hAnsi="Times New Roman"/>
          <w:sz w:val="24"/>
        </w:rPr>
        <w:t xml:space="preserve">This is one of the Securities of the series designated as the 4.130% Notes due 2029, and issued under the Indenture as described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72"/>
        <w:gridCol w:w="101"/>
        <w:gridCol w:w="406"/>
        <w:gridCol w:w="101"/>
        <w:gridCol w:w="725"/>
        <w:gridCol w:w="101"/>
        <w:gridCol w:w="4399"/>
      </w:tblGrid>
      <w:tr>
        <w:trPr/>
        <w:tc>
          <w:tcPr>
            <w:tcW w:w="43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399" w:type="dxa"/>
            <w:tcBorders/>
            <w:vAlign w:val="center"/>
          </w:tcPr>
          <w:p>
            <w:pPr>
              <w:pStyle w:val="TableContents"/>
              <w:bidi w:val="0"/>
              <w:spacing w:before="0" w:after="283"/>
              <w:jc w:val="left"/>
              <w:rPr>
                <w:sz w:val="4"/>
                <w:szCs w:val="4"/>
              </w:rPr>
            </w:pPr>
            <w:r>
              <w:rPr>
                <w:sz w:val="4"/>
                <w:szCs w:val="4"/>
              </w:rPr>
            </w:r>
          </w:p>
        </w:tc>
      </w:tr>
      <w:tr>
        <w:trPr/>
        <w:tc>
          <w:tcPr>
            <w:tcW w:w="437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225" w:type="dxa"/>
            <w:gridSpan w:val="3"/>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COMPUTERSHARE TRUST COMPANY</w:t>
              <w:br/>
              <w:t>OF CANADA,</w:t>
            </w:r>
          </w:p>
          <w:p>
            <w:pPr>
              <w:pStyle w:val="TableContents"/>
              <w:bidi w:val="0"/>
              <w:spacing w:before="0" w:after="0"/>
              <w:jc w:val="left"/>
              <w:rPr/>
            </w:pPr>
            <w:r>
              <w:rPr/>
              <w:t> </w:t>
            </w:r>
          </w:p>
          <w:p>
            <w:pPr>
              <w:pStyle w:val="TableContents"/>
              <w:bidi w:val="0"/>
              <w:spacing w:before="0" w:after="20"/>
              <w:jc w:val="left"/>
              <w:rPr>
                <w:rFonts w:ascii="Times New Roman" w:hAnsi="Times New Roman"/>
                <w:sz w:val="24"/>
              </w:rPr>
            </w:pPr>
            <w:r>
              <w:rPr>
                <w:rFonts w:ascii="Times New Roman" w:hAnsi="Times New Roman"/>
                <w:sz w:val="24"/>
              </w:rPr>
              <w:t>as Trustee</w:t>
            </w:r>
          </w:p>
        </w:tc>
      </w:tr>
      <w:tr>
        <w:trPr>
          <w:trHeight w:val="360" w:hRule="atLeast"/>
        </w:trPr>
        <w:tc>
          <w:tcPr>
            <w:tcW w:w="4372"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826" w:type="dxa"/>
            <w:gridSpan w:val="2"/>
            <w:tcBorders/>
            <w:vAlign w:val="center"/>
          </w:tcPr>
          <w:p>
            <w:pPr>
              <w:pStyle w:val="TableContents"/>
              <w:bidi w:val="0"/>
              <w:spacing w:before="0" w:after="283"/>
              <w:jc w:val="left"/>
              <w:rPr>
                <w:sz w:val="4"/>
                <w:szCs w:val="4"/>
              </w:rPr>
            </w:pPr>
            <w:r>
              <w:rPr>
                <w:sz w:val="4"/>
                <w:szCs w:val="4"/>
              </w:rPr>
            </w:r>
          </w:p>
        </w:tc>
        <w:tc>
          <w:tcPr>
            <w:tcW w:w="4500" w:type="dxa"/>
            <w:gridSpan w:val="2"/>
            <w:tcBorders/>
            <w:vAlign w:val="center"/>
          </w:tcPr>
          <w:p>
            <w:pPr>
              <w:pStyle w:val="TableContents"/>
              <w:bidi w:val="0"/>
              <w:spacing w:before="0" w:after="283"/>
              <w:jc w:val="left"/>
              <w:rPr>
                <w:sz w:val="4"/>
                <w:szCs w:val="4"/>
              </w:rPr>
            </w:pPr>
            <w:r>
              <w:rPr>
                <w:sz w:val="4"/>
                <w:szCs w:val="4"/>
              </w:rPr>
            </w:r>
          </w:p>
        </w:tc>
      </w:tr>
      <w:tr>
        <w:trPr/>
        <w:tc>
          <w:tcPr>
            <w:tcW w:w="4372" w:type="dxa"/>
            <w:tcBorders/>
            <w:vAlign w:val="bottom"/>
          </w:tcPr>
          <w:p>
            <w:pPr>
              <w:pStyle w:val="TableContents"/>
              <w:bidi w:val="0"/>
              <w:spacing w:before="0" w:after="283"/>
              <w:jc w:val="left"/>
              <w:rPr/>
            </w:pPr>
            <w:r>
              <w:rPr/>
              <w:t>Dated: ●, 20●</w:t>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left"/>
              <w:rPr/>
            </w:pPr>
            <w:r>
              <w:rPr/>
              <w:t>By:  </w:t>
            </w:r>
          </w:p>
        </w:tc>
        <w:tc>
          <w:tcPr>
            <w:tcW w:w="101" w:type="dxa"/>
            <w:tcBorders/>
            <w:vAlign w:val="bottom"/>
          </w:tcPr>
          <w:p>
            <w:pPr>
              <w:pStyle w:val="TableContents"/>
              <w:bidi w:val="0"/>
              <w:spacing w:before="0" w:after="283"/>
              <w:jc w:val="left"/>
              <w:rPr/>
            </w:pPr>
            <w:r>
              <w:rPr/>
              <w:t> </w:t>
            </w:r>
          </w:p>
        </w:tc>
        <w:tc>
          <w:tcPr>
            <w:tcW w:w="4399" w:type="dxa"/>
            <w:tcBorders/>
            <w:vAlign w:val="bottom"/>
          </w:tcPr>
          <w:p>
            <w:pPr>
              <w:pStyle w:val="TableContents"/>
              <w:pBdr>
                <w:bottom w:val="single" w:sz="2" w:space="1" w:color="000000"/>
              </w:pBdr>
              <w:bidi w:val="0"/>
              <w:spacing w:before="0" w:after="20"/>
              <w:jc w:val="left"/>
              <w:rPr/>
            </w:pPr>
            <w:r>
              <w:rPr/>
              <w:t> </w:t>
            </w:r>
          </w:p>
        </w:tc>
      </w:tr>
      <w:tr>
        <w:trPr/>
        <w:tc>
          <w:tcPr>
            <w:tcW w:w="4372"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399" w:type="dxa"/>
            <w:tcBorders/>
            <w:vAlign w:val="bottom"/>
          </w:tcPr>
          <w:p>
            <w:pPr>
              <w:pStyle w:val="TableContents"/>
              <w:bidi w:val="0"/>
              <w:spacing w:before="0" w:after="283"/>
              <w:jc w:val="left"/>
              <w:rPr/>
            </w:pPr>
            <w:r>
              <w:rPr/>
              <w:t> </w:t>
            </w:r>
            <w:r>
              <w:rPr/>
              <w:t>Authorized Officer</w:t>
            </w:r>
          </w:p>
        </w:tc>
      </w:tr>
    </w:tbl>
    <w:p>
      <w:pPr>
        <w:pStyle w:val="TextBody"/>
        <w:bidi w:val="0"/>
        <w:spacing w:before="40" w:after="0"/>
        <w:jc w:val="both"/>
        <w:rPr>
          <w:rFonts w:ascii="Times New Roman" w:hAnsi="Times New Roman"/>
          <w:sz w:val="24"/>
        </w:rPr>
      </w:pPr>
      <w:r>
        <w:rPr>
          <w:rFonts w:ascii="Times New Roman" w:hAnsi="Times New Roman"/>
          <w:sz w:val="24"/>
        </w:rPr>
        <w:t xml:space="preserve">THIS CERTIFICATE OF THE TRUSTEE SIGNED ON THE SECURITIES WILL NOT BE CONSTRUED AS A REPRESENTATION OR WARRANTY BY THE TRUSTEE AS TO THE VALIDITY OF THE INDENTURE OR OF THE SECURITIES OR OF THEIR ISSUANCE AND THE TRUSTEE WILL IN NO RESPECT BE LIABLE OR ANSWERABLE FOR THE USE MADE OF SUCH SECURITIES OR ANY OF THEM OR THE PROCEEDS THEREOF. THIS CERTIFICATE OF THE TRUSTEE SIGNED ON THE SECURITIES WILL, HOWEVER, BE A REPRESENTATION AND WARRANTY BY THE TRUSTEE THAT THE SECURITIES HAVE BEEN DULY AUTHENTICATED BY OR ON BEHALF OF THE TRUSTEE PURSUANT TO THE PROVISIONS OF THE INDENTURE.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- 25 - </w:t>
      </w:r>
    </w:p>
    <w:p>
      <w:pPr>
        <w:pStyle w:val="TextBody"/>
        <w:bidi w:val="0"/>
        <w:spacing w:before="0" w:after="0"/>
        <w:jc w:val="left"/>
        <w:rPr/>
      </w:pPr>
      <w:r>
        <w:rPr/>
        <w:t> </w:t>
      </w:r>
    </w:p>
    <w:p>
      <w:pPr>
        <w:pStyle w:val="TextBody"/>
        <w:bidi w:val="0"/>
        <w:spacing w:before="0" w:after="0"/>
        <w:jc w:val="center"/>
        <w:rPr>
          <w:rFonts w:ascii="Times New Roman" w:hAnsi="Times New Roman"/>
          <w:b/>
          <w:sz w:val="24"/>
        </w:rPr>
      </w:pPr>
      <w:r>
        <w:rPr>
          <w:rFonts w:ascii="Times New Roman" w:hAnsi="Times New Roman"/>
          <w:b/>
          <w:sz w:val="24"/>
        </w:rPr>
        <w:t xml:space="preserve">Reverse of Security </w:t>
      </w:r>
    </w:p>
    <w:p>
      <w:pPr>
        <w:pStyle w:val="TextBody"/>
        <w:bidi w:val="0"/>
        <w:spacing w:before="240" w:after="0"/>
        <w:jc w:val="both"/>
        <w:rPr>
          <w:rFonts w:ascii="Times New Roman" w:hAnsi="Times New Roman"/>
          <w:sz w:val="24"/>
        </w:rPr>
      </w:pPr>
      <w:r>
        <w:rPr>
          <w:rFonts w:ascii="Times New Roman" w:hAnsi="Times New Roman"/>
          <w:sz w:val="24"/>
        </w:rPr>
        <w:t xml:space="preserve">This Security is one of a duly authorized issue of securities of the Corporation designated as its 4.130% Notes due 2029 (herein called the “Securities”) issued under an Indenture dated as of September 17, 2026 (herein called the “Base Indenture”) among the Corporation, West Publishing Corporation (“West Publishing”), Thomson Reuters Applications Inc. (“Thomson Reuters Applications”) and Thomson Reuters (Tax &amp; Accounting) Inc. (“Thomson Reuters (Tax &amp; Accounting)” and together, with West Publishing and Thomson Reuters Applications, the “Subsidiary Guarantors”), Computershare Trust Company of Canada, as Canadian trustee (herein called the “Trustee”, which term includes any successor trustee under the Indenture) and Deutsche Bank Trust Company Americas, as U.S. trustee (herein called the “U.S. Trustee”) and a Second Supplemental Indenture between the Corporation, the Subsidiary Guarantors, the Trustee and the U.S. Trustee as of September 17, 2026 (the “Second Supplemental Indenture,” and collectively referred to herein as, the “Indenture”), to which Indenture and all indentures supplemental thereto reference is hereby made for a statement of the respective rights, limitations of rights, duties, obligations and immunities thereunder of the Corporation, the Trustee and the Holders, and of the terms upon which the Securities are, and are to be, authenticated and delivered. This Security is a global Security representing C$● aggregate principal amount of the Securities. </w:t>
      </w:r>
    </w:p>
    <w:p>
      <w:pPr>
        <w:pStyle w:val="TextBody"/>
        <w:bidi w:val="0"/>
        <w:spacing w:before="240" w:after="0"/>
        <w:jc w:val="both"/>
        <w:rPr>
          <w:rFonts w:ascii="Times New Roman" w:hAnsi="Times New Roman"/>
          <w:sz w:val="24"/>
        </w:rPr>
      </w:pPr>
      <w:r>
        <w:rPr>
          <w:rFonts w:ascii="Times New Roman" w:hAnsi="Times New Roman"/>
          <w:sz w:val="24"/>
        </w:rPr>
        <w:t xml:space="preserve">The Securities will be direct, unsecured obligations of the Corporation and will initially be guaranteed by the Subsidiary Guarantors. The Securities will rank equally with all other unsecured and unsubordinated indebtedness of the Corporation. </w:t>
      </w:r>
    </w:p>
    <w:p>
      <w:pPr>
        <w:pStyle w:val="TextBody"/>
        <w:bidi w:val="0"/>
        <w:spacing w:before="240" w:after="0"/>
        <w:jc w:val="both"/>
        <w:rPr>
          <w:rFonts w:ascii="Times New Roman" w:hAnsi="Times New Roman"/>
          <w:sz w:val="24"/>
        </w:rPr>
      </w:pPr>
      <w:r>
        <w:rPr>
          <w:rFonts w:ascii="Times New Roman" w:hAnsi="Times New Roman"/>
          <w:sz w:val="24"/>
        </w:rPr>
        <w:t xml:space="preserve">Payment of the principal of (and premium, if any, on) and interest on this Security will be made at the office or agency of the Corporation maintained or caused to be maintained for that purpose in Toronto, Ontario or at such other office or agency of the Corporation as may be maintained or caused to be maintained for such purpose, in such coin or currency of Canada as at the time of payment is legal tender for payment of public and private debts; provided, however, that payment of the principal (and premium, if any) and interest may be made at the option of the Corporation (i) by cheque mailed to the address of the Person entitled thereto as such address shall appear on the Security Register or (ii) by wire transfer to an account maintained by the payee located in the United States or Canada; provided, that principal paid in relation to any Security, redeemed at the option of the Corporation or upon Maturity, shall be paid to the Holder of such Security only upon presentation and surrender of such Security to such office or agency referred to above. </w:t>
      </w:r>
    </w:p>
    <w:p>
      <w:pPr>
        <w:pStyle w:val="TextBody"/>
        <w:bidi w:val="0"/>
        <w:spacing w:before="240" w:after="0"/>
        <w:jc w:val="both"/>
        <w:rPr>
          <w:rFonts w:ascii="Times New Roman" w:hAnsi="Times New Roman"/>
          <w:sz w:val="24"/>
        </w:rPr>
      </w:pPr>
      <w:r>
        <w:rPr>
          <w:rFonts w:ascii="Times New Roman" w:hAnsi="Times New Roman"/>
          <w:sz w:val="24"/>
        </w:rPr>
        <w:t xml:space="preserve">This Security is not subject to any sinking fund. </w:t>
      </w:r>
    </w:p>
    <w:p>
      <w:pPr>
        <w:pStyle w:val="TextBody"/>
        <w:bidi w:val="0"/>
        <w:spacing w:before="240" w:after="0"/>
        <w:jc w:val="both"/>
        <w:rPr>
          <w:rFonts w:ascii="Times New Roman" w:hAnsi="Times New Roman"/>
          <w:sz w:val="24"/>
        </w:rPr>
      </w:pPr>
      <w:r>
        <w:rPr>
          <w:rFonts w:ascii="Times New Roman" w:hAnsi="Times New Roman"/>
          <w:sz w:val="24"/>
        </w:rPr>
        <w:t xml:space="preserve">Where any Non-Canadian Person (i) assumes the Corporation’s obligations hereunder as a result of an amalgamation, consolidation, merger, conveyance, transfer or lease effected in compliance with Article Eight of the Indenture or (ii) becomes a Co-Obligor under the Securities in accordance with Section 2.03(j) of the Second Supplemental Indenture, (A) such Non-Canadian Person will pay to the Holders such additional amounts as may be payable under the Second Supplemental Indenture and (B) the Securities will be redeemable, at such Non-Canadian Person’s option, in whole and not in part, at any time, on the other terms and conditions as set forth in the Second Supplemental Indenture.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- 26 -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The Securities are subject to redemption upon not less than 10 days’ and not more than 60 days’ notice, at any time, as a whole or in part, at the election of the Corporation, at a Redemption Price which is equal to the greater of (i) the 2029 Canada Yield Price and (ii) 100% of the principal amount of the 2029 Notes, in each case together with accrued and unpaid interest to the Redemption Date, all as provided in the Indenture. Such accrued interest and the Redemption Price will be calculated on the basis of a 365-day year. Unless the Corporation defaults in the payment of the Redemption Price, on or after the Redemption Date, interest will cease to accrue on the Securities or the portions thereof called for redemption. </w:t>
      </w:r>
    </w:p>
    <w:p>
      <w:pPr>
        <w:pStyle w:val="TextBody"/>
        <w:bidi w:val="0"/>
        <w:spacing w:before="240" w:after="0"/>
        <w:jc w:val="both"/>
        <w:rPr/>
      </w:pPr>
      <w:r>
        <w:rPr/>
        <w:t>“</w:t>
      </w:r>
      <w:r>
        <w:rPr>
          <w:rFonts w:ascii="Times New Roman" w:hAnsi="Times New Roman"/>
          <w:b/>
          <w:sz w:val="24"/>
        </w:rPr>
        <w:t>2029</w:t>
      </w:r>
      <w:r>
        <w:rPr>
          <w:rFonts w:ascii="Times New Roman" w:hAnsi="Times New Roman"/>
          <w:sz w:val="24"/>
        </w:rPr>
        <w:t xml:space="preserve"> </w:t>
      </w:r>
      <w:r>
        <w:rPr>
          <w:rFonts w:ascii="Times New Roman" w:hAnsi="Times New Roman"/>
          <w:b/>
          <w:sz w:val="24"/>
        </w:rPr>
        <w:t>Canada Yield Price</w:t>
      </w:r>
      <w:r>
        <w:rPr>
          <w:rFonts w:ascii="Times New Roman" w:hAnsi="Times New Roman"/>
          <w:sz w:val="24"/>
        </w:rPr>
        <w:t xml:space="preserve">” means a price equal to the price of a 2029 Note, exclusive of accrued and unpaid interest, calculated to provide a yield to the 2029 Maturity Date, compounded semi-annually and calculated in accordance with generally accepted financial practice, equal to the Government of Canada Yield calculated on the date on which the Company gives notice of redemption pursuant to the Indenture, plus 0.16%. </w:t>
      </w:r>
    </w:p>
    <w:p>
      <w:pPr>
        <w:pStyle w:val="TextBody"/>
        <w:bidi w:val="0"/>
        <w:spacing w:before="240" w:after="0"/>
        <w:jc w:val="both"/>
        <w:rPr/>
      </w:pPr>
      <w:r>
        <w:rPr/>
        <w:t>“</w:t>
      </w:r>
      <w:r>
        <w:rPr>
          <w:rFonts w:ascii="Times New Roman" w:hAnsi="Times New Roman"/>
          <w:b/>
          <w:sz w:val="24"/>
        </w:rPr>
        <w:t>Government of Canada Yield</w:t>
      </w:r>
      <w:r>
        <w:rPr>
          <w:rFonts w:ascii="Times New Roman" w:hAnsi="Times New Roman"/>
          <w:sz w:val="24"/>
        </w:rPr>
        <w:t xml:space="preserve">” as at any date, means the arithmetic average of the respective percentages determined by two major Canadian investment dealers selected by the Company to be the yield to maturity, which, assuming semi-annual compounding, would be carried by a non-callable Government of Canada bond, having a term to maturity equal to the remaining term to the maturity, and issued in Canadian dollars in Canada at 100% of its principal amount. </w:t>
      </w:r>
    </w:p>
    <w:p>
      <w:pPr>
        <w:pStyle w:val="TextBody"/>
        <w:bidi w:val="0"/>
        <w:spacing w:before="240" w:after="0"/>
        <w:jc w:val="both"/>
        <w:rPr>
          <w:rFonts w:ascii="Times New Roman" w:hAnsi="Times New Roman"/>
          <w:sz w:val="24"/>
        </w:rPr>
      </w:pPr>
      <w:r>
        <w:rPr>
          <w:rFonts w:ascii="Times New Roman" w:hAnsi="Times New Roman"/>
          <w:sz w:val="24"/>
        </w:rPr>
        <w:t xml:space="preserve">In the case of any redemption of Securities, interest installments whose Stated Maturity is on or prior to the Redemption Date will be payable to the Holders of such Securities of record at the close of business on the relevant record date referred to on the face hereof. Securities (or portions thereof) for whose redemption provision is made in accordance with the Indenture shall cease to bear interest from and after the Redemption Date. </w:t>
      </w:r>
    </w:p>
    <w:p>
      <w:pPr>
        <w:pStyle w:val="TextBody"/>
        <w:bidi w:val="0"/>
        <w:spacing w:before="240" w:after="0"/>
        <w:jc w:val="both"/>
        <w:rPr>
          <w:rFonts w:ascii="Times New Roman" w:hAnsi="Times New Roman"/>
          <w:sz w:val="24"/>
        </w:rPr>
      </w:pPr>
      <w:r>
        <w:rPr>
          <w:rFonts w:ascii="Times New Roman" w:hAnsi="Times New Roman"/>
          <w:sz w:val="24"/>
        </w:rPr>
        <w:t xml:space="preserve">In the event of redemption of this Security in part only, a new Security or Securities for the unredeemed portion hereof shall be issued in the name of the Holder hereof upon the cancellation hereof. </w:t>
      </w:r>
    </w:p>
    <w:p>
      <w:pPr>
        <w:pStyle w:val="TextBody"/>
        <w:bidi w:val="0"/>
        <w:spacing w:before="240" w:after="0"/>
        <w:jc w:val="both"/>
        <w:rPr>
          <w:rFonts w:ascii="Times New Roman" w:hAnsi="Times New Roman"/>
          <w:sz w:val="24"/>
        </w:rPr>
      </w:pPr>
      <w:r>
        <w:rPr>
          <w:rFonts w:ascii="Times New Roman" w:hAnsi="Times New Roman"/>
          <w:sz w:val="24"/>
        </w:rPr>
        <w:t xml:space="preserve">The Securities will be subject to certain restrictive covenants as provided in the Second Supplemental Indenture. If a Change of Control Triggering Event (as defined in the Second Supplemental Indenture) occurs, unless the Corporation has exercised its right to redeem the Securities, the Corporation will be required to make an offer to repurchase the Securities on the terms and subject to the conditions set forth in Section 2.03(l) of the Second Supplemental Indenture except that the Corporation will not be required to make such an offer if a third party makes such an offer in the manner, at the times and otherwise in compliance with the requirements for an offer made by the Corporation, and such third party purchases all Securities properly tendered and not withdrawn under its offer. </w:t>
      </w:r>
    </w:p>
    <w:p>
      <w:pPr>
        <w:pStyle w:val="TextBody"/>
        <w:bidi w:val="0"/>
        <w:spacing w:before="240" w:after="0"/>
        <w:jc w:val="both"/>
        <w:rPr>
          <w:rFonts w:ascii="Times New Roman" w:hAnsi="Times New Roman"/>
          <w:sz w:val="24"/>
        </w:rPr>
      </w:pPr>
      <w:r>
        <w:rPr>
          <w:rFonts w:ascii="Times New Roman" w:hAnsi="Times New Roman"/>
          <w:sz w:val="24"/>
        </w:rPr>
        <w:t xml:space="preserve">If an Event of Default (including any additional Events of Default as set forth in the Second Supplemental Indenture) shall occur and be continuing, the principal of the Securities may be declared due and payable in the manner and with the effect provided in the Indenture. </w:t>
      </w:r>
    </w:p>
    <w:p>
      <w:pPr>
        <w:pStyle w:val="TextBody"/>
        <w:bidi w:val="0"/>
        <w:spacing w:before="240" w:after="0"/>
        <w:jc w:val="both"/>
        <w:rPr>
          <w:rFonts w:ascii="Times New Roman" w:hAnsi="Times New Roman"/>
          <w:sz w:val="24"/>
        </w:rPr>
      </w:pPr>
      <w:r>
        <w:rPr>
          <w:rFonts w:ascii="Times New Roman" w:hAnsi="Times New Roman"/>
          <w:sz w:val="24"/>
        </w:rPr>
        <w:t xml:space="preserve">The Indenture contains provisions for defeasance at any time of (a) the entire indebtedness of the Corporation on this Security and (b) certain restrictive covenants and the related Defaults and Events of Default, in each case upon compliance by the Corporation with certain conditions set forth therein, which provisions apply to this Security.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- 27 -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The Corporation has the right at any time, without notice to or consent of the Holders, to designate one of its Wholly-Owned Subsidiaries (as defined in the Second Supplemental Indenture) to assume, as co-obligor (a “Co-Obligor”) on a joint and several basis with the Corporation, all obligations of the Corporation under the Indenture (insofar as it applies to the Securities) and the Securities, provided that the conditions set out in the Indenture are satisfied. The obligations of the Co-Obligor under the Securities shall rank equally with all of the Co-Obligor’s other unsecured and unsubordinated obligations. </w:t>
      </w:r>
    </w:p>
    <w:p>
      <w:pPr>
        <w:pStyle w:val="TextBody"/>
        <w:bidi w:val="0"/>
        <w:spacing w:before="240" w:after="0"/>
        <w:jc w:val="both"/>
        <w:rPr>
          <w:rFonts w:ascii="Times New Roman" w:hAnsi="Times New Roman"/>
          <w:sz w:val="24"/>
        </w:rPr>
      </w:pPr>
      <w:r>
        <w:rPr>
          <w:rFonts w:ascii="Times New Roman" w:hAnsi="Times New Roman"/>
          <w:sz w:val="24"/>
        </w:rPr>
        <w:t xml:space="preserve">The Indenture permits, with certain exceptions as therein provided, the amendment thereof and the modification of the rights and obligations of the Corporation and the rights of the Holders of the Securities of such series affected thereby under the Indenture at any time by the Corporation and the Trustee with the consent of the Holders of not less than a majority in aggregate principal amount of all affected Securities at the time Outstanding. The Indenture also contains provisions permitting the Holders of specified percentages in aggregate principal amount of the Securities at the time Outstanding, on behalf of the Holders of all the Securities affected thereby, to waive compliance by the Corporation with certain provisions of the Indenture and certain past defaults under the Indenture and their consequences. Any such consent or waiver by or on behalf of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both"/>
        <w:rPr>
          <w:rFonts w:ascii="Times New Roman" w:hAnsi="Times New Roman"/>
          <w:sz w:val="24"/>
        </w:rPr>
      </w:pPr>
      <w:r>
        <w:rPr>
          <w:rFonts w:ascii="Times New Roman" w:hAnsi="Times New Roman"/>
          <w:sz w:val="24"/>
        </w:rPr>
        <w:t xml:space="preserve">The Corporation may from time to time, without notice to or the consent of the Holders, create and issue further Securities ranking </w:t>
      </w:r>
      <w:r>
        <w:rPr>
          <w:rFonts w:ascii="Times New Roman" w:hAnsi="Times New Roman"/>
          <w:i/>
          <w:sz w:val="24"/>
        </w:rPr>
        <w:t>pari passu</w:t>
      </w:r>
      <w:r>
        <w:rPr>
          <w:rFonts w:ascii="Times New Roman" w:hAnsi="Times New Roman"/>
          <w:sz w:val="24"/>
        </w:rPr>
        <w:t xml:space="preserve"> with the Securities in all respects (or in all respects except for the payment of interest accruing prior to the issue date of the Securities or except for the first payment of interest following the issue date of the Securities) and so that such further Securities may be consolidated and form a single series with the Securities and have the same terms as to status, redemption or otherwise as the Securities. </w:t>
      </w:r>
    </w:p>
    <w:p>
      <w:pPr>
        <w:pStyle w:val="TextBody"/>
        <w:bidi w:val="0"/>
        <w:spacing w:before="240" w:after="0"/>
        <w:jc w:val="both"/>
        <w:rPr>
          <w:rFonts w:ascii="Times New Roman" w:hAnsi="Times New Roman"/>
          <w:sz w:val="24"/>
        </w:rPr>
      </w:pPr>
      <w:r>
        <w:rPr>
          <w:rFonts w:ascii="Times New Roman" w:hAnsi="Times New Roman"/>
          <w:sz w:val="24"/>
        </w:rPr>
        <w:t xml:space="preserve">No reference herein to the Indenture and no provision of this Security or of the Indenture shall alter or impair the obligation of the Corporation, which is absolute and unconditional, to pay the principal of (and premium, if any, on) and interest on this Security at the times, place, and rate, and in the coin or currency, herein prescribed. </w:t>
      </w:r>
    </w:p>
    <w:p>
      <w:pPr>
        <w:pStyle w:val="TextBody"/>
        <w:bidi w:val="0"/>
        <w:spacing w:before="240" w:after="0"/>
        <w:jc w:val="both"/>
        <w:rPr>
          <w:rFonts w:ascii="Times New Roman" w:hAnsi="Times New Roman"/>
          <w:sz w:val="24"/>
        </w:rPr>
      </w:pPr>
      <w:r>
        <w:rPr>
          <w:rFonts w:ascii="Times New Roman" w:hAnsi="Times New Roman"/>
          <w:sz w:val="24"/>
        </w:rPr>
        <w:t xml:space="preserve">As provided in the Indenture and subject to certain limitations therein set forth, the transfer of this Security is registerable on the Security Register of the Corporation, upon surrender of this Security for registration of transfer at the office or agency of the Corporation maintained or caused to be maintained for such purpose in the Province of Ontario or at a central register maintained by the Trustee at the Corporate Trust Office in Toronto, Ontario, duly endorsed by, or accompanied by a written instrument of transfer in form satisfactory to the Corporation and the Security Registrar duly executed by, the Holder hereof or his attorney duly authorized in writing, and thereupon one or more new Securities, of authorized denominations and for the same aggregate principal amount, will be issued to the designated transferee or transferees. </w:t>
      </w:r>
    </w:p>
    <w:p>
      <w:pPr>
        <w:pStyle w:val="TextBody"/>
        <w:bidi w:val="0"/>
        <w:spacing w:before="240" w:after="0"/>
        <w:jc w:val="both"/>
        <w:rPr>
          <w:rFonts w:ascii="Times New Roman" w:hAnsi="Times New Roman"/>
          <w:sz w:val="24"/>
        </w:rPr>
      </w:pPr>
      <w:r>
        <w:rPr>
          <w:rFonts w:ascii="Times New Roman" w:hAnsi="Times New Roman"/>
          <w:sz w:val="24"/>
        </w:rPr>
        <w:t xml:space="preserve">The Securities are issuable only in registered form without coupons in initial denominations of C$2,000 and subsequent multiples of C$1,000 in excess thereof. As provided in the Indenture and subject to certain limitations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- 28 -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therein set forth, the Securities are exchangeable for a like aggregate principal amount of Securities of a different authorized denomination, as requested by the Holder surrendering the same. </w:t>
      </w:r>
    </w:p>
    <w:p>
      <w:pPr>
        <w:pStyle w:val="TextBody"/>
        <w:bidi w:val="0"/>
        <w:spacing w:before="240" w:after="0"/>
        <w:jc w:val="both"/>
        <w:rPr>
          <w:rFonts w:ascii="Times New Roman" w:hAnsi="Times New Roman"/>
          <w:sz w:val="24"/>
        </w:rPr>
      </w:pPr>
      <w:r>
        <w:rPr>
          <w:rFonts w:ascii="Times New Roman" w:hAnsi="Times New Roman"/>
          <w:sz w:val="24"/>
        </w:rPr>
        <w:t xml:space="preserve">No service charge shall be made for any registration of transfer or exchange of Securities, but the Corporation may require payment of a sum sufficient to cover any tax or other governmental charge imposed in connection therewith, other than certain exchanges as specified in the Indenture. </w:t>
      </w:r>
    </w:p>
    <w:p>
      <w:pPr>
        <w:pStyle w:val="TextBody"/>
        <w:bidi w:val="0"/>
        <w:spacing w:before="240" w:after="0"/>
        <w:jc w:val="both"/>
        <w:rPr>
          <w:rFonts w:ascii="Times New Roman" w:hAnsi="Times New Roman"/>
          <w:sz w:val="24"/>
        </w:rPr>
      </w:pPr>
      <w:r>
        <w:rPr>
          <w:rFonts w:ascii="Times New Roman" w:hAnsi="Times New Roman"/>
          <w:sz w:val="24"/>
        </w:rPr>
        <w:t xml:space="preserve">Prior to the time of due presentment of this Security for registration of transfer, the Corporation, the Trustee and any agent of the Corporation or the Trustee may treat the Person in whose name this Security is registered as the owner hereof for all purposes, whether or not this Security be overdue, and none of the Corporation, the Trustee or any agent shall be affected by notice to the contrary. </w:t>
      </w:r>
    </w:p>
    <w:p>
      <w:pPr>
        <w:pStyle w:val="TextBody"/>
        <w:bidi w:val="0"/>
        <w:spacing w:before="240" w:after="0"/>
        <w:jc w:val="both"/>
        <w:rPr>
          <w:rFonts w:ascii="Times New Roman" w:hAnsi="Times New Roman"/>
          <w:sz w:val="24"/>
        </w:rPr>
      </w:pPr>
      <w:r>
        <w:rPr>
          <w:rFonts w:ascii="Times New Roman" w:hAnsi="Times New Roman"/>
          <w:sz w:val="24"/>
        </w:rPr>
        <w:t xml:space="preserve">Any money that the Corporation deposits with the Trustee or any Paying Agent or held by the Corporation in trust for the payment of principal of (or premium, if any) or any interest on the Securities that remains unclaimed for two years after the date upon which the principal, premium, if any, or interest are due and payable, will be repaid to the Corporation upon the Corporation’s request subject to the mandatory provisions of any applicable unclaimed property law. After that time, unless otherwise required by mandatory provisions of any unclaimed property law, the Holder will be able to seek any payment to which that Holder may be entitled to collect only from the Corporation. </w:t>
      </w:r>
    </w:p>
    <w:p>
      <w:pPr>
        <w:pStyle w:val="TextBody"/>
        <w:bidi w:val="0"/>
        <w:spacing w:before="240" w:after="0"/>
        <w:jc w:val="both"/>
        <w:rPr>
          <w:rFonts w:ascii="Times New Roman" w:hAnsi="Times New Roman"/>
          <w:sz w:val="24"/>
        </w:rPr>
      </w:pPr>
      <w:r>
        <w:rPr>
          <w:rFonts w:ascii="Times New Roman" w:hAnsi="Times New Roman"/>
          <w:sz w:val="24"/>
        </w:rPr>
        <w:t xml:space="preserve">The Corporation’s obligation to pay the principal of (or premium, if any) and interest on the Securities will cease if the Securities are not presented for payment within a period of ten years and a claim for interest is not made within five years from the date on which such principal, premium, if any, or interest, as the case may be, becomes due and payable. </w:t>
      </w:r>
    </w:p>
    <w:p>
      <w:pPr>
        <w:pStyle w:val="TextBody"/>
        <w:bidi w:val="0"/>
        <w:spacing w:before="240" w:after="0"/>
        <w:jc w:val="both"/>
        <w:rPr>
          <w:rFonts w:ascii="Times New Roman" w:hAnsi="Times New Roman"/>
          <w:sz w:val="24"/>
        </w:rPr>
      </w:pPr>
      <w:r>
        <w:rPr>
          <w:rFonts w:ascii="Times New Roman" w:hAnsi="Times New Roman"/>
          <w:sz w:val="24"/>
        </w:rPr>
        <w:t xml:space="preserve">The Indenture and this Security shall be governed by and construed in accordance with the laws of the State of New York. The exercise, performance or discharge by the Canadian Trustee of any of its rights, powers, duties or responsibilities thereunder shall be construed in accordance with the laws of the Province of Ontario and the federal laws of Canada applicable thereto. </w:t>
      </w:r>
    </w:p>
    <w:p>
      <w:pPr>
        <w:pStyle w:val="TextBody"/>
        <w:bidi w:val="0"/>
        <w:spacing w:before="240" w:after="0"/>
        <w:jc w:val="both"/>
        <w:rPr>
          <w:rFonts w:ascii="Times New Roman" w:hAnsi="Times New Roman"/>
          <w:sz w:val="24"/>
        </w:rPr>
      </w:pPr>
      <w:r>
        <w:rPr>
          <w:rFonts w:ascii="Times New Roman" w:hAnsi="Times New Roman"/>
          <w:sz w:val="24"/>
        </w:rPr>
        <w:t xml:space="preserve">All terms used in this Security which are defined in the Indenture shall have the meanings assigned to them in the Indenture.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- 29 - </w:t>
      </w:r>
    </w:p>
    <w:p>
      <w:pPr>
        <w:pStyle w:val="TextBody"/>
        <w:bidi w:val="0"/>
        <w:spacing w:before="0" w:after="0"/>
        <w:jc w:val="left"/>
        <w:rPr/>
      </w:pPr>
      <w:r>
        <w:rPr/>
        <w:t> </w:t>
      </w:r>
    </w:p>
    <w:p>
      <w:pPr>
        <w:pStyle w:val="TextBody"/>
        <w:bidi w:val="0"/>
        <w:spacing w:before="0" w:after="0"/>
        <w:jc w:val="center"/>
        <w:rPr>
          <w:rFonts w:ascii="Times New Roman" w:hAnsi="Times New Roman"/>
          <w:sz w:val="24"/>
          <w:u w:val="single"/>
        </w:rPr>
      </w:pPr>
      <w:r>
        <w:rPr>
          <w:rFonts w:ascii="Times New Roman" w:hAnsi="Times New Roman"/>
          <w:sz w:val="24"/>
          <w:u w:val="single"/>
        </w:rPr>
        <w:t xml:space="preserve">EXHIBIT II </w:t>
      </w:r>
    </w:p>
    <w:p>
      <w:pPr>
        <w:pStyle w:val="TextBody"/>
        <w:bidi w:val="0"/>
        <w:spacing w:before="240" w:after="0"/>
        <w:jc w:val="center"/>
        <w:rPr>
          <w:rFonts w:ascii="Times New Roman" w:hAnsi="Times New Roman"/>
          <w:sz w:val="24"/>
        </w:rPr>
      </w:pPr>
      <w:r>
        <w:rPr>
          <w:rFonts w:ascii="Times New Roman" w:hAnsi="Times New Roman"/>
          <w:sz w:val="24"/>
        </w:rPr>
        <w:t xml:space="preserve">(Form of 2031 Global Notes) </w:t>
      </w:r>
    </w:p>
    <w:p>
      <w:pPr>
        <w:pStyle w:val="TextBody"/>
        <w:bidi w:val="0"/>
        <w:spacing w:before="240" w:after="0"/>
        <w:jc w:val="both"/>
        <w:rPr>
          <w:rFonts w:ascii="Times New Roman" w:hAnsi="Times New Roman"/>
          <w:b/>
          <w:sz w:val="24"/>
        </w:rPr>
      </w:pPr>
      <w:r>
        <w:rPr>
          <w:rFonts w:ascii="Times New Roman" w:hAnsi="Times New Roman"/>
          <w:b/>
          <w:sz w:val="24"/>
        </w:rPr>
        <w:t xml:space="preserve">Unless this certificate is presented by an authorized representative of CDS Clearing and Depository Services Inc. (“CDS”) to Thomson Reuters Corporation (the “Issuer”) or its agent for registration of transfer, exchange or payment, and any certificate issued in respect thereof is registered in the name of CDS &amp; CO., or in such other name as is requested by an authorized representative of CDS (and any payment is made to CDS &amp; CO. or to such other entity as is requested by an authorized representative of CDS), ANY TRANSFER, PLEDGE OR OTHER USE HEREOF FOR VALUE OR OTHERWISE BY OR TO ANY PERSON IS WRONGFUL since the registered holder hereof, CDS &amp; CO., has a property interest in the securities represented by this certificate herein and it is a violation of its rights for another person to hold, transfer or deal with this certificate. </w:t>
      </w:r>
    </w:p>
    <w:p>
      <w:pPr>
        <w:pStyle w:val="TextBody"/>
        <w:bidi w:val="0"/>
        <w:spacing w:before="240" w:after="0"/>
        <w:jc w:val="both"/>
        <w:rPr>
          <w:rFonts w:ascii="Times New Roman" w:hAnsi="Times New Roman"/>
          <w:sz w:val="24"/>
        </w:rPr>
      </w:pPr>
      <w:r>
        <w:rPr>
          <w:rFonts w:ascii="Times New Roman" w:hAnsi="Times New Roman"/>
          <w:sz w:val="24"/>
        </w:rPr>
        <w:t xml:space="preserve">UNLESS PERMITTED UNDER CANADIAN SECURITIES LEGISLATION, THE HOLDER OF THIS SECURITY MUST NOT TRADE THE SECURITY BEFORE JANUARY 18, 2027. </w:t>
      </w:r>
    </w:p>
    <w:p>
      <w:pPr>
        <w:pStyle w:val="TextBody"/>
        <w:bidi w:val="0"/>
        <w:spacing w:before="240" w:after="0"/>
        <w:jc w:val="center"/>
        <w:rPr>
          <w:rFonts w:ascii="Times New Roman" w:hAnsi="Times New Roman"/>
          <w:b/>
          <w:sz w:val="24"/>
        </w:rPr>
      </w:pPr>
      <w:r>
        <w:rPr>
          <w:rFonts w:ascii="Times New Roman" w:hAnsi="Times New Roman"/>
          <w:b/>
          <w:sz w:val="24"/>
        </w:rPr>
        <w:t xml:space="preserve">THOMSON REUTERS CORPORATION </w:t>
      </w:r>
    </w:p>
    <w:p>
      <w:pPr>
        <w:pStyle w:val="TextBody"/>
        <w:bidi w:val="0"/>
        <w:spacing w:before="240" w:after="0"/>
        <w:jc w:val="center"/>
        <w:rPr>
          <w:rFonts w:ascii="Times New Roman" w:hAnsi="Times New Roman"/>
          <w:sz w:val="24"/>
        </w:rPr>
      </w:pPr>
      <w:r>
        <w:rPr>
          <w:rFonts w:ascii="Times New Roman" w:hAnsi="Times New Roman"/>
          <w:sz w:val="24"/>
        </w:rPr>
        <w:t xml:space="preserve">4.480% Notes due 2031 </w:t>
      </w:r>
    </w:p>
    <w:p>
      <w:pPr>
        <w:pStyle w:val="TextBody"/>
        <w:bidi w:val="0"/>
        <w:spacing w:before="240" w:after="0"/>
        <w:jc w:val="left"/>
        <w:rPr>
          <w:rFonts w:ascii="Times New Roman" w:hAnsi="Times New Roman"/>
          <w:sz w:val="24"/>
        </w:rPr>
      </w:pPr>
      <w:r>
        <w:rPr>
          <w:rFonts w:ascii="Times New Roman" w:hAnsi="Times New Roman"/>
          <w:sz w:val="24"/>
        </w:rPr>
        <w:t xml:space="preserve">No. B-1 </w:t>
      </w:r>
    </w:p>
    <w:p>
      <w:pPr>
        <w:pStyle w:val="TextBody"/>
        <w:bidi w:val="0"/>
        <w:spacing w:before="240" w:after="0"/>
        <w:jc w:val="right"/>
        <w:rPr>
          <w:rFonts w:ascii="Times New Roman" w:hAnsi="Times New Roman"/>
          <w:sz w:val="24"/>
        </w:rPr>
      </w:pPr>
      <w:r>
        <w:rPr>
          <w:rFonts w:ascii="Times New Roman" w:hAnsi="Times New Roman"/>
          <w:sz w:val="24"/>
        </w:rPr>
        <w:t xml:space="preserve">C$● </w:t>
      </w:r>
    </w:p>
    <w:p>
      <w:pPr>
        <w:pStyle w:val="TextBody"/>
        <w:bidi w:val="0"/>
        <w:spacing w:before="0" w:after="0"/>
        <w:jc w:val="right"/>
        <w:rPr>
          <w:rFonts w:ascii="Times New Roman" w:hAnsi="Times New Roman"/>
          <w:sz w:val="24"/>
        </w:rPr>
      </w:pPr>
      <w:r>
        <w:rPr>
          <w:rFonts w:ascii="Times New Roman" w:hAnsi="Times New Roman"/>
          <w:sz w:val="24"/>
        </w:rPr>
        <w:t xml:space="preserve">CUSIP:884903BZ7 </w:t>
      </w:r>
    </w:p>
    <w:p>
      <w:pPr>
        <w:pStyle w:val="TextBody"/>
        <w:bidi w:val="0"/>
        <w:spacing w:before="0" w:after="0"/>
        <w:jc w:val="right"/>
        <w:rPr>
          <w:rFonts w:ascii="Times New Roman" w:hAnsi="Times New Roman"/>
          <w:sz w:val="24"/>
        </w:rPr>
      </w:pPr>
      <w:r>
        <w:rPr>
          <w:rFonts w:ascii="Times New Roman" w:hAnsi="Times New Roman"/>
          <w:sz w:val="24"/>
        </w:rPr>
        <w:t xml:space="preserve">ISIN: CA884903BZ70 </w:t>
      </w:r>
    </w:p>
    <w:p>
      <w:pPr>
        <w:pStyle w:val="TextBody"/>
        <w:bidi w:val="0"/>
        <w:spacing w:before="240" w:after="0"/>
        <w:jc w:val="both"/>
        <w:rPr>
          <w:rFonts w:ascii="Times New Roman" w:hAnsi="Times New Roman"/>
          <w:sz w:val="24"/>
        </w:rPr>
      </w:pPr>
      <w:r>
        <w:rPr>
          <w:rFonts w:ascii="Times New Roman" w:hAnsi="Times New Roman"/>
          <w:sz w:val="24"/>
        </w:rPr>
        <w:t xml:space="preserve">THOMSON REUTERS CORPORATION, a corporation duly organized and existing under the laws of the Province of Ontario (herein called the “Corporation”, which term includes any successor Person under the Indenture hereinafter referred to), for value received, hereby promises to pay to CDS &amp; Co., or its registered assigns, the principal sum of C$● (● CANADIAN DOLLARS) on September 17, 2031, at the office or agency of the Corporation referred to below, and to pay interest thereon on ●, 20● and semi-annually thereafter, on March 17 and September 17 in each year, from September 17, 2026, or from the most recent Interest Payment Date to which interest has been paid or duly provided for, at the rate of 4.480% per annum, until the principal hereof is paid or duly provided for, and (to the extent lawful) to pay on demand interest on any overdue interest at the rate borne by the Securities from the date on which such overdue interest becomes payable to the date payment of such interest has been made or duly provided for. The interest so payable, and punctually paid or duly provided for, on any Interest Payment Date will, as provided in such Indenture, be paid to the Person in whose name this Security is registered at the close of business on the Regular Record Date for such interest, which shall be March 1 or September 1 (whether or not a Business Day), as the case may be, next preceding such Interest Payment Date. Any such interest not so punctually paid or duly provided for shall forthwith cease to be payable to the Holder on such Regular Record Date, and such defaulted interest and (to the extent lawful) interest on such defaulted interest at the rate borne by the Securities, may be paid to the Person in whose name this Security is registered at the close of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- 30 -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business on a Special Record Date for the payment of such Defaulted Interest to be fixed by the Trustee, notice whereof shall be given to Holders not less than 10 days prior to such Special Record Date, or may be paid at any time in any other lawful manner not inconsistent with the requirements of any securities exchange on which the Securities may be listed, and upon such notice as may be required by such exchange, all as more fully provided in said Indenture. </w:t>
      </w:r>
    </w:p>
    <w:p>
      <w:pPr>
        <w:pStyle w:val="TextBody"/>
        <w:bidi w:val="0"/>
        <w:spacing w:before="240" w:after="0"/>
        <w:jc w:val="both"/>
        <w:rPr>
          <w:rFonts w:ascii="Times New Roman" w:hAnsi="Times New Roman"/>
          <w:sz w:val="24"/>
        </w:rPr>
      </w:pPr>
      <w:r>
        <w:rPr>
          <w:rFonts w:ascii="Times New Roman" w:hAnsi="Times New Roman"/>
          <w:sz w:val="24"/>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both"/>
        <w:rPr>
          <w:rFonts w:ascii="Times New Roman" w:hAnsi="Times New Roman"/>
          <w:sz w:val="24"/>
        </w:rPr>
      </w:pPr>
      <w:r>
        <w:rPr>
          <w:rFonts w:ascii="Times New Roman" w:hAnsi="Times New Roman"/>
          <w:sz w:val="24"/>
        </w:rPr>
        <w:t xml:space="preserve">Unless the certificate of authentication hereon has been duly executed by the Trustee by manual or electronic signature, this Security shall not be entitled to any benefit under the Indenture, or be valid or obligatory for any purpose.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- 31 -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IN WITNESS WHEREOF, the Corporation has caused this instrument to be duly executed and attested. </w:t>
      </w:r>
    </w:p>
    <w:p>
      <w:pPr>
        <w:pStyle w:val="TextBody"/>
        <w:bidi w:val="0"/>
        <w:spacing w:before="360" w:after="0"/>
        <w:jc w:val="left"/>
        <w:rPr>
          <w:rFonts w:ascii="Times New Roman" w:hAnsi="Times New Roman"/>
          <w:sz w:val="24"/>
        </w:rPr>
      </w:pPr>
      <w:r>
        <w:rPr>
          <w:rFonts w:ascii="Times New Roman" w:hAnsi="Times New Roman"/>
          <w:sz w:val="24"/>
        </w:rPr>
        <w:t xml:space="preserve">Dated: ●, 20● </w:t>
      </w:r>
    </w:p>
    <w:p>
      <w:pPr>
        <w:pStyle w:val="TextBody"/>
        <w:bidi w:val="0"/>
        <w:spacing w:before="0" w:after="0"/>
        <w:jc w:val="left"/>
        <w:rPr/>
      </w:pPr>
      <w:r>
        <w:rPr/>
        <w:t> </w:t>
      </w:r>
    </w:p>
    <w:tbl>
      <w:tblPr>
        <w:tblW w:w="4400" w:type="dxa"/>
        <w:jc w:val="right"/>
        <w:tblInd w:w="0" w:type="dxa"/>
        <w:tblLayout w:type="fixed"/>
        <w:tblCellMar>
          <w:top w:w="0" w:type="dxa"/>
          <w:left w:w="0" w:type="dxa"/>
          <w:bottom w:w="0" w:type="dxa"/>
          <w:right w:w="0" w:type="dxa"/>
        </w:tblCellMar>
      </w:tblPr>
      <w:tblGrid>
        <w:gridCol w:w="2036"/>
        <w:gridCol w:w="218"/>
        <w:gridCol w:w="2146"/>
      </w:tblGrid>
      <w:tr>
        <w:trPr/>
        <w:tc>
          <w:tcPr>
            <w:tcW w:w="2036"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cPr>
          <w:p>
            <w:pPr>
              <w:pStyle w:val="TableContents"/>
              <w:bidi w:val="0"/>
              <w:spacing w:before="0" w:after="283"/>
              <w:jc w:val="left"/>
              <w:rPr>
                <w:b/>
              </w:rPr>
            </w:pPr>
            <w:r>
              <w:rPr>
                <w:b/>
              </w:rPr>
              <w:t>THOMSON REUTERS CORPORATION</w:t>
            </w:r>
          </w:p>
        </w:tc>
      </w:tr>
      <w:tr>
        <w:trPr>
          <w:trHeight w:val="360" w:hRule="atLeast"/>
        </w:trPr>
        <w:tc>
          <w:tcPr>
            <w:tcW w:w="2036" w:type="dxa"/>
            <w:tcBorders/>
            <w:vAlign w:val="center"/>
          </w:tcPr>
          <w:p>
            <w:pPr>
              <w:pStyle w:val="TableContents"/>
              <w:bidi w:val="0"/>
              <w:spacing w:before="0" w:after="283"/>
              <w:jc w:val="left"/>
              <w:rPr>
                <w:sz w:val="4"/>
                <w:szCs w:val="4"/>
              </w:rPr>
            </w:pPr>
            <w:r>
              <w:rPr>
                <w:sz w:val="4"/>
                <w:szCs w:val="4"/>
              </w:rPr>
            </w:r>
          </w:p>
        </w:tc>
        <w:tc>
          <w:tcPr>
            <w:tcW w:w="2364" w:type="dxa"/>
            <w:gridSpan w:val="2"/>
            <w:tcBorders/>
            <w:vAlign w:val="center"/>
          </w:tcPr>
          <w:p>
            <w:pPr>
              <w:pStyle w:val="TableContents"/>
              <w:bidi w:val="0"/>
              <w:spacing w:before="0" w:after="283"/>
              <w:jc w:val="left"/>
              <w:rPr>
                <w:sz w:val="4"/>
                <w:szCs w:val="4"/>
              </w:rPr>
            </w:pPr>
            <w:r>
              <w:rPr>
                <w:sz w:val="4"/>
                <w:szCs w:val="4"/>
              </w:rPr>
            </w:r>
          </w:p>
        </w:tc>
      </w:tr>
      <w:tr>
        <w:trPr/>
        <w:tc>
          <w:tcPr>
            <w:tcW w:w="2036" w:type="dxa"/>
            <w:tcBorders/>
            <w:vAlign w:val="bottom"/>
          </w:tcPr>
          <w:p>
            <w:pPr>
              <w:pStyle w:val="TableContents"/>
              <w:bidi w:val="0"/>
              <w:spacing w:before="0" w:after="283"/>
              <w:jc w:val="left"/>
              <w:rPr/>
            </w:pPr>
            <w:r>
              <w:rPr/>
              <w:t>By:  </w:t>
            </w:r>
          </w:p>
        </w:tc>
        <w:tc>
          <w:tcPr>
            <w:tcW w:w="218" w:type="dxa"/>
            <w:tcBorders/>
            <w:vAlign w:val="bottom"/>
          </w:tcPr>
          <w:p>
            <w:pPr>
              <w:pStyle w:val="TableContents"/>
              <w:bidi w:val="0"/>
              <w:spacing w:before="0" w:after="283"/>
              <w:jc w:val="left"/>
              <w:rPr/>
            </w:pPr>
            <w:r>
              <w:rPr/>
              <w:t> </w:t>
            </w:r>
          </w:p>
        </w:tc>
        <w:tc>
          <w:tcPr>
            <w:tcW w:w="2146" w:type="dxa"/>
            <w:tcBorders/>
            <w:vAlign w:val="bottom"/>
          </w:tcPr>
          <w:p>
            <w:pPr>
              <w:pStyle w:val="TableContents"/>
              <w:pBdr>
                <w:bottom w:val="single" w:sz="2" w:space="1" w:color="000000"/>
              </w:pBdr>
              <w:bidi w:val="0"/>
              <w:spacing w:before="0" w:after="20"/>
              <w:jc w:val="left"/>
              <w:rPr/>
            </w:pPr>
            <w:r>
              <w:rPr/>
              <w:t> </w:t>
            </w:r>
          </w:p>
        </w:tc>
      </w:tr>
      <w:tr>
        <w:trPr/>
        <w:tc>
          <w:tcPr>
            <w:tcW w:w="203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2146" w:type="dxa"/>
            <w:tcBorders/>
            <w:vAlign w:val="bottom"/>
          </w:tcPr>
          <w:p>
            <w:pPr>
              <w:pStyle w:val="TableContents"/>
              <w:bidi w:val="0"/>
              <w:spacing w:before="0" w:after="0"/>
              <w:jc w:val="left"/>
              <w:rPr/>
            </w:pPr>
            <w:r>
              <w:rPr/>
              <w:t> </w:t>
            </w:r>
            <w:r>
              <w:rPr>
                <w:rFonts w:ascii="Times New Roman" w:hAnsi="Times New Roman"/>
                <w:sz w:val="24"/>
              </w:rPr>
              <w:t>Name:</w:t>
            </w:r>
          </w:p>
          <w:p>
            <w:pPr>
              <w:pStyle w:val="TableContents"/>
              <w:bidi w:val="0"/>
              <w:spacing w:before="0" w:after="20"/>
              <w:jc w:val="left"/>
              <w:rPr/>
            </w:pPr>
            <w:r>
              <w:rPr/>
              <w:t> </w:t>
            </w:r>
            <w:r>
              <w:rPr>
                <w:rFonts w:ascii="Times New Roman" w:hAnsi="Times New Roman"/>
                <w:sz w:val="24"/>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16"/>
        <w:gridCol w:w="60"/>
        <w:gridCol w:w="3106"/>
      </w:tblGrid>
      <w:tr>
        <w:trPr/>
        <w:tc>
          <w:tcPr>
            <w:tcW w:w="9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916" w:type="dxa"/>
            <w:tcBorders/>
            <w:vAlign w:val="bottom"/>
          </w:tcPr>
          <w:p>
            <w:pPr>
              <w:pStyle w:val="TableContents"/>
              <w:bidi w:val="0"/>
              <w:spacing w:before="0" w:after="283"/>
              <w:jc w:val="left"/>
              <w:rPr/>
            </w:pPr>
            <w:r>
              <w:rPr/>
              <w:t>Attest: </w:t>
            </w:r>
          </w:p>
        </w:tc>
        <w:tc>
          <w:tcPr>
            <w:tcW w:w="60" w:type="dxa"/>
            <w:tcBorders/>
            <w:vAlign w:val="bottom"/>
          </w:tcPr>
          <w:p>
            <w:pPr>
              <w:pStyle w:val="TableContents"/>
              <w:bidi w:val="0"/>
              <w:spacing w:before="0" w:after="283"/>
              <w:jc w:val="left"/>
              <w:rPr/>
            </w:pPr>
            <w:r>
              <w:rPr/>
              <w:t> </w:t>
            </w:r>
          </w:p>
        </w:tc>
        <w:tc>
          <w:tcPr>
            <w:tcW w:w="3106" w:type="dxa"/>
            <w:tcBorders/>
            <w:vAlign w:val="bottom"/>
          </w:tcPr>
          <w:p>
            <w:pPr>
              <w:pStyle w:val="TableContents"/>
              <w:pBdr>
                <w:bottom w:val="single" w:sz="2" w:space="1" w:color="000000"/>
              </w:pBdr>
              <w:bidi w:val="0"/>
              <w:spacing w:before="0" w:after="20"/>
              <w:jc w:val="left"/>
              <w:rPr/>
            </w:pPr>
            <w:r>
              <w:rPr/>
              <w:t> </w:t>
            </w:r>
          </w:p>
        </w:tc>
      </w:tr>
      <w:tr>
        <w:trPr/>
        <w:tc>
          <w:tcPr>
            <w:tcW w:w="9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6" w:type="dxa"/>
            <w:tcBorders/>
            <w:vAlign w:val="bottom"/>
          </w:tcPr>
          <w:p>
            <w:pPr>
              <w:pStyle w:val="TableContents"/>
              <w:bidi w:val="0"/>
              <w:spacing w:before="0" w:after="0"/>
              <w:jc w:val="left"/>
              <w:rPr/>
            </w:pPr>
            <w:r>
              <w:rPr/>
              <w:t> </w:t>
            </w:r>
            <w:r>
              <w:rPr>
                <w:rFonts w:ascii="Times New Roman" w:hAnsi="Times New Roman"/>
                <w:sz w:val="24"/>
              </w:rPr>
              <w:t>Name:</w:t>
            </w:r>
          </w:p>
          <w:p>
            <w:pPr>
              <w:pStyle w:val="TableContents"/>
              <w:bidi w:val="0"/>
              <w:spacing w:before="0" w:after="20"/>
              <w:jc w:val="left"/>
              <w:rPr/>
            </w:pPr>
            <w:r>
              <w:rPr/>
              <w:t> </w:t>
            </w:r>
            <w:r>
              <w:rPr>
                <w:rFonts w:ascii="Times New Roman" w:hAnsi="Times New Roman"/>
                <w:sz w:val="24"/>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4"/>
        </w:rPr>
      </w:pPr>
      <w:r>
        <w:rPr>
          <w:rFonts w:ascii="Times New Roman" w:hAnsi="Times New Roman"/>
          <w:sz w:val="24"/>
        </w:rPr>
        <w:t xml:space="preserve">TRUSTEE’S CERTIFICATE OF AUTHENTICATION </w:t>
      </w:r>
    </w:p>
    <w:p>
      <w:pPr>
        <w:pStyle w:val="TextBody"/>
        <w:bidi w:val="0"/>
        <w:spacing w:before="240" w:after="0"/>
        <w:jc w:val="both"/>
        <w:rPr>
          <w:rFonts w:ascii="Times New Roman" w:hAnsi="Times New Roman"/>
          <w:sz w:val="24"/>
        </w:rPr>
      </w:pPr>
      <w:r>
        <w:rPr>
          <w:rFonts w:ascii="Times New Roman" w:hAnsi="Times New Roman"/>
          <w:sz w:val="24"/>
        </w:rPr>
        <w:t xml:space="preserve">This is one of the Securities of the series designated as the 4.480% Notes due 2031, and issued under the Indenture as described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39"/>
        <w:gridCol w:w="103"/>
        <w:gridCol w:w="403"/>
        <w:gridCol w:w="103"/>
        <w:gridCol w:w="858"/>
        <w:gridCol w:w="103"/>
        <w:gridCol w:w="4296"/>
      </w:tblGrid>
      <w:tr>
        <w:trPr/>
        <w:tc>
          <w:tcPr>
            <w:tcW w:w="433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296" w:type="dxa"/>
            <w:tcBorders/>
            <w:vAlign w:val="center"/>
          </w:tcPr>
          <w:p>
            <w:pPr>
              <w:pStyle w:val="TableContents"/>
              <w:bidi w:val="0"/>
              <w:spacing w:before="0" w:after="283"/>
              <w:jc w:val="left"/>
              <w:rPr>
                <w:sz w:val="4"/>
                <w:szCs w:val="4"/>
              </w:rPr>
            </w:pPr>
            <w:r>
              <w:rPr>
                <w:sz w:val="4"/>
                <w:szCs w:val="4"/>
              </w:rPr>
            </w:r>
          </w:p>
        </w:tc>
      </w:tr>
      <w:tr>
        <w:trPr/>
        <w:tc>
          <w:tcPr>
            <w:tcW w:w="433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5257" w:type="dxa"/>
            <w:gridSpan w:val="3"/>
            <w:tcBorders/>
            <w:vAlign w:val="bottom"/>
          </w:tcPr>
          <w:p>
            <w:pPr>
              <w:pStyle w:val="TableContents"/>
              <w:bidi w:val="0"/>
              <w:spacing w:before="0" w:after="0"/>
              <w:jc w:val="left"/>
              <w:rPr>
                <w:rFonts w:ascii="Times New Roman" w:hAnsi="Times New Roman"/>
                <w:b/>
                <w:sz w:val="24"/>
              </w:rPr>
            </w:pPr>
            <w:r>
              <w:rPr>
                <w:rFonts w:ascii="Times New Roman" w:hAnsi="Times New Roman"/>
                <w:b/>
                <w:sz w:val="24"/>
              </w:rPr>
              <w:t>COMPUTERSHARE TRUST COMPANY</w:t>
              <w:br/>
              <w:t>OF CANADA,</w:t>
            </w:r>
          </w:p>
          <w:p>
            <w:pPr>
              <w:pStyle w:val="TableContents"/>
              <w:bidi w:val="0"/>
              <w:spacing w:before="0" w:after="0"/>
              <w:jc w:val="left"/>
              <w:rPr/>
            </w:pPr>
            <w:r>
              <w:rPr/>
              <w:t> </w:t>
            </w:r>
          </w:p>
          <w:p>
            <w:pPr>
              <w:pStyle w:val="TableContents"/>
              <w:bidi w:val="0"/>
              <w:spacing w:before="0" w:after="20"/>
              <w:jc w:val="left"/>
              <w:rPr>
                <w:rFonts w:ascii="Times New Roman" w:hAnsi="Times New Roman"/>
                <w:sz w:val="24"/>
              </w:rPr>
            </w:pPr>
            <w:r>
              <w:rPr>
                <w:rFonts w:ascii="Times New Roman" w:hAnsi="Times New Roman"/>
                <w:sz w:val="24"/>
              </w:rPr>
              <w:t>as Trustee</w:t>
            </w:r>
          </w:p>
        </w:tc>
      </w:tr>
      <w:tr>
        <w:trPr>
          <w:trHeight w:val="480" w:hRule="atLeast"/>
        </w:trPr>
        <w:tc>
          <w:tcPr>
            <w:tcW w:w="4339" w:type="dxa"/>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961" w:type="dxa"/>
            <w:gridSpan w:val="2"/>
            <w:tcBorders/>
            <w:vAlign w:val="center"/>
          </w:tcPr>
          <w:p>
            <w:pPr>
              <w:pStyle w:val="TableContents"/>
              <w:bidi w:val="0"/>
              <w:spacing w:before="0" w:after="283"/>
              <w:jc w:val="left"/>
              <w:rPr>
                <w:sz w:val="4"/>
                <w:szCs w:val="4"/>
              </w:rPr>
            </w:pPr>
            <w:r>
              <w:rPr>
                <w:sz w:val="4"/>
                <w:szCs w:val="4"/>
              </w:rPr>
            </w:r>
          </w:p>
        </w:tc>
        <w:tc>
          <w:tcPr>
            <w:tcW w:w="4399" w:type="dxa"/>
            <w:gridSpan w:val="2"/>
            <w:tcBorders/>
            <w:vAlign w:val="center"/>
          </w:tcPr>
          <w:p>
            <w:pPr>
              <w:pStyle w:val="TableContents"/>
              <w:bidi w:val="0"/>
              <w:spacing w:before="0" w:after="283"/>
              <w:jc w:val="left"/>
              <w:rPr>
                <w:sz w:val="4"/>
                <w:szCs w:val="4"/>
              </w:rPr>
            </w:pPr>
            <w:r>
              <w:rPr>
                <w:sz w:val="4"/>
                <w:szCs w:val="4"/>
              </w:rPr>
            </w:r>
          </w:p>
        </w:tc>
      </w:tr>
      <w:tr>
        <w:trPr/>
        <w:tc>
          <w:tcPr>
            <w:tcW w:w="4339" w:type="dxa"/>
            <w:tcBorders/>
            <w:vAlign w:val="bottom"/>
          </w:tcPr>
          <w:p>
            <w:pPr>
              <w:pStyle w:val="TableContents"/>
              <w:bidi w:val="0"/>
              <w:spacing w:before="0" w:after="283"/>
              <w:jc w:val="left"/>
              <w:rPr/>
            </w:pPr>
            <w:r>
              <w:rPr/>
              <w:t>Dated: ●, 20●</w:t>
            </w:r>
          </w:p>
        </w:tc>
        <w:tc>
          <w:tcPr>
            <w:tcW w:w="103"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left"/>
              <w:rPr/>
            </w:pPr>
            <w:r>
              <w:rPr/>
              <w:t>By:  </w:t>
            </w:r>
          </w:p>
        </w:tc>
        <w:tc>
          <w:tcPr>
            <w:tcW w:w="103" w:type="dxa"/>
            <w:tcBorders/>
            <w:vAlign w:val="bottom"/>
          </w:tcPr>
          <w:p>
            <w:pPr>
              <w:pStyle w:val="TableContents"/>
              <w:bidi w:val="0"/>
              <w:spacing w:before="0" w:after="283"/>
              <w:jc w:val="left"/>
              <w:rPr/>
            </w:pPr>
            <w:r>
              <w:rPr/>
              <w:t> </w:t>
            </w:r>
          </w:p>
        </w:tc>
        <w:tc>
          <w:tcPr>
            <w:tcW w:w="4296" w:type="dxa"/>
            <w:tcBorders/>
            <w:vAlign w:val="bottom"/>
          </w:tcPr>
          <w:p>
            <w:pPr>
              <w:pStyle w:val="TableContents"/>
              <w:pBdr>
                <w:bottom w:val="single" w:sz="2" w:space="1" w:color="000000"/>
              </w:pBdr>
              <w:bidi w:val="0"/>
              <w:spacing w:before="0" w:after="20"/>
              <w:jc w:val="left"/>
              <w:rPr/>
            </w:pPr>
            <w:r>
              <w:rPr/>
              <w:t> </w:t>
            </w:r>
          </w:p>
        </w:tc>
      </w:tr>
      <w:tr>
        <w:trPr/>
        <w:tc>
          <w:tcPr>
            <w:tcW w:w="433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296" w:type="dxa"/>
            <w:tcBorders/>
            <w:vAlign w:val="bottom"/>
          </w:tcPr>
          <w:p>
            <w:pPr>
              <w:pStyle w:val="TableContents"/>
              <w:bidi w:val="0"/>
              <w:spacing w:before="0" w:after="283"/>
              <w:jc w:val="left"/>
              <w:rPr/>
            </w:pPr>
            <w:r>
              <w:rPr/>
              <w:t> </w:t>
            </w:r>
            <w:r>
              <w:rPr/>
              <w:t>Authorized Officer</w:t>
            </w:r>
          </w:p>
        </w:tc>
      </w:tr>
    </w:tbl>
    <w:p>
      <w:pPr>
        <w:pStyle w:val="TextBody"/>
        <w:bidi w:val="0"/>
        <w:spacing w:before="0" w:after="0"/>
        <w:jc w:val="both"/>
        <w:rPr>
          <w:rFonts w:ascii="Times New Roman" w:hAnsi="Times New Roman"/>
          <w:sz w:val="24"/>
        </w:rPr>
      </w:pPr>
      <w:r>
        <w:rPr>
          <w:rFonts w:ascii="Times New Roman" w:hAnsi="Times New Roman"/>
          <w:sz w:val="24"/>
        </w:rPr>
        <w:t xml:space="preserve">THIS CERTIFICATE OF THE TRUSTEE SIGNED ON THE SECURITIES WILL NOT BE CONSTRUED AS A REPRESENTATION OR WARRANTY BY THE TRUSTEE AS TO THE VALIDITY OF THE INDENTURE OR OF THE SECURITIES OR OF THEIR ISSUANCE AND THE TRUSTEE WILL IN NO RESPECT BE LIABLE OR ANSWERABLE FOR THE USE MADE OF SUCH SECURITIES OR ANY OF THEM OR THE PROCEEDS THEREOF. THIS CERTIFICATE OF THE TRUSTEE SIGNED ON THE SECURITIES WILL, HOWEVER, BE A REPRESENTATION AND WARRANTY BY THE TRUSTEE THAT THE SECURITIES HAVE BEEN DULY AUTHENTICATED BY OR ON BEHALF OF THE TRUSTEE PURSUANT TO THE PROVISIONS OF THE INDENTURE.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- 33 - </w:t>
      </w:r>
    </w:p>
    <w:p>
      <w:pPr>
        <w:pStyle w:val="TextBody"/>
        <w:bidi w:val="0"/>
        <w:spacing w:before="0" w:after="0"/>
        <w:jc w:val="left"/>
        <w:rPr/>
      </w:pPr>
      <w:r>
        <w:rPr/>
        <w:t> </w:t>
      </w:r>
    </w:p>
    <w:p>
      <w:pPr>
        <w:pStyle w:val="TextBody"/>
        <w:bidi w:val="0"/>
        <w:spacing w:before="0" w:after="0"/>
        <w:jc w:val="center"/>
        <w:rPr>
          <w:rFonts w:ascii="Times New Roman" w:hAnsi="Times New Roman"/>
          <w:b/>
          <w:sz w:val="24"/>
        </w:rPr>
      </w:pPr>
      <w:r>
        <w:rPr>
          <w:rFonts w:ascii="Times New Roman" w:hAnsi="Times New Roman"/>
          <w:b/>
          <w:sz w:val="24"/>
        </w:rPr>
        <w:t xml:space="preserve">Reverse of Security </w:t>
      </w:r>
    </w:p>
    <w:p>
      <w:pPr>
        <w:pStyle w:val="TextBody"/>
        <w:bidi w:val="0"/>
        <w:spacing w:before="240" w:after="0"/>
        <w:jc w:val="both"/>
        <w:rPr>
          <w:rFonts w:ascii="Times New Roman" w:hAnsi="Times New Roman"/>
          <w:sz w:val="24"/>
        </w:rPr>
      </w:pPr>
      <w:r>
        <w:rPr>
          <w:rFonts w:ascii="Times New Roman" w:hAnsi="Times New Roman"/>
          <w:sz w:val="24"/>
        </w:rPr>
        <w:t xml:space="preserve">This Security is one of a duly authorized issue of securities of the Corporation designated as its 4.480% Notes due 2031 (herein called the “Securities”) issued under an Indenture dated as of September 17, 2026 (herein called the “Base Indenture”) among the Corporation, West Publishing Corporation (“West Publishing”), Thomson Reuters Applications Inc. (“Thomson Reuters Applications”) and Thomson Reuters (Tax &amp; Accounting) Inc. (“Thomson Reuters (Tax &amp; Accounting)” and together, with West Publishing and Thomson Reuters Applications, the “Subsidiary Guarantors”), Computershare Trust Company of Canada, as Canadian trustee (herein called the “Trustee”, which term includes any successor trustee under the Indenture) and Deutsche Bank Trust Company Americas, as U.S. trustee (herein called the “U.S. Trustee”) and a Second Supplemental Indenture between the Corporation, the Subsidiary Guarantors, the Trustee and the U.S. Trustee as of September 17, 2026 (the “Second Supplemental Indenture,” and collectively referred to herein as, the “Indenture”), to which Indenture and all indentures supplemental thereto reference is hereby made for a statement of the respective rights, limitations of rights, duties, obligations and immunities thereunder of the Corporation, the Trustee and the Holders, and of the terms upon which the Securities are, and are to be, authenticated and delivered. This Security is a global Security representing C$● aggregate principal amount of the Securities. </w:t>
      </w:r>
    </w:p>
    <w:p>
      <w:pPr>
        <w:pStyle w:val="TextBody"/>
        <w:bidi w:val="0"/>
        <w:spacing w:before="240" w:after="0"/>
        <w:jc w:val="both"/>
        <w:rPr>
          <w:rFonts w:ascii="Times New Roman" w:hAnsi="Times New Roman"/>
          <w:sz w:val="24"/>
        </w:rPr>
      </w:pPr>
      <w:r>
        <w:rPr>
          <w:rFonts w:ascii="Times New Roman" w:hAnsi="Times New Roman"/>
          <w:sz w:val="24"/>
        </w:rPr>
        <w:t xml:space="preserve">The Securities will be direct, unsecured obligations of the Corporation and will initially be guaranteed by the Subsidiary Guarantors. The Securities will rank equally with all other unsecured and unsubordinated indebtedness of the Corporation. </w:t>
      </w:r>
    </w:p>
    <w:p>
      <w:pPr>
        <w:pStyle w:val="TextBody"/>
        <w:bidi w:val="0"/>
        <w:spacing w:before="240" w:after="0"/>
        <w:jc w:val="both"/>
        <w:rPr>
          <w:rFonts w:ascii="Times New Roman" w:hAnsi="Times New Roman"/>
          <w:sz w:val="24"/>
        </w:rPr>
      </w:pPr>
      <w:r>
        <w:rPr>
          <w:rFonts w:ascii="Times New Roman" w:hAnsi="Times New Roman"/>
          <w:sz w:val="24"/>
        </w:rPr>
        <w:t xml:space="preserve">Payment of the principal of (and premium, if any, on) and interest on this Security will be made at the office or agency of the Corporation maintained or caused to be maintained for that purpose in Toronto, Ontario or at such other office or agency of the Corporation as may be maintained or caused to be maintained for such purpose, in such coin or currency of Canada as at the time of payment is legal tender for payment of public and private debts; provided, however, that payment of the principal (and premium, if any) and interest may be made at the option of the Corporation (i) by cheque mailed to the address of the Person entitled thereto as such address shall appear on the Security Register or (ii) by wire transfer to an account maintained by the payee located in the United States or Canada; provided, that principal paid in relation to any Security, redeemed at the option of the Corporation or upon Maturity, shall be paid to the Holder of such Security only upon presentation and surrender of such Security to such office or agency referred to above. </w:t>
      </w:r>
    </w:p>
    <w:p>
      <w:pPr>
        <w:pStyle w:val="TextBody"/>
        <w:bidi w:val="0"/>
        <w:spacing w:before="240" w:after="0"/>
        <w:jc w:val="both"/>
        <w:rPr>
          <w:rFonts w:ascii="Times New Roman" w:hAnsi="Times New Roman"/>
          <w:sz w:val="24"/>
        </w:rPr>
      </w:pPr>
      <w:r>
        <w:rPr>
          <w:rFonts w:ascii="Times New Roman" w:hAnsi="Times New Roman"/>
          <w:sz w:val="24"/>
        </w:rPr>
        <w:t xml:space="preserve">This Security is not subject to any sinking fund. </w:t>
      </w:r>
    </w:p>
    <w:p>
      <w:pPr>
        <w:pStyle w:val="TextBody"/>
        <w:bidi w:val="0"/>
        <w:spacing w:before="240" w:after="0"/>
        <w:jc w:val="both"/>
        <w:rPr>
          <w:rFonts w:ascii="Times New Roman" w:hAnsi="Times New Roman"/>
          <w:sz w:val="24"/>
        </w:rPr>
      </w:pPr>
      <w:r>
        <w:rPr>
          <w:rFonts w:ascii="Times New Roman" w:hAnsi="Times New Roman"/>
          <w:sz w:val="24"/>
        </w:rPr>
        <w:t xml:space="preserve">Where any Non-Canadian Person (i) assumes the Corporation’s obligations hereunder as a result of an amalgamation, consolidation, merger, conveyance, transfer or lease effected in compliance with Article Eight of the Indenture or (ii) becomes a Co-Obligor under the Securities in accordance with Section 2.03(j) of the Second Supplemental Indenture, (A) such Non-Canadian Person will pay to the Holders such additional amounts as may be payable under the Second Supplemental Indenture and (B) the Securities will be redeemable, at such Non-Canadian Person’s option, in whole and not in part, at any time, on the other terms and conditions as set forth in the Second Supplemental Indenture. </w:t>
      </w:r>
    </w:p>
    <w:p>
      <w:pPr>
        <w:pStyle w:val="TextBody"/>
        <w:bidi w:val="0"/>
        <w:spacing w:before="240" w:after="0"/>
        <w:jc w:val="both"/>
        <w:rPr>
          <w:rFonts w:ascii="Times New Roman" w:hAnsi="Times New Roman"/>
          <w:sz w:val="24"/>
        </w:rPr>
      </w:pPr>
      <w:r>
        <w:rPr>
          <w:rFonts w:ascii="Times New Roman" w:hAnsi="Times New Roman"/>
          <w:sz w:val="24"/>
        </w:rPr>
        <w:t xml:space="preserve">Prior to August 17, 2031, the Securities are subject to redemption upon not less than 10 days’ and not more than 60 days’ notice, at any time, as a whole or in part, at the election of the Corporation, at a Redemption Price which is equal to the greater of (i) the 2031 Canada Yield Price and (ii) 100% of the principal amount of the 2031 Notes, in each case together with accrued and unpaid interest to the Redemption Date, all as provided in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the Indenture. On or after August 17, 2031, the Securities are subject to redemption upon not less than 10 days’ and not more than 60 days’ notice, at any time, as a whole or in part, at the election of the Corporation, at a Redemption Price equal to 100% of the principal amount of the 2031 Notes, together with accrued and unpaid interest to the Redemption Date, all as provided in the Indenture. Such accrued interest and the Redemption Price will be calculated on the basis of a 365-day year. Unless the Corporation defaults in the payment of the Redemption Price, on or after the Redemption Date, interest will cease to accrue on the Securities or the portions thereof called for redemption. </w:t>
      </w:r>
    </w:p>
    <w:p>
      <w:pPr>
        <w:pStyle w:val="TextBody"/>
        <w:bidi w:val="0"/>
        <w:spacing w:before="240" w:after="0"/>
        <w:jc w:val="both"/>
        <w:rPr/>
      </w:pPr>
      <w:r>
        <w:rPr/>
        <w:t>“</w:t>
      </w:r>
      <w:r>
        <w:rPr>
          <w:rFonts w:ascii="Times New Roman" w:hAnsi="Times New Roman"/>
          <w:b/>
          <w:sz w:val="24"/>
        </w:rPr>
        <w:t>2031</w:t>
      </w:r>
      <w:r>
        <w:rPr>
          <w:rFonts w:ascii="Times New Roman" w:hAnsi="Times New Roman"/>
          <w:sz w:val="24"/>
        </w:rPr>
        <w:t xml:space="preserve"> </w:t>
      </w:r>
      <w:r>
        <w:rPr>
          <w:rFonts w:ascii="Times New Roman" w:hAnsi="Times New Roman"/>
          <w:b/>
          <w:sz w:val="24"/>
        </w:rPr>
        <w:t>Canada Yield Price</w:t>
      </w:r>
      <w:r>
        <w:rPr>
          <w:rFonts w:ascii="Times New Roman" w:hAnsi="Times New Roman"/>
          <w:sz w:val="24"/>
        </w:rPr>
        <w:t xml:space="preserve">” means a price equal to the price of a 2031 Note, exclusive of accrued and unpaid interest, calculated to provide a yield to the 2031 Par Call Date, compounded semi-annually and calculated in accordance with generally accepted financial practice, equal to the Government of Canada Yield calculated on the date on which the Company gives notice of redemption pursuant to the Indenture, plus 0.21%. </w:t>
      </w:r>
    </w:p>
    <w:p>
      <w:pPr>
        <w:pStyle w:val="TextBody"/>
        <w:bidi w:val="0"/>
        <w:spacing w:before="240" w:after="0"/>
        <w:jc w:val="both"/>
        <w:rPr/>
      </w:pPr>
      <w:r>
        <w:rPr/>
        <w:t>“</w:t>
      </w:r>
      <w:r>
        <w:rPr>
          <w:rFonts w:ascii="Times New Roman" w:hAnsi="Times New Roman"/>
          <w:b/>
          <w:sz w:val="24"/>
        </w:rPr>
        <w:t>Government of Canada Yield</w:t>
      </w:r>
      <w:r>
        <w:rPr>
          <w:rFonts w:ascii="Times New Roman" w:hAnsi="Times New Roman"/>
          <w:sz w:val="24"/>
        </w:rPr>
        <w:t xml:space="preserve">” as at any date, means the arithmetic average of the respective percentages determined by two major Canadian investment dealers selected by the Company to be the yield to the 2031 Par Call Date, which, assuming semi-annual compounding, would be carried by a non-callable Government of Canada bond, having a term to maturity equal to the remaining term to the 2031 Par Call Date, and issued in Canadian dollars in Canada at 100% of its principal amount. </w:t>
      </w:r>
    </w:p>
    <w:p>
      <w:pPr>
        <w:pStyle w:val="TextBody"/>
        <w:bidi w:val="0"/>
        <w:spacing w:before="240" w:after="0"/>
        <w:jc w:val="both"/>
        <w:rPr>
          <w:rFonts w:ascii="Times New Roman" w:hAnsi="Times New Roman"/>
          <w:sz w:val="24"/>
        </w:rPr>
      </w:pPr>
      <w:r>
        <w:rPr>
          <w:rFonts w:ascii="Times New Roman" w:hAnsi="Times New Roman"/>
          <w:sz w:val="24"/>
        </w:rPr>
        <w:t xml:space="preserve">In the case of any redemption of Securities, interest installments whose Stated Maturity is on or prior to the Redemption Date will be payable to the Holders of such Securities of record at the close of business on the relevant record date referred to on the face hereof. Securities (or portions thereof) for whose redemption provision is made in accordance with the Indenture shall cease to bear interest from and after the Redemption Date. </w:t>
      </w:r>
    </w:p>
    <w:p>
      <w:pPr>
        <w:pStyle w:val="TextBody"/>
        <w:bidi w:val="0"/>
        <w:spacing w:before="240" w:after="0"/>
        <w:jc w:val="both"/>
        <w:rPr>
          <w:rFonts w:ascii="Times New Roman" w:hAnsi="Times New Roman"/>
          <w:sz w:val="24"/>
        </w:rPr>
      </w:pPr>
      <w:r>
        <w:rPr>
          <w:rFonts w:ascii="Times New Roman" w:hAnsi="Times New Roman"/>
          <w:sz w:val="24"/>
        </w:rPr>
        <w:t xml:space="preserve">In the event of redemption of this Security in part only, a new Security or Securities for the unredeemed portion hereof shall be issued in the name of the Holder hereof upon the cancellation hereof. </w:t>
      </w:r>
    </w:p>
    <w:p>
      <w:pPr>
        <w:pStyle w:val="TextBody"/>
        <w:bidi w:val="0"/>
        <w:spacing w:before="240" w:after="0"/>
        <w:jc w:val="both"/>
        <w:rPr>
          <w:rFonts w:ascii="Times New Roman" w:hAnsi="Times New Roman"/>
          <w:sz w:val="24"/>
        </w:rPr>
      </w:pPr>
      <w:r>
        <w:rPr>
          <w:rFonts w:ascii="Times New Roman" w:hAnsi="Times New Roman"/>
          <w:sz w:val="24"/>
        </w:rPr>
        <w:t xml:space="preserve">The Securities will be subject to certain restrictive covenants as provided in the Second Supplemental Indenture. If a Change of Control Triggering Event (as defined in the Second Supplemental Indenture) occurs, unless the Corporation has exercised its right to redeem the Securities, the Corporation will be required to make an offer to repurchase the Securities on the terms and subject to the conditions set forth in Section 2.03(l) of the Second Supplemental Indenture except that the Corporation will not be required to make such an offer if a third party makes such an offer in the manner, at the times and otherwise in compliance with the requirements for an offer made by the Corporation, and such third party purchases all Securities properly tendered and not withdrawn under its offer. </w:t>
      </w:r>
    </w:p>
    <w:p>
      <w:pPr>
        <w:pStyle w:val="TextBody"/>
        <w:bidi w:val="0"/>
        <w:spacing w:before="240" w:after="0"/>
        <w:jc w:val="both"/>
        <w:rPr>
          <w:rFonts w:ascii="Times New Roman" w:hAnsi="Times New Roman"/>
          <w:sz w:val="24"/>
        </w:rPr>
      </w:pPr>
      <w:r>
        <w:rPr>
          <w:rFonts w:ascii="Times New Roman" w:hAnsi="Times New Roman"/>
          <w:sz w:val="24"/>
        </w:rPr>
        <w:t xml:space="preserve">If an Event of Default (including any additional Events of Default as set forth in the Second Supplemental Indenture) shall occur and be continuing, the principal of the Securities may be declared due and payable in the manner and with the effect provided in the Indenture. </w:t>
      </w:r>
    </w:p>
    <w:p>
      <w:pPr>
        <w:pStyle w:val="TextBody"/>
        <w:bidi w:val="0"/>
        <w:spacing w:before="240" w:after="0"/>
        <w:jc w:val="both"/>
        <w:rPr>
          <w:rFonts w:ascii="Times New Roman" w:hAnsi="Times New Roman"/>
          <w:sz w:val="24"/>
        </w:rPr>
      </w:pPr>
      <w:r>
        <w:rPr>
          <w:rFonts w:ascii="Times New Roman" w:hAnsi="Times New Roman"/>
          <w:sz w:val="24"/>
        </w:rPr>
        <w:t xml:space="preserve">The Indenture contains provisions for defeasance at any time of (a) the entire indebtedness of the Corporation on this Security and (b) certain restrictive covenants and the related Defaults and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- 35 -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Events of Default, in each case upon compliance by the Corporation with certain conditions set forth therein, which provisions apply to this Security. </w:t>
      </w:r>
    </w:p>
    <w:p>
      <w:pPr>
        <w:pStyle w:val="TextBody"/>
        <w:bidi w:val="0"/>
        <w:spacing w:before="240" w:after="0"/>
        <w:jc w:val="both"/>
        <w:rPr>
          <w:rFonts w:ascii="Times New Roman" w:hAnsi="Times New Roman"/>
          <w:sz w:val="24"/>
        </w:rPr>
      </w:pPr>
      <w:r>
        <w:rPr>
          <w:rFonts w:ascii="Times New Roman" w:hAnsi="Times New Roman"/>
          <w:sz w:val="24"/>
        </w:rPr>
        <w:t xml:space="preserve">The Corporation has the right at any time, without notice to or consent of the Holders, to designate one of its Wholly-Owned Subsidiaries (as defined in the Second Supplemental Indenture) to assume, as co-obligor (a “Co-Obligor”) on a joint and several basis with the Corporation, all obligations of the Corporation under the Indenture (insofar as it applies to the Securities) and the Securities, provided that the conditions set out in the Indenture are satisfied. The obligations of the Co-Obligor under the Securities shall rank equally with all of the Co-Obligor’s other unsecured and unsubordinated obligations. </w:t>
      </w:r>
    </w:p>
    <w:p>
      <w:pPr>
        <w:pStyle w:val="TextBody"/>
        <w:bidi w:val="0"/>
        <w:spacing w:before="240" w:after="0"/>
        <w:jc w:val="both"/>
        <w:rPr>
          <w:rFonts w:ascii="Times New Roman" w:hAnsi="Times New Roman"/>
          <w:sz w:val="24"/>
        </w:rPr>
      </w:pPr>
      <w:r>
        <w:rPr>
          <w:rFonts w:ascii="Times New Roman" w:hAnsi="Times New Roman"/>
          <w:sz w:val="24"/>
        </w:rPr>
        <w:t xml:space="preserve">The Indenture permits, with certain exceptions as therein provided, the amendment thereof and the modification of the rights and obligations of the Corporation and the rights of the Holders of the Securities of such series affected thereby under the Indenture at any time by the Corporation and the Trustee with the consent of the Holders of not less than a majority in aggregate principal amount of all affected Securities at the time Outstanding. The Indenture also contains provisions permitting the Holders of specified percentages in aggregate principal amount of the Securities at the time Outstanding, on behalf of the Holders of all the Securities affected thereby, to waive compliance by the Corporation with certain provisions of the Indenture and certain past defaults under the Indenture and their consequences. Any such consent or waiver by or on behalf of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both"/>
        <w:rPr>
          <w:rFonts w:ascii="Times New Roman" w:hAnsi="Times New Roman"/>
          <w:sz w:val="24"/>
        </w:rPr>
      </w:pPr>
      <w:r>
        <w:rPr>
          <w:rFonts w:ascii="Times New Roman" w:hAnsi="Times New Roman"/>
          <w:sz w:val="24"/>
        </w:rPr>
        <w:t xml:space="preserve">The Corporation may from time to time, without notice to or the consent of the Holders, create and issue further Securities ranking </w:t>
      </w:r>
      <w:r>
        <w:rPr>
          <w:rFonts w:ascii="Times New Roman" w:hAnsi="Times New Roman"/>
          <w:i/>
          <w:sz w:val="24"/>
        </w:rPr>
        <w:t>pari passu</w:t>
      </w:r>
      <w:r>
        <w:rPr>
          <w:rFonts w:ascii="Times New Roman" w:hAnsi="Times New Roman"/>
          <w:sz w:val="24"/>
        </w:rPr>
        <w:t xml:space="preserve"> with the Securities in all respects (or in all respects except for the payment of interest accruing prior to the issue date of the Securities or except for the first payment of interest following the issue date of the Securities) and so that such further Securities may be consolidated and form a single series with the Securities and have the same terms as to status, redemption or otherwise as the Securities. </w:t>
      </w:r>
    </w:p>
    <w:p>
      <w:pPr>
        <w:pStyle w:val="TextBody"/>
        <w:bidi w:val="0"/>
        <w:spacing w:before="240" w:after="0"/>
        <w:jc w:val="both"/>
        <w:rPr>
          <w:rFonts w:ascii="Times New Roman" w:hAnsi="Times New Roman"/>
          <w:sz w:val="24"/>
        </w:rPr>
      </w:pPr>
      <w:r>
        <w:rPr>
          <w:rFonts w:ascii="Times New Roman" w:hAnsi="Times New Roman"/>
          <w:sz w:val="24"/>
        </w:rPr>
        <w:t xml:space="preserve">No reference herein to the Indenture and no provision of this Security or of the Indenture shall alter or impair the obligation of the Corporation, which is absolute and unconditional, to pay the principal of (and premium, if any, on) and interest on this Security at the times, place, and rate, and in the coin or currency, herein prescribed. </w:t>
      </w:r>
    </w:p>
    <w:p>
      <w:pPr>
        <w:pStyle w:val="TextBody"/>
        <w:bidi w:val="0"/>
        <w:spacing w:before="240" w:after="0"/>
        <w:jc w:val="both"/>
        <w:rPr>
          <w:rFonts w:ascii="Times New Roman" w:hAnsi="Times New Roman"/>
          <w:sz w:val="24"/>
        </w:rPr>
      </w:pPr>
      <w:r>
        <w:rPr>
          <w:rFonts w:ascii="Times New Roman" w:hAnsi="Times New Roman"/>
          <w:sz w:val="24"/>
        </w:rPr>
        <w:t xml:space="preserve">As provided in the Indenture and subject to certain limitations therein set forth, the transfer of this Security is registerable on the Security Register of the Corporation, upon surrender of this Security for registration of transfer at the office or agency of the Corporation maintained or caused to be maintained for such purpose in the Province of Ontario or at a central register maintained by the Trustee at the Corporate Trust Office in Toronto, Ontario, duly endorsed by, or accompanied by a written instrument of transfer in form satisfactory to the Corporation and the Security Registrar duly executed by, the Holder hereof or his attorney duly authorized in writing, and thereupon one or more new Securities, of authorized denominations and for the same aggregate principal amount, will be issued to the designated transferee or transferees.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- 36 -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The Securities are issuable only in registered form without coupons in initial denominations of C$2,000 and subsequent multiples of C$1,000 in excess thereof. As provided in the Indenture and subject to certain limitations therein set forth, the Securities are exchangeable for a like aggregate principal amount of Securities of a different authorized denomination, as requested by the Holder surrendering the same. </w:t>
      </w:r>
    </w:p>
    <w:p>
      <w:pPr>
        <w:pStyle w:val="TextBody"/>
        <w:bidi w:val="0"/>
        <w:spacing w:before="240" w:after="0"/>
        <w:jc w:val="both"/>
        <w:rPr>
          <w:rFonts w:ascii="Times New Roman" w:hAnsi="Times New Roman"/>
          <w:sz w:val="24"/>
        </w:rPr>
      </w:pPr>
      <w:r>
        <w:rPr>
          <w:rFonts w:ascii="Times New Roman" w:hAnsi="Times New Roman"/>
          <w:sz w:val="24"/>
        </w:rPr>
        <w:t xml:space="preserve">No service charge shall be made for any registration of transfer or exchange of Securities, but the Corporation may require payment of a sum sufficient to cover any tax or other governmental charge imposed in connection therewith, other than certain exchanges as specified in the Indenture. </w:t>
      </w:r>
    </w:p>
    <w:p>
      <w:pPr>
        <w:pStyle w:val="TextBody"/>
        <w:bidi w:val="0"/>
        <w:spacing w:before="240" w:after="0"/>
        <w:jc w:val="both"/>
        <w:rPr>
          <w:rFonts w:ascii="Times New Roman" w:hAnsi="Times New Roman"/>
          <w:sz w:val="24"/>
        </w:rPr>
      </w:pPr>
      <w:r>
        <w:rPr>
          <w:rFonts w:ascii="Times New Roman" w:hAnsi="Times New Roman"/>
          <w:sz w:val="24"/>
        </w:rPr>
        <w:t xml:space="preserve">Prior to the time of due presentment of this Security for registration of transfer, the Corporation, the Trustee and any agent of the Corporation or the Trustee may treat the Person in whose name this Security is registered as the owner hereof for all purposes, whether or not this Security be overdue, and none of the Corporation, the Trustee or any agent shall be affected by notice to the contrary. </w:t>
      </w:r>
    </w:p>
    <w:p>
      <w:pPr>
        <w:pStyle w:val="TextBody"/>
        <w:bidi w:val="0"/>
        <w:spacing w:before="240" w:after="0"/>
        <w:jc w:val="both"/>
        <w:rPr>
          <w:rFonts w:ascii="Times New Roman" w:hAnsi="Times New Roman"/>
          <w:sz w:val="24"/>
        </w:rPr>
      </w:pPr>
      <w:r>
        <w:rPr>
          <w:rFonts w:ascii="Times New Roman" w:hAnsi="Times New Roman"/>
          <w:sz w:val="24"/>
        </w:rPr>
        <w:t xml:space="preserve">Any money that the Corporation deposits with the Trustee or any Paying Agent or held by the Corporation in trust for the payment of principal of (or premium, if any) or any interest on the Securities that remains unclaimed for two years after the date upon which the principal, premium, if any, or interest are due and payable, will be repaid to the Corporation upon the Corporation’s request subject to the mandatory provisions of any applicable unclaimed property law. After that time, unless otherwise required by mandatory provisions of any unclaimed property law, the Holder will be able to seek any payment to which that Holder may be entitled to collect only from the Corporation. </w:t>
      </w:r>
    </w:p>
    <w:p>
      <w:pPr>
        <w:pStyle w:val="TextBody"/>
        <w:bidi w:val="0"/>
        <w:spacing w:before="240" w:after="0"/>
        <w:jc w:val="both"/>
        <w:rPr>
          <w:rFonts w:ascii="Times New Roman" w:hAnsi="Times New Roman"/>
          <w:sz w:val="24"/>
        </w:rPr>
      </w:pPr>
      <w:r>
        <w:rPr>
          <w:rFonts w:ascii="Times New Roman" w:hAnsi="Times New Roman"/>
          <w:sz w:val="24"/>
        </w:rPr>
        <w:t xml:space="preserve">The Corporation’s obligation to pay the principal of (or premium, if any) and interest on the Securities will cease if the Securities are not presented for payment within a period of ten years and a claim for interest is not made within five years from the date on which such principal, premium, if any, or interest, as the case may be, becomes due and payable. </w:t>
      </w:r>
    </w:p>
    <w:p>
      <w:pPr>
        <w:pStyle w:val="TextBody"/>
        <w:bidi w:val="0"/>
        <w:spacing w:before="240" w:after="0"/>
        <w:jc w:val="both"/>
        <w:rPr>
          <w:rFonts w:ascii="Times New Roman" w:hAnsi="Times New Roman"/>
          <w:sz w:val="24"/>
        </w:rPr>
      </w:pPr>
      <w:r>
        <w:rPr>
          <w:rFonts w:ascii="Times New Roman" w:hAnsi="Times New Roman"/>
          <w:sz w:val="24"/>
        </w:rPr>
        <w:t xml:space="preserve">The Indenture and this Security shall be governed by and construed in accordance with the laws of the State of New York. The exercise, performance or discharge by the Canadian Trustee of any of its rights, powers, duties or responsibilities thereunder shall be construed in accordance with the laws of the Province of Ontario and the federal laws of Canada applicable thereto. </w:t>
      </w:r>
    </w:p>
    <w:p>
      <w:pPr>
        <w:pStyle w:val="TextBody"/>
        <w:bidi w:val="0"/>
        <w:spacing w:before="240" w:after="0"/>
        <w:jc w:val="both"/>
        <w:rPr>
          <w:rFonts w:ascii="Times New Roman" w:hAnsi="Times New Roman"/>
          <w:sz w:val="24"/>
        </w:rPr>
      </w:pPr>
      <w:r>
        <w:rPr>
          <w:rFonts w:ascii="Times New Roman" w:hAnsi="Times New Roman"/>
          <w:sz w:val="24"/>
        </w:rPr>
        <w:t xml:space="preserve">All terms used in this Security which are defined in the Indenture shall have the meanings assigned to them in the Indenture.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162</Pages>
  <Words>71929</Words>
  <Characters>367564</Characters>
  <CharactersWithSpaces>440620</CharactersWithSpaces>
  <Paragraphs>3516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