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0001397960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THOMSON REUTERS CORP /CAN/ 001-31349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 Duncan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M5H 3H1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416 6877500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Woodbridge Company Limited</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BMO Capital Markets</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12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1000000</w:t>
            </w:r>
          </w:p>
        </w:tc>
        <w:tc>
          <w:tcPr>
            <w:tcW w:w="12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99"/>
              </w:rPr>
              <w:t>83720000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436538837</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151 West 42nd Street</w:t>
            </w:r>
          </w:p>
        </w:tc>
        <w:tc>
          <w:tcPr>
            <w:tcW w:w="12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04/17/2008</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Various. See Note</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See Note (2)</w:t>
            </w:r>
          </w:p>
        </w:tc>
        <w:tc>
          <w:tcPr>
            <w:tcW w:w="208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452082798</w:t>
            </w:r>
          </w:p>
        </w:tc>
        <w:tc>
          <w:tcPr>
            <w:tcW w:w="23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7"/>
              </w:rPr>
              <w:t>04/17/2008 See Note (2)</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w:t>
            </w:r>
          </w:p>
        </w:tc>
        <w:tc>
          <w:tcPr>
            <w:tcW w:w="210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80" w:type="dxa"/>
            <w:vAlign w:val="bottom"/>
            <w:gridSpan w:val="2"/>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The Woodbridge Company Limited (See</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Note 3)</w:t>
            </w:r>
          </w:p>
        </w:tc>
        <w:tc>
          <w:tcPr>
            <w:tcW w:w="280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03/18/2026 200000</w:t>
            </w:r>
          </w:p>
        </w:tc>
        <w:tc>
          <w:tcPr>
            <w:tcW w:w="1580" w:type="dxa"/>
            <w:vAlign w:val="bottom"/>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18817358</w:t>
            </w: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65 Queen Street West, Suite 2400</w:t>
            </w:r>
          </w:p>
        </w:tc>
        <w:tc>
          <w:tcPr>
            <w:tcW w:w="32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8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Toronto</w:t>
            </w:r>
          </w:p>
        </w:tc>
        <w:tc>
          <w:tcPr>
            <w:tcW w:w="28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A6  M5H 2M8</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The Woodbridge Company Limited (See</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Note 3)</w:t>
            </w:r>
          </w:p>
        </w:tc>
        <w:tc>
          <w:tcPr>
            <w:tcW w:w="280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03/19/2026 200000</w:t>
            </w:r>
          </w:p>
        </w:tc>
        <w:tc>
          <w:tcPr>
            <w:tcW w:w="1580" w:type="dxa"/>
            <w:vAlign w:val="bottom"/>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18651346</w:t>
            </w: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65 Queen Street West, Suite 2400</w:t>
            </w:r>
          </w:p>
        </w:tc>
        <w:tc>
          <w:tcPr>
            <w:tcW w:w="32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8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Toronto</w:t>
            </w:r>
          </w:p>
        </w:tc>
        <w:tc>
          <w:tcPr>
            <w:tcW w:w="28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A6  M5H 2M8</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The Woodbridge Company Limited (See</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Note 3)</w:t>
            </w:r>
          </w:p>
        </w:tc>
        <w:tc>
          <w:tcPr>
            <w:tcW w:w="280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03/20/2026 200000</w:t>
            </w:r>
          </w:p>
        </w:tc>
        <w:tc>
          <w:tcPr>
            <w:tcW w:w="1580" w:type="dxa"/>
            <w:vAlign w:val="bottom"/>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18580650</w:t>
            </w: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65 Queen Street West, Suite 2400</w:t>
            </w:r>
          </w:p>
        </w:tc>
        <w:tc>
          <w:tcPr>
            <w:tcW w:w="32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8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Toronto</w:t>
            </w:r>
          </w:p>
        </w:tc>
        <w:tc>
          <w:tcPr>
            <w:tcW w:w="28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A6  M5H 2M8</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60" w:hanging="1"/>
        <w:spacing w:after="0" w:line="234"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436,538,837 Common Shares of the Issuer outstanding are as of May 4, 2026. (2) April 17, 2008 refers to the date on which The Thomson Corporation completed its acquisition of Reuters Group PLC and renamed the surviving company as Thomson Reuters Corporation. Subsequent to such date, Common Shares have been (i) acquired pursuant to dividend reinvestment and other immaterial transactions; and (ii) disposed of by way of sales on the Toronto Stock Exchange ("TSX") and Nasdaq Global Select Market and in connection with the Issuer's Substantial Issuer Bid/Tender Offer in October 2018. The Issuer's announced stock consolidations also had the effect of reducing the number of Common Shares owned by the reporting person. (3) Gross proceeds from Common Shares sold on TSX have been converted to USD using an average of the CAD/USD conversion rates on the relevant date of sale as reported by the Bank of Canada.</w:t>
      </w:r>
    </w:p>
    <w:p>
      <w:pPr>
        <w:spacing w:after="0" w:line="1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05/26/2026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By: /s/ Michael Medline, Title: CEO &amp; President</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2026-05-26T17:02:50Z</dcterms:created>
  <dcterms:modified xsi:type="dcterms:W3CDTF">2026-05-26T17:02:50Z</dcterms:modified>
</cp:coreProperties>
</file>