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center"/>
        <w:rPr/>
      </w:pPr>
      <w:bookmarkStart w:id="0" w:name="tri-20260630.htm"/>
      <w:bookmarkStart w:id="1" w:name="kstri20260630"/>
      <w:bookmarkEnd w:id="0"/>
      <w:bookmarkEnd w:id="1"/>
      <w:r>
        <w:rPr/>
        <w:t> </w:t>
      </w:r>
      <w:r>
        <mc:AlternateContent>
          <mc:Choice Requires="wps">
            <w:drawing>
              <wp:anchor behindDoc="0" distT="0" distB="0" distL="0" distR="0" simplePos="0" locked="0" layoutInCell="1" allowOverlap="1" relativeHeight="30">
                <wp:simplePos x="0" y="0"/>
                <wp:positionH relativeFrom="page">
                  <wp:posOffset>-276225</wp:posOffset>
                </wp:positionH>
                <wp:positionV relativeFrom="page">
                  <wp:posOffset>0</wp:posOffset>
                </wp:positionV>
                <wp:extent cx="7560310" cy="2355850"/>
                <wp:effectExtent l="0" t="0" r="0" b="0"/>
                <wp:wrapNone/>
                <wp:docPr id="1" name="Frame40"/>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8" descr=""/>
                                          <pic:cNvPicPr>
                                            <a:picLocks noChangeAspect="1" noChangeArrowheads="1"/>
                                          </pic:cNvPicPr>
                                        </pic:nvPicPr>
                                        <pic:blipFill>
                                          <a:blip r:embed="rId2"/>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8" descr=""/>
                                    <pic:cNvPicPr>
                                      <a:picLocks noChangeAspect="1" noChangeArrowheads="1"/>
                                    </pic:cNvPicPr>
                                  </pic:nvPicPr>
                                  <pic:blipFill>
                                    <a:blip r:embed="rId3"/>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-276225</wp:posOffset>
                </wp:positionH>
                <wp:positionV relativeFrom="page">
                  <wp:posOffset>0</wp:posOffset>
                </wp:positionV>
                <wp:extent cx="7560310" cy="2355850"/>
                <wp:effectExtent l="0" t="0" r="0" b="0"/>
                <wp:wrapNone/>
                <wp:docPr id="4" name="Frame48"/>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2" descr=""/>
                                          <pic:cNvPicPr>
                                            <a:picLocks noChangeAspect="1" noChangeArrowheads="1"/>
                                          </pic:cNvPicPr>
                                        </pic:nvPicPr>
                                        <pic:blipFill>
                                          <a:blip r:embed="rId4"/>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2" descr=""/>
                                    <pic:cNvPicPr>
                                      <a:picLocks noChangeAspect="1" noChangeArrowheads="1"/>
                                    </pic:cNvPicPr>
                                  </pic:nvPicPr>
                                  <pic:blipFill>
                                    <a:blip r:embed="rId5"/>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676275</wp:posOffset>
                </wp:positionH>
                <wp:positionV relativeFrom="page">
                  <wp:posOffset>247650</wp:posOffset>
                </wp:positionV>
                <wp:extent cx="2778760" cy="137160"/>
                <wp:effectExtent l="0" t="0" r="0" b="0"/>
                <wp:wrapNone/>
                <wp:docPr id="7" name="Frame47"/>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-276225</wp:posOffset>
                </wp:positionH>
                <wp:positionV relativeFrom="page">
                  <wp:posOffset>0</wp:posOffset>
                </wp:positionV>
                <wp:extent cx="7560310" cy="2346325"/>
                <wp:effectExtent l="0" t="0" r="0" b="0"/>
                <wp:wrapNone/>
                <wp:docPr id="8" name="Frame46"/>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1" descr=""/>
                                          <pic:cNvPicPr>
                                            <a:picLocks noChangeAspect="1" noChangeArrowheads="1"/>
                                          </pic:cNvPicPr>
                                        </pic:nvPicPr>
                                        <pic:blipFill>
                                          <a:blip r:embed="rId6"/>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1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1" descr=""/>
                                    <pic:cNvPicPr>
                                      <a:picLocks noChangeAspect="1" noChangeArrowheads="1"/>
                                    </pic:cNvPicPr>
                                  </pic:nvPicPr>
                                  <pic:blipFill>
                                    <a:blip r:embed="rId7"/>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666750</wp:posOffset>
                </wp:positionH>
                <wp:positionV relativeFrom="page">
                  <wp:posOffset>247650</wp:posOffset>
                </wp:positionV>
                <wp:extent cx="2816860" cy="137160"/>
                <wp:effectExtent l="0" t="0" r="0" b="0"/>
                <wp:wrapNone/>
                <wp:docPr id="11" name="Frame45"/>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-276225</wp:posOffset>
                </wp:positionH>
                <wp:positionV relativeFrom="page">
                  <wp:posOffset>0</wp:posOffset>
                </wp:positionV>
                <wp:extent cx="7560310" cy="2355850"/>
                <wp:effectExtent l="0" t="0" r="0" b="0"/>
                <wp:wrapNone/>
                <wp:docPr id="12" name="Frame44"/>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1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0" descr=""/>
                                          <pic:cNvPicPr>
                                            <a:picLocks noChangeAspect="1" noChangeArrowheads="1"/>
                                          </pic:cNvPicPr>
                                        </pic:nvPicPr>
                                        <pic:blipFill>
                                          <a:blip r:embed="rId8"/>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1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 descr=""/>
                                    <pic:cNvPicPr>
                                      <a:picLocks noChangeAspect="1" noChangeArrowheads="1"/>
                                    </pic:cNvPicPr>
                                  </pic:nvPicPr>
                                  <pic:blipFill>
                                    <a:blip r:embed="rId9"/>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676275</wp:posOffset>
                </wp:positionH>
                <wp:positionV relativeFrom="page">
                  <wp:posOffset>247650</wp:posOffset>
                </wp:positionV>
                <wp:extent cx="2778760" cy="137160"/>
                <wp:effectExtent l="0" t="0" r="0" b="0"/>
                <wp:wrapNone/>
                <wp:docPr id="15" name="Frame43"/>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-276225</wp:posOffset>
                </wp:positionH>
                <wp:positionV relativeFrom="page">
                  <wp:posOffset>0</wp:posOffset>
                </wp:positionV>
                <wp:extent cx="7560310" cy="2346325"/>
                <wp:effectExtent l="0" t="0" r="0" b="0"/>
                <wp:wrapNone/>
                <wp:docPr id="16" name="Frame42"/>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1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9" descr=""/>
                                          <pic:cNvPicPr>
                                            <a:picLocks noChangeAspect="1" noChangeArrowheads="1"/>
                                          </pic:cNvPicPr>
                                        </pic:nvPicPr>
                                        <pic:blipFill>
                                          <a:blip r:embed="rId10"/>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1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9" descr=""/>
                                    <pic:cNvPicPr>
                                      <a:picLocks noChangeAspect="1" noChangeArrowheads="1"/>
                                    </pic:cNvPicPr>
                                  </pic:nvPicPr>
                                  <pic:blipFill>
                                    <a:blip r:embed="rId11"/>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666750</wp:posOffset>
                </wp:positionH>
                <wp:positionV relativeFrom="page">
                  <wp:posOffset>247650</wp:posOffset>
                </wp:positionV>
                <wp:extent cx="2816860" cy="137160"/>
                <wp:effectExtent l="0" t="0" r="0" b="0"/>
                <wp:wrapNone/>
                <wp:docPr id="19" name="Frame41"/>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666750</wp:posOffset>
                </wp:positionH>
                <wp:positionV relativeFrom="page">
                  <wp:posOffset>247650</wp:posOffset>
                </wp:positionV>
                <wp:extent cx="2816860" cy="137160"/>
                <wp:effectExtent l="0" t="0" r="0" b="0"/>
                <wp:wrapNone/>
                <wp:docPr id="20" name="Frame49"/>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676275</wp:posOffset>
                </wp:positionH>
                <wp:positionV relativeFrom="page">
                  <wp:posOffset>247650</wp:posOffset>
                </wp:positionV>
                <wp:extent cx="2778760" cy="137160"/>
                <wp:effectExtent l="0" t="0" r="0" b="0"/>
                <wp:wrapNone/>
                <wp:docPr id="21" name="Frame39"/>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-276225</wp:posOffset>
                </wp:positionH>
                <wp:positionV relativeFrom="page">
                  <wp:posOffset>0</wp:posOffset>
                </wp:positionV>
                <wp:extent cx="7560310" cy="2346325"/>
                <wp:effectExtent l="0" t="0" r="0" b="0"/>
                <wp:wrapNone/>
                <wp:docPr id="22" name="Frame38"/>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2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7" descr=""/>
                                          <pic:cNvPicPr>
                                            <a:picLocks noChangeAspect="1" noChangeArrowheads="1"/>
                                          </pic:cNvPicPr>
                                        </pic:nvPicPr>
                                        <pic:blipFill>
                                          <a:blip r:embed="rId12"/>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2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7" descr=""/>
                                    <pic:cNvPicPr>
                                      <a:picLocks noChangeAspect="1" noChangeArrowheads="1"/>
                                    </pic:cNvPicPr>
                                  </pic:nvPicPr>
                                  <pic:blipFill>
                                    <a:blip r:embed="rId13"/>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666750</wp:posOffset>
                </wp:positionH>
                <wp:positionV relativeFrom="page">
                  <wp:posOffset>247650</wp:posOffset>
                </wp:positionV>
                <wp:extent cx="2816860" cy="137160"/>
                <wp:effectExtent l="0" t="0" r="0" b="0"/>
                <wp:wrapNone/>
                <wp:docPr id="25" name="Frame37"/>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-276225</wp:posOffset>
                </wp:positionH>
                <wp:positionV relativeFrom="page">
                  <wp:posOffset>0</wp:posOffset>
                </wp:positionV>
                <wp:extent cx="7560310" cy="2355850"/>
                <wp:effectExtent l="0" t="0" r="0" b="0"/>
                <wp:wrapNone/>
                <wp:docPr id="26" name="Frame36"/>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14"/>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15"/>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676275</wp:posOffset>
                </wp:positionH>
                <wp:positionV relativeFrom="page">
                  <wp:posOffset>247650</wp:posOffset>
                </wp:positionV>
                <wp:extent cx="2778760" cy="137160"/>
                <wp:effectExtent l="0" t="0" r="0" b="0"/>
                <wp:wrapNone/>
                <wp:docPr id="29" name="Frame35"/>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-276225</wp:posOffset>
                </wp:positionH>
                <wp:positionV relativeFrom="page">
                  <wp:posOffset>0</wp:posOffset>
                </wp:positionV>
                <wp:extent cx="7560310" cy="2346325"/>
                <wp:effectExtent l="0" t="0" r="0" b="0"/>
                <wp:wrapNone/>
                <wp:docPr id="30" name="Frame34"/>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16"/>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17"/>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666750</wp:posOffset>
                </wp:positionH>
                <wp:positionV relativeFrom="page">
                  <wp:posOffset>247650</wp:posOffset>
                </wp:positionV>
                <wp:extent cx="2816860" cy="137160"/>
                <wp:effectExtent l="0" t="0" r="0" b="0"/>
                <wp:wrapNone/>
                <wp:docPr id="33" name="Frame33"/>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-276225</wp:posOffset>
                </wp:positionH>
                <wp:positionV relativeFrom="page">
                  <wp:posOffset>0</wp:posOffset>
                </wp:positionV>
                <wp:extent cx="7560310" cy="2355850"/>
                <wp:effectExtent l="0" t="0" r="0" b="0"/>
                <wp:wrapNone/>
                <wp:docPr id="34" name="Frame32"/>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18"/>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19"/>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-276225</wp:posOffset>
                </wp:positionH>
                <wp:positionV relativeFrom="page">
                  <wp:posOffset>0</wp:posOffset>
                </wp:positionV>
                <wp:extent cx="7560310" cy="2346325"/>
                <wp:effectExtent l="0" t="0" r="0" b="0"/>
                <wp:wrapNone/>
                <wp:docPr id="37" name="Frame50"/>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20"/>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21"/>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676275</wp:posOffset>
                </wp:positionH>
                <wp:positionV relativeFrom="page">
                  <wp:posOffset>247650</wp:posOffset>
                </wp:positionV>
                <wp:extent cx="2778760" cy="137160"/>
                <wp:effectExtent l="0" t="0" r="0" b="0"/>
                <wp:wrapNone/>
                <wp:docPr id="40" name="Frame51"/>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-276225</wp:posOffset>
                </wp:positionH>
                <wp:positionV relativeFrom="page">
                  <wp:posOffset>0</wp:posOffset>
                </wp:positionV>
                <wp:extent cx="7560310" cy="2355850"/>
                <wp:effectExtent l="0" t="0" r="0" b="0"/>
                <wp:wrapNone/>
                <wp:docPr id="41" name="Frame52"/>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22"/>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4" descr=""/>
                                    <pic:cNvPicPr>
                                      <a:picLocks noChangeAspect="1" noChangeArrowheads="1"/>
                                    </pic:cNvPicPr>
                                  </pic:nvPicPr>
                                  <pic:blipFill>
                                    <a:blip r:embed="rId23"/>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666750</wp:posOffset>
                </wp:positionH>
                <wp:positionV relativeFrom="page">
                  <wp:posOffset>247650</wp:posOffset>
                </wp:positionV>
                <wp:extent cx="2816860" cy="137160"/>
                <wp:effectExtent l="0" t="0" r="0" b="0"/>
                <wp:wrapNone/>
                <wp:docPr id="44" name="Frame53"/>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-276225</wp:posOffset>
                </wp:positionH>
                <wp:positionV relativeFrom="page">
                  <wp:posOffset>0</wp:posOffset>
                </wp:positionV>
                <wp:extent cx="7560310" cy="2346325"/>
                <wp:effectExtent l="0" t="0" r="0" b="0"/>
                <wp:wrapNone/>
                <wp:docPr id="45" name="Frame54"/>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24"/>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4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5" descr=""/>
                                    <pic:cNvPicPr>
                                      <a:picLocks noChangeAspect="1" noChangeArrowheads="1"/>
                                    </pic:cNvPicPr>
                                  </pic:nvPicPr>
                                  <pic:blipFill>
                                    <a:blip r:embed="rId25"/>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676275</wp:posOffset>
                </wp:positionH>
                <wp:positionV relativeFrom="page">
                  <wp:posOffset>247650</wp:posOffset>
                </wp:positionV>
                <wp:extent cx="2778760" cy="137160"/>
                <wp:effectExtent l="0" t="0" r="0" b="0"/>
                <wp:wrapNone/>
                <wp:docPr id="48" name="Frame55"/>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-276225</wp:posOffset>
                </wp:positionH>
                <wp:positionV relativeFrom="page">
                  <wp:posOffset>0</wp:posOffset>
                </wp:positionV>
                <wp:extent cx="7560310" cy="2355850"/>
                <wp:effectExtent l="0" t="0" r="0" b="0"/>
                <wp:wrapNone/>
                <wp:docPr id="49" name="Frame56"/>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5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6" descr=""/>
                                          <pic:cNvPicPr>
                                            <a:picLocks noChangeAspect="1" noChangeArrowheads="1"/>
                                          </pic:cNvPicPr>
                                        </pic:nvPicPr>
                                        <pic:blipFill>
                                          <a:blip r:embed="rId26"/>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5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6" descr=""/>
                                    <pic:cNvPicPr>
                                      <a:picLocks noChangeAspect="1" noChangeArrowheads="1"/>
                                    </pic:cNvPicPr>
                                  </pic:nvPicPr>
                                  <pic:blipFill>
                                    <a:blip r:embed="rId27"/>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666750</wp:posOffset>
                </wp:positionH>
                <wp:positionV relativeFrom="page">
                  <wp:posOffset>247650</wp:posOffset>
                </wp:positionV>
                <wp:extent cx="2816860" cy="137160"/>
                <wp:effectExtent l="0" t="0" r="0" b="0"/>
                <wp:wrapNone/>
                <wp:docPr id="52" name="Frame57"/>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-276225</wp:posOffset>
                </wp:positionH>
                <wp:positionV relativeFrom="page">
                  <wp:posOffset>0</wp:posOffset>
                </wp:positionV>
                <wp:extent cx="7560310" cy="2346325"/>
                <wp:effectExtent l="0" t="0" r="0" b="0"/>
                <wp:wrapNone/>
                <wp:docPr id="53" name="Frame58"/>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5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7" descr=""/>
                                          <pic:cNvPicPr>
                                            <a:picLocks noChangeAspect="1" noChangeArrowheads="1"/>
                                          </pic:cNvPicPr>
                                        </pic:nvPicPr>
                                        <pic:blipFill>
                                          <a:blip r:embed="rId28"/>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5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7" descr=""/>
                                    <pic:cNvPicPr>
                                      <a:picLocks noChangeAspect="1" noChangeArrowheads="1"/>
                                    </pic:cNvPicPr>
                                  </pic:nvPicPr>
                                  <pic:blipFill>
                                    <a:blip r:embed="rId29"/>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676275</wp:posOffset>
                </wp:positionH>
                <wp:positionV relativeFrom="page">
                  <wp:posOffset>247650</wp:posOffset>
                </wp:positionV>
                <wp:extent cx="2778760" cy="137160"/>
                <wp:effectExtent l="0" t="0" r="0" b="0"/>
                <wp:wrapNone/>
                <wp:docPr id="56" name="Frame59"/>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-276225</wp:posOffset>
                </wp:positionH>
                <wp:positionV relativeFrom="page">
                  <wp:posOffset>0</wp:posOffset>
                </wp:positionV>
                <wp:extent cx="7560310" cy="2355850"/>
                <wp:effectExtent l="0" t="0" r="0" b="0"/>
                <wp:wrapNone/>
                <wp:docPr id="57" name="Frame60"/>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5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8" descr=""/>
                                          <pic:cNvPicPr>
                                            <a:picLocks noChangeAspect="1" noChangeArrowheads="1"/>
                                          </pic:cNvPicPr>
                                        </pic:nvPicPr>
                                        <pic:blipFill>
                                          <a:blip r:embed="rId30"/>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5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8" descr=""/>
                                    <pic:cNvPicPr>
                                      <a:picLocks noChangeAspect="1" noChangeArrowheads="1"/>
                                    </pic:cNvPicPr>
                                  </pic:nvPicPr>
                                  <pic:blipFill>
                                    <a:blip r:embed="rId31"/>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666750</wp:posOffset>
                </wp:positionH>
                <wp:positionV relativeFrom="page">
                  <wp:posOffset>247650</wp:posOffset>
                </wp:positionV>
                <wp:extent cx="2816860" cy="137160"/>
                <wp:effectExtent l="0" t="0" r="0" b="0"/>
                <wp:wrapNone/>
                <wp:docPr id="60" name="Frame61"/>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-276225</wp:posOffset>
                </wp:positionH>
                <wp:positionV relativeFrom="page">
                  <wp:posOffset>0</wp:posOffset>
                </wp:positionV>
                <wp:extent cx="7560310" cy="2346325"/>
                <wp:effectExtent l="0" t="0" r="0" b="0"/>
                <wp:wrapNone/>
                <wp:docPr id="61" name="Frame62"/>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6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9" descr=""/>
                                          <pic:cNvPicPr>
                                            <a:picLocks noChangeAspect="1" noChangeArrowheads="1"/>
                                          </pic:cNvPicPr>
                                        </pic:nvPicPr>
                                        <pic:blipFill>
                                          <a:blip r:embed="rId32"/>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6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9" descr=""/>
                                    <pic:cNvPicPr>
                                      <a:picLocks noChangeAspect="1" noChangeArrowheads="1"/>
                                    </pic:cNvPicPr>
                                  </pic:nvPicPr>
                                  <pic:blipFill>
                                    <a:blip r:embed="rId33"/>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676275</wp:posOffset>
                </wp:positionH>
                <wp:positionV relativeFrom="page">
                  <wp:posOffset>247650</wp:posOffset>
                </wp:positionV>
                <wp:extent cx="2778760" cy="137160"/>
                <wp:effectExtent l="0" t="0" r="0" b="0"/>
                <wp:wrapNone/>
                <wp:docPr id="64" name="Frame63"/>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-276225</wp:posOffset>
                </wp:positionH>
                <wp:positionV relativeFrom="page">
                  <wp:posOffset>0</wp:posOffset>
                </wp:positionV>
                <wp:extent cx="7560310" cy="2355850"/>
                <wp:effectExtent l="0" t="0" r="0" b="0"/>
                <wp:wrapNone/>
                <wp:docPr id="65" name="Frame64"/>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6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0" descr=""/>
                                          <pic:cNvPicPr>
                                            <a:picLocks noChangeAspect="1" noChangeArrowheads="1"/>
                                          </pic:cNvPicPr>
                                        </pic:nvPicPr>
                                        <pic:blipFill>
                                          <a:blip r:embed="rId34"/>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6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0" descr=""/>
                                    <pic:cNvPicPr>
                                      <a:picLocks noChangeAspect="1" noChangeArrowheads="1"/>
                                    </pic:cNvPicPr>
                                  </pic:nvPicPr>
                                  <pic:blipFill>
                                    <a:blip r:embed="rId35"/>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-276225</wp:posOffset>
                </wp:positionH>
                <wp:positionV relativeFrom="page">
                  <wp:posOffset>0</wp:posOffset>
                </wp:positionV>
                <wp:extent cx="7560310" cy="2355850"/>
                <wp:effectExtent l="0" t="0" r="0" b="0"/>
                <wp:wrapNone/>
                <wp:docPr id="68" name="Frame16"/>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6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6" descr=""/>
                                          <pic:cNvPicPr>
                                            <a:picLocks noChangeAspect="1" noChangeArrowheads="1"/>
                                          </pic:cNvPicPr>
                                        </pic:nvPicPr>
                                        <pic:blipFill>
                                          <a:blip r:embed="rId36"/>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7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6" descr=""/>
                                    <pic:cNvPicPr>
                                      <a:picLocks noChangeAspect="1" noChangeArrowheads="1"/>
                                    </pic:cNvPicPr>
                                  </pic:nvPicPr>
                                  <pic:blipFill>
                                    <a:blip r:embed="rId37"/>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428625</wp:posOffset>
                </wp:positionH>
                <wp:positionV relativeFrom="page">
                  <wp:posOffset>552450</wp:posOffset>
                </wp:positionV>
                <wp:extent cx="6355715" cy="175260"/>
                <wp:effectExtent l="0" t="0" r="0" b="0"/>
                <wp:wrapNone/>
                <wp:docPr id="71" name="Frame1"/>
                <a:graphic xmlns:a="http://schemas.openxmlformats.org/drawingml/2006/main">
                  <a:graphicData uri="http://schemas.microsoft.com/office/word/2010/wordprocessingShape">
                    <wps:wsp>
                      <wps:cNvSpPr txBox="1"/>
                      <wps:spPr>
                        <a:xfrm>
                          <a:off x="0" y="0"/>
                          <a:ext cx="635571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0.45pt;height:13.8pt;mso-wrap-distance-left:0pt;mso-wrap-distance-right:0pt;mso-wrap-distance-top:0pt;mso-wrap-distance-bottom:0pt;margin-top:43.5pt;mso-position-vertical-relative:page;margin-left:33.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457200</wp:posOffset>
                </wp:positionH>
                <wp:positionV relativeFrom="page">
                  <wp:posOffset>8114030</wp:posOffset>
                </wp:positionV>
                <wp:extent cx="6403340" cy="175260"/>
                <wp:effectExtent l="0" t="0" r="0" b="0"/>
                <wp:wrapNone/>
                <wp:docPr id="72" name="Frame2"/>
                <a:graphic xmlns:a="http://schemas.openxmlformats.org/drawingml/2006/main">
                  <a:graphicData uri="http://schemas.microsoft.com/office/word/2010/wordprocessingShape">
                    <wps:wsp>
                      <wps:cNvSpPr txBox="1"/>
                      <wps:spPr>
                        <a:xfrm>
                          <a:off x="0" y="0"/>
                          <a:ext cx="640334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4.2pt;height:13.8pt;mso-wrap-distance-left:0pt;mso-wrap-distance-right:0pt;mso-wrap-distance-top:0pt;mso-wrap-distance-bottom:0pt;margin-top:638.9pt;mso-position-vertical-relative:page;margin-left:3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676275</wp:posOffset>
                </wp:positionH>
                <wp:positionV relativeFrom="page">
                  <wp:posOffset>247650</wp:posOffset>
                </wp:positionV>
                <wp:extent cx="2778760" cy="137160"/>
                <wp:effectExtent l="0" t="0" r="0" b="0"/>
                <wp:wrapNone/>
                <wp:docPr id="73" name="Frame3"/>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-276225</wp:posOffset>
                </wp:positionH>
                <wp:positionV relativeFrom="page">
                  <wp:posOffset>0</wp:posOffset>
                </wp:positionV>
                <wp:extent cx="7560310" cy="2355850"/>
                <wp:effectExtent l="0" t="0" r="0" b="0"/>
                <wp:wrapNone/>
                <wp:docPr id="74" name="Frame4"/>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7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 descr=""/>
                                          <pic:cNvPicPr>
                                            <a:picLocks noChangeAspect="1" noChangeArrowheads="1"/>
                                          </pic:cNvPicPr>
                                        </pic:nvPicPr>
                                        <pic:blipFill>
                                          <a:blip r:embed="rId38"/>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7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 descr=""/>
                                    <pic:cNvPicPr>
                                      <a:picLocks noChangeAspect="1" noChangeArrowheads="1"/>
                                    </pic:cNvPicPr>
                                  </pic:nvPicPr>
                                  <pic:blipFill>
                                    <a:blip r:embed="rId39"/>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666750</wp:posOffset>
                </wp:positionH>
                <wp:positionV relativeFrom="page">
                  <wp:posOffset>247650</wp:posOffset>
                </wp:positionV>
                <wp:extent cx="2816860" cy="137160"/>
                <wp:effectExtent l="0" t="0" r="0" b="0"/>
                <wp:wrapNone/>
                <wp:docPr id="77" name="Frame5"/>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-276225</wp:posOffset>
                </wp:positionH>
                <wp:positionV relativeFrom="page">
                  <wp:posOffset>0</wp:posOffset>
                </wp:positionV>
                <wp:extent cx="7560310" cy="2346325"/>
                <wp:effectExtent l="0" t="0" r="0" b="0"/>
                <wp:wrapNone/>
                <wp:docPr id="78" name="Frame6"/>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7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 descr=""/>
                                          <pic:cNvPicPr>
                                            <a:picLocks noChangeAspect="1" noChangeArrowheads="1"/>
                                          </pic:cNvPicPr>
                                        </pic:nvPicPr>
                                        <pic:blipFill>
                                          <a:blip r:embed="rId40"/>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8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 descr=""/>
                                    <pic:cNvPicPr>
                                      <a:picLocks noChangeAspect="1" noChangeArrowheads="1"/>
                                    </pic:cNvPicPr>
                                  </pic:nvPicPr>
                                  <pic:blipFill>
                                    <a:blip r:embed="rId41"/>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676275</wp:posOffset>
                </wp:positionH>
                <wp:positionV relativeFrom="page">
                  <wp:posOffset>247650</wp:posOffset>
                </wp:positionV>
                <wp:extent cx="2778760" cy="137160"/>
                <wp:effectExtent l="0" t="0" r="0" b="0"/>
                <wp:wrapNone/>
                <wp:docPr id="81" name="Frame7"/>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-276225</wp:posOffset>
                </wp:positionH>
                <wp:positionV relativeFrom="page">
                  <wp:posOffset>0</wp:posOffset>
                </wp:positionV>
                <wp:extent cx="7560310" cy="2355850"/>
                <wp:effectExtent l="0" t="0" r="0" b="0"/>
                <wp:wrapNone/>
                <wp:docPr id="82" name="Frame8"/>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8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 descr=""/>
                                          <pic:cNvPicPr>
                                            <a:picLocks noChangeAspect="1" noChangeArrowheads="1"/>
                                          </pic:cNvPicPr>
                                        </pic:nvPicPr>
                                        <pic:blipFill>
                                          <a:blip r:embed="rId42"/>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8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 descr=""/>
                                    <pic:cNvPicPr>
                                      <a:picLocks noChangeAspect="1" noChangeArrowheads="1"/>
                                    </pic:cNvPicPr>
                                  </pic:nvPicPr>
                                  <pic:blipFill>
                                    <a:blip r:embed="rId43"/>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666750</wp:posOffset>
                </wp:positionH>
                <wp:positionV relativeFrom="page">
                  <wp:posOffset>247650</wp:posOffset>
                </wp:positionV>
                <wp:extent cx="2816860" cy="137160"/>
                <wp:effectExtent l="0" t="0" r="0" b="0"/>
                <wp:wrapNone/>
                <wp:docPr id="85" name="Frame9"/>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-276225</wp:posOffset>
                </wp:positionH>
                <wp:positionV relativeFrom="page">
                  <wp:posOffset>0</wp:posOffset>
                </wp:positionV>
                <wp:extent cx="7560310" cy="2346325"/>
                <wp:effectExtent l="0" t="0" r="0" b="0"/>
                <wp:wrapNone/>
                <wp:docPr id="86" name="Frame10"/>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8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3" descr=""/>
                                          <pic:cNvPicPr>
                                            <a:picLocks noChangeAspect="1" noChangeArrowheads="1"/>
                                          </pic:cNvPicPr>
                                        </pic:nvPicPr>
                                        <pic:blipFill>
                                          <a:blip r:embed="rId44"/>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8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3" descr=""/>
                                    <pic:cNvPicPr>
                                      <a:picLocks noChangeAspect="1" noChangeArrowheads="1"/>
                                    </pic:cNvPicPr>
                                  </pic:nvPicPr>
                                  <pic:blipFill>
                                    <a:blip r:embed="rId45"/>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676275</wp:posOffset>
                </wp:positionH>
                <wp:positionV relativeFrom="page">
                  <wp:posOffset>247650</wp:posOffset>
                </wp:positionV>
                <wp:extent cx="2778760" cy="137160"/>
                <wp:effectExtent l="0" t="0" r="0" b="0"/>
                <wp:wrapNone/>
                <wp:docPr id="89" name="Frame11"/>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-276225</wp:posOffset>
                </wp:positionH>
                <wp:positionV relativeFrom="page">
                  <wp:posOffset>0</wp:posOffset>
                </wp:positionV>
                <wp:extent cx="7560310" cy="2355850"/>
                <wp:effectExtent l="0" t="0" r="0" b="0"/>
                <wp:wrapNone/>
                <wp:docPr id="90" name="Frame12"/>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9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4" descr=""/>
                                          <pic:cNvPicPr>
                                            <a:picLocks noChangeAspect="1" noChangeArrowheads="1"/>
                                          </pic:cNvPicPr>
                                        </pic:nvPicPr>
                                        <pic:blipFill>
                                          <a:blip r:embed="rId46"/>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9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4" descr=""/>
                                    <pic:cNvPicPr>
                                      <a:picLocks noChangeAspect="1" noChangeArrowheads="1"/>
                                    </pic:cNvPicPr>
                                  </pic:nvPicPr>
                                  <pic:blipFill>
                                    <a:blip r:embed="rId47"/>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666750</wp:posOffset>
                </wp:positionH>
                <wp:positionV relativeFrom="page">
                  <wp:posOffset>247650</wp:posOffset>
                </wp:positionV>
                <wp:extent cx="2816860" cy="137160"/>
                <wp:effectExtent l="0" t="0" r="0" b="0"/>
                <wp:wrapNone/>
                <wp:docPr id="93" name="Frame13"/>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-276225</wp:posOffset>
                </wp:positionH>
                <wp:positionV relativeFrom="page">
                  <wp:posOffset>0</wp:posOffset>
                </wp:positionV>
                <wp:extent cx="7560310" cy="2346325"/>
                <wp:effectExtent l="0" t="0" r="0" b="0"/>
                <wp:wrapNone/>
                <wp:docPr id="94" name="Frame14"/>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9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5" descr=""/>
                                          <pic:cNvPicPr>
                                            <a:picLocks noChangeAspect="1" noChangeArrowheads="1"/>
                                          </pic:cNvPicPr>
                                        </pic:nvPicPr>
                                        <pic:blipFill>
                                          <a:blip r:embed="rId48"/>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9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5" descr=""/>
                                    <pic:cNvPicPr>
                                      <a:picLocks noChangeAspect="1" noChangeArrowheads="1"/>
                                    </pic:cNvPicPr>
                                  </pic:nvPicPr>
                                  <pic:blipFill>
                                    <a:blip r:embed="rId49"/>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676275</wp:posOffset>
                </wp:positionH>
                <wp:positionV relativeFrom="page">
                  <wp:posOffset>247650</wp:posOffset>
                </wp:positionV>
                <wp:extent cx="2778760" cy="137160"/>
                <wp:effectExtent l="0" t="0" r="0" b="0"/>
                <wp:wrapNone/>
                <wp:docPr id="97" name="Frame15"/>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666750</wp:posOffset>
                </wp:positionH>
                <wp:positionV relativeFrom="page">
                  <wp:posOffset>247650</wp:posOffset>
                </wp:positionV>
                <wp:extent cx="2816860" cy="137160"/>
                <wp:effectExtent l="0" t="0" r="0" b="0"/>
                <wp:wrapNone/>
                <wp:docPr id="98" name="Frame65"/>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666750</wp:posOffset>
                </wp:positionH>
                <wp:positionV relativeFrom="page">
                  <wp:posOffset>247650</wp:posOffset>
                </wp:positionV>
                <wp:extent cx="2816860" cy="137160"/>
                <wp:effectExtent l="0" t="0" r="0" b="0"/>
                <wp:wrapNone/>
                <wp:docPr id="99" name="Frame17"/>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-276225</wp:posOffset>
                </wp:positionH>
                <wp:positionV relativeFrom="page">
                  <wp:posOffset>0</wp:posOffset>
                </wp:positionV>
                <wp:extent cx="7560310" cy="2346325"/>
                <wp:effectExtent l="0" t="0" r="0" b="0"/>
                <wp:wrapNone/>
                <wp:docPr id="100" name="Frame18"/>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10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7" descr=""/>
                                          <pic:cNvPicPr>
                                            <a:picLocks noChangeAspect="1" noChangeArrowheads="1"/>
                                          </pic:cNvPicPr>
                                        </pic:nvPicPr>
                                        <pic:blipFill>
                                          <a:blip r:embed="rId50"/>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10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7" descr=""/>
                                    <pic:cNvPicPr>
                                      <a:picLocks noChangeAspect="1" noChangeArrowheads="1"/>
                                    </pic:cNvPicPr>
                                  </pic:nvPicPr>
                                  <pic:blipFill>
                                    <a:blip r:embed="rId51"/>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676275</wp:posOffset>
                </wp:positionH>
                <wp:positionV relativeFrom="page">
                  <wp:posOffset>247650</wp:posOffset>
                </wp:positionV>
                <wp:extent cx="2778760" cy="137160"/>
                <wp:effectExtent l="0" t="0" r="0" b="0"/>
                <wp:wrapNone/>
                <wp:docPr id="103" name="Frame19"/>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-276225</wp:posOffset>
                </wp:positionH>
                <wp:positionV relativeFrom="page">
                  <wp:posOffset>0</wp:posOffset>
                </wp:positionV>
                <wp:extent cx="7560310" cy="2355850"/>
                <wp:effectExtent l="0" t="0" r="0" b="0"/>
                <wp:wrapNone/>
                <wp:docPr id="104" name="Frame20"/>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10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8" descr=""/>
                                          <pic:cNvPicPr>
                                            <a:picLocks noChangeAspect="1" noChangeArrowheads="1"/>
                                          </pic:cNvPicPr>
                                        </pic:nvPicPr>
                                        <pic:blipFill>
                                          <a:blip r:embed="rId52"/>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10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8" descr=""/>
                                    <pic:cNvPicPr>
                                      <a:picLocks noChangeAspect="1" noChangeArrowheads="1"/>
                                    </pic:cNvPicPr>
                                  </pic:nvPicPr>
                                  <pic:blipFill>
                                    <a:blip r:embed="rId53"/>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666750</wp:posOffset>
                </wp:positionH>
                <wp:positionV relativeFrom="page">
                  <wp:posOffset>247650</wp:posOffset>
                </wp:positionV>
                <wp:extent cx="2816860" cy="137160"/>
                <wp:effectExtent l="0" t="0" r="0" b="0"/>
                <wp:wrapNone/>
                <wp:docPr id="107" name="Frame21"/>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-276225</wp:posOffset>
                </wp:positionH>
                <wp:positionV relativeFrom="page">
                  <wp:posOffset>0</wp:posOffset>
                </wp:positionV>
                <wp:extent cx="7560310" cy="2346325"/>
                <wp:effectExtent l="0" t="0" r="0" b="0"/>
                <wp:wrapNone/>
                <wp:docPr id="108" name="Frame22"/>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10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9" descr=""/>
                                          <pic:cNvPicPr>
                                            <a:picLocks noChangeAspect="1" noChangeArrowheads="1"/>
                                          </pic:cNvPicPr>
                                        </pic:nvPicPr>
                                        <pic:blipFill>
                                          <a:blip r:embed="rId54"/>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11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9" descr=""/>
                                    <pic:cNvPicPr>
                                      <a:picLocks noChangeAspect="1" noChangeArrowheads="1"/>
                                    </pic:cNvPicPr>
                                  </pic:nvPicPr>
                                  <pic:blipFill>
                                    <a:blip r:embed="rId55"/>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676275</wp:posOffset>
                </wp:positionH>
                <wp:positionV relativeFrom="page">
                  <wp:posOffset>247650</wp:posOffset>
                </wp:positionV>
                <wp:extent cx="2778760" cy="137160"/>
                <wp:effectExtent l="0" t="0" r="0" b="0"/>
                <wp:wrapNone/>
                <wp:docPr id="111" name="Frame23"/>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-276225</wp:posOffset>
                </wp:positionH>
                <wp:positionV relativeFrom="page">
                  <wp:posOffset>0</wp:posOffset>
                </wp:positionV>
                <wp:extent cx="7560310" cy="2355850"/>
                <wp:effectExtent l="0" t="0" r="0" b="0"/>
                <wp:wrapNone/>
                <wp:docPr id="112" name="Frame24"/>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11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0" descr=""/>
                                          <pic:cNvPicPr>
                                            <a:picLocks noChangeAspect="1" noChangeArrowheads="1"/>
                                          </pic:cNvPicPr>
                                        </pic:nvPicPr>
                                        <pic:blipFill>
                                          <a:blip r:embed="rId56"/>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11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0" descr=""/>
                                    <pic:cNvPicPr>
                                      <a:picLocks noChangeAspect="1" noChangeArrowheads="1"/>
                                    </pic:cNvPicPr>
                                  </pic:nvPicPr>
                                  <pic:blipFill>
                                    <a:blip r:embed="rId57"/>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666750</wp:posOffset>
                </wp:positionH>
                <wp:positionV relativeFrom="page">
                  <wp:posOffset>247650</wp:posOffset>
                </wp:positionV>
                <wp:extent cx="2816860" cy="137160"/>
                <wp:effectExtent l="0" t="0" r="0" b="0"/>
                <wp:wrapNone/>
                <wp:docPr id="115" name="Frame25"/>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-276225</wp:posOffset>
                </wp:positionH>
                <wp:positionV relativeFrom="page">
                  <wp:posOffset>0</wp:posOffset>
                </wp:positionV>
                <wp:extent cx="7560310" cy="2346325"/>
                <wp:effectExtent l="0" t="0" r="0" b="0"/>
                <wp:wrapNone/>
                <wp:docPr id="116" name="Frame26"/>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11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1" descr=""/>
                                          <pic:cNvPicPr>
                                            <a:picLocks noChangeAspect="1" noChangeArrowheads="1"/>
                                          </pic:cNvPicPr>
                                        </pic:nvPicPr>
                                        <pic:blipFill>
                                          <a:blip r:embed="rId58"/>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11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1" descr=""/>
                                    <pic:cNvPicPr>
                                      <a:picLocks noChangeAspect="1" noChangeArrowheads="1"/>
                                    </pic:cNvPicPr>
                                  </pic:nvPicPr>
                                  <pic:blipFill>
                                    <a:blip r:embed="rId59"/>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676275</wp:posOffset>
                </wp:positionH>
                <wp:positionV relativeFrom="page">
                  <wp:posOffset>247650</wp:posOffset>
                </wp:positionV>
                <wp:extent cx="2778760" cy="137160"/>
                <wp:effectExtent l="0" t="0" r="0" b="0"/>
                <wp:wrapNone/>
                <wp:docPr id="119" name="Frame27"/>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-276225</wp:posOffset>
                </wp:positionH>
                <wp:positionV relativeFrom="page">
                  <wp:posOffset>0</wp:posOffset>
                </wp:positionV>
                <wp:extent cx="7560310" cy="2355850"/>
                <wp:effectExtent l="0" t="0" r="0" b="0"/>
                <wp:wrapNone/>
                <wp:docPr id="120" name="Frame28"/>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12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2" descr=""/>
                                          <pic:cNvPicPr>
                                            <a:picLocks noChangeAspect="1" noChangeArrowheads="1"/>
                                          </pic:cNvPicPr>
                                        </pic:nvPicPr>
                                        <pic:blipFill>
                                          <a:blip r:embed="rId60"/>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1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2" descr=""/>
                                    <pic:cNvPicPr>
                                      <a:picLocks noChangeAspect="1" noChangeArrowheads="1"/>
                                    </pic:cNvPicPr>
                                  </pic:nvPicPr>
                                  <pic:blipFill>
                                    <a:blip r:embed="rId61"/>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666750</wp:posOffset>
                </wp:positionH>
                <wp:positionV relativeFrom="page">
                  <wp:posOffset>247650</wp:posOffset>
                </wp:positionV>
                <wp:extent cx="2816860" cy="137160"/>
                <wp:effectExtent l="0" t="0" r="0" b="0"/>
                <wp:wrapNone/>
                <wp:docPr id="123" name="Frame29"/>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-276225</wp:posOffset>
                </wp:positionH>
                <wp:positionV relativeFrom="page">
                  <wp:posOffset>0</wp:posOffset>
                </wp:positionV>
                <wp:extent cx="7560310" cy="2346325"/>
                <wp:effectExtent l="0" t="0" r="0" b="0"/>
                <wp:wrapNone/>
                <wp:docPr id="124" name="Frame30"/>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1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3" descr=""/>
                                          <pic:cNvPicPr>
                                            <a:picLocks noChangeAspect="1" noChangeArrowheads="1"/>
                                          </pic:cNvPicPr>
                                        </pic:nvPicPr>
                                        <pic:blipFill>
                                          <a:blip r:embed="rId62"/>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1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3" descr=""/>
                                    <pic:cNvPicPr>
                                      <a:picLocks noChangeAspect="1" noChangeArrowheads="1"/>
                                    </pic:cNvPicPr>
                                  </pic:nvPicPr>
                                  <pic:blipFill>
                                    <a:blip r:embed="rId63"/>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676275</wp:posOffset>
                </wp:positionH>
                <wp:positionV relativeFrom="page">
                  <wp:posOffset>247650</wp:posOffset>
                </wp:positionV>
                <wp:extent cx="2778760" cy="137160"/>
                <wp:effectExtent l="0" t="0" r="0" b="0"/>
                <wp:wrapNone/>
                <wp:docPr id="127" name="Frame31"/>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685800</wp:posOffset>
                </wp:positionH>
                <wp:positionV relativeFrom="page">
                  <wp:posOffset>228600</wp:posOffset>
                </wp:positionV>
                <wp:extent cx="2776855" cy="137160"/>
                <wp:effectExtent l="0" t="0" r="0" b="0"/>
                <wp:wrapNone/>
                <wp:docPr id="128" name="Frame105"/>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685800</wp:posOffset>
                </wp:positionH>
                <wp:positionV relativeFrom="page">
                  <wp:posOffset>228600</wp:posOffset>
                </wp:positionV>
                <wp:extent cx="2776855" cy="137160"/>
                <wp:effectExtent l="0" t="0" r="0" b="0"/>
                <wp:wrapNone/>
                <wp:docPr id="129" name="Frame113"/>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-285750</wp:posOffset>
                </wp:positionH>
                <wp:positionV relativeFrom="page">
                  <wp:posOffset>0</wp:posOffset>
                </wp:positionV>
                <wp:extent cx="7560310" cy="664845"/>
                <wp:effectExtent l="0" t="0" r="0" b="0"/>
                <wp:wrapNone/>
                <wp:docPr id="130" name="Frame11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13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4" descr=""/>
                                          <pic:cNvPicPr>
                                            <a:picLocks noChangeAspect="1" noChangeArrowheads="1"/>
                                          </pic:cNvPicPr>
                                        </pic:nvPicPr>
                                        <pic:blipFill>
                                          <a:blip r:embed="rId64"/>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13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4" descr=""/>
                                    <pic:cNvPicPr>
                                      <a:picLocks noChangeAspect="1" noChangeArrowheads="1"/>
                                    </pic:cNvPicPr>
                                  </pic:nvPicPr>
                                  <pic:blipFill>
                                    <a:blip r:embed="rId65"/>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647700</wp:posOffset>
                </wp:positionH>
                <wp:positionV relativeFrom="page">
                  <wp:posOffset>238125</wp:posOffset>
                </wp:positionV>
                <wp:extent cx="2814955" cy="137160"/>
                <wp:effectExtent l="0" t="0" r="0" b="0"/>
                <wp:wrapNone/>
                <wp:docPr id="133" name="Frame111"/>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-276225</wp:posOffset>
                </wp:positionH>
                <wp:positionV relativeFrom="page">
                  <wp:posOffset>0</wp:posOffset>
                </wp:positionV>
                <wp:extent cx="7560310" cy="664845"/>
                <wp:effectExtent l="0" t="0" r="0" b="0"/>
                <wp:wrapNone/>
                <wp:docPr id="134" name="Frame11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13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3" descr=""/>
                                          <pic:cNvPicPr>
                                            <a:picLocks noChangeAspect="1" noChangeArrowheads="1"/>
                                          </pic:cNvPicPr>
                                        </pic:nvPicPr>
                                        <pic:blipFill>
                                          <a:blip r:embed="rId66"/>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13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3" descr=""/>
                                    <pic:cNvPicPr>
                                      <a:picLocks noChangeAspect="1" noChangeArrowheads="1"/>
                                    </pic:cNvPicPr>
                                  </pic:nvPicPr>
                                  <pic:blipFill>
                                    <a:blip r:embed="rId67"/>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685800</wp:posOffset>
                </wp:positionH>
                <wp:positionV relativeFrom="page">
                  <wp:posOffset>228600</wp:posOffset>
                </wp:positionV>
                <wp:extent cx="2776855" cy="137160"/>
                <wp:effectExtent l="0" t="0" r="0" b="0"/>
                <wp:wrapNone/>
                <wp:docPr id="137" name="Frame109"/>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-285750</wp:posOffset>
                </wp:positionH>
                <wp:positionV relativeFrom="page">
                  <wp:posOffset>0</wp:posOffset>
                </wp:positionV>
                <wp:extent cx="7560310" cy="664845"/>
                <wp:effectExtent l="0" t="0" r="0" b="0"/>
                <wp:wrapNone/>
                <wp:docPr id="138" name="Frame10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13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2" descr=""/>
                                          <pic:cNvPicPr>
                                            <a:picLocks noChangeAspect="1" noChangeArrowheads="1"/>
                                          </pic:cNvPicPr>
                                        </pic:nvPicPr>
                                        <pic:blipFill>
                                          <a:blip r:embed="rId68"/>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14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2" descr=""/>
                                    <pic:cNvPicPr>
                                      <a:picLocks noChangeAspect="1" noChangeArrowheads="1"/>
                                    </pic:cNvPicPr>
                                  </pic:nvPicPr>
                                  <pic:blipFill>
                                    <a:blip r:embed="rId69"/>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647700</wp:posOffset>
                </wp:positionH>
                <wp:positionV relativeFrom="page">
                  <wp:posOffset>238125</wp:posOffset>
                </wp:positionV>
                <wp:extent cx="2814955" cy="137160"/>
                <wp:effectExtent l="0" t="0" r="0" b="0"/>
                <wp:wrapNone/>
                <wp:docPr id="141" name="Frame107"/>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-276225</wp:posOffset>
                </wp:positionH>
                <wp:positionV relativeFrom="page">
                  <wp:posOffset>0</wp:posOffset>
                </wp:positionV>
                <wp:extent cx="7560310" cy="664845"/>
                <wp:effectExtent l="0" t="0" r="0" b="0"/>
                <wp:wrapNone/>
                <wp:docPr id="142" name="Frame10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14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1" descr=""/>
                                          <pic:cNvPicPr>
                                            <a:picLocks noChangeAspect="1" noChangeArrowheads="1"/>
                                          </pic:cNvPicPr>
                                        </pic:nvPicPr>
                                        <pic:blipFill>
                                          <a:blip r:embed="rId70"/>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14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1" descr=""/>
                                    <pic:cNvPicPr>
                                      <a:picLocks noChangeAspect="1" noChangeArrowheads="1"/>
                                    </pic:cNvPicPr>
                                  </pic:nvPicPr>
                                  <pic:blipFill>
                                    <a:blip r:embed="rId71"/>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-276225</wp:posOffset>
                </wp:positionH>
                <wp:positionV relativeFrom="page">
                  <wp:posOffset>0</wp:posOffset>
                </wp:positionV>
                <wp:extent cx="7560310" cy="664845"/>
                <wp:effectExtent l="0" t="0" r="0" b="0"/>
                <wp:wrapNone/>
                <wp:docPr id="145" name="Frame11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14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5" descr=""/>
                                          <pic:cNvPicPr>
                                            <a:picLocks noChangeAspect="1" noChangeArrowheads="1"/>
                                          </pic:cNvPicPr>
                                        </pic:nvPicPr>
                                        <pic:blipFill>
                                          <a:blip r:embed="rId72"/>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14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5" descr=""/>
                                    <pic:cNvPicPr>
                                      <a:picLocks noChangeAspect="1" noChangeArrowheads="1"/>
                                    </pic:cNvPicPr>
                                  </pic:nvPicPr>
                                  <pic:blipFill>
                                    <a:blip r:embed="rId73"/>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-285750</wp:posOffset>
                </wp:positionH>
                <wp:positionV relativeFrom="page">
                  <wp:posOffset>0</wp:posOffset>
                </wp:positionV>
                <wp:extent cx="7560310" cy="664845"/>
                <wp:effectExtent l="0" t="0" r="0" b="0"/>
                <wp:wrapNone/>
                <wp:docPr id="148" name="Frame10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14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0" descr=""/>
                                          <pic:cNvPicPr>
                                            <a:picLocks noChangeAspect="1" noChangeArrowheads="1"/>
                                          </pic:cNvPicPr>
                                        </pic:nvPicPr>
                                        <pic:blipFill>
                                          <a:blip r:embed="rId74"/>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15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0" descr=""/>
                                    <pic:cNvPicPr>
                                      <a:picLocks noChangeAspect="1" noChangeArrowheads="1"/>
                                    </pic:cNvPicPr>
                                  </pic:nvPicPr>
                                  <pic:blipFill>
                                    <a:blip r:embed="rId75"/>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647700</wp:posOffset>
                </wp:positionH>
                <wp:positionV relativeFrom="page">
                  <wp:posOffset>238125</wp:posOffset>
                </wp:positionV>
                <wp:extent cx="2814955" cy="137160"/>
                <wp:effectExtent l="0" t="0" r="0" b="0"/>
                <wp:wrapNone/>
                <wp:docPr id="151" name="Frame103"/>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-276225</wp:posOffset>
                </wp:positionH>
                <wp:positionV relativeFrom="page">
                  <wp:posOffset>0</wp:posOffset>
                </wp:positionV>
                <wp:extent cx="7560310" cy="664845"/>
                <wp:effectExtent l="0" t="0" r="0" b="0"/>
                <wp:wrapNone/>
                <wp:docPr id="152" name="Frame10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15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9" descr=""/>
                                          <pic:cNvPicPr>
                                            <a:picLocks noChangeAspect="1" noChangeArrowheads="1"/>
                                          </pic:cNvPicPr>
                                        </pic:nvPicPr>
                                        <pic:blipFill>
                                          <a:blip r:embed="rId76"/>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15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9" descr=""/>
                                    <pic:cNvPicPr>
                                      <a:picLocks noChangeAspect="1" noChangeArrowheads="1"/>
                                    </pic:cNvPicPr>
                                  </pic:nvPicPr>
                                  <pic:blipFill>
                                    <a:blip r:embed="rId77"/>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685800</wp:posOffset>
                </wp:positionH>
                <wp:positionV relativeFrom="page">
                  <wp:posOffset>228600</wp:posOffset>
                </wp:positionV>
                <wp:extent cx="2776855" cy="137160"/>
                <wp:effectExtent l="0" t="0" r="0" b="0"/>
                <wp:wrapNone/>
                <wp:docPr id="155" name="Frame101"/>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-285750</wp:posOffset>
                </wp:positionH>
                <wp:positionV relativeFrom="page">
                  <wp:posOffset>0</wp:posOffset>
                </wp:positionV>
                <wp:extent cx="7560310" cy="664845"/>
                <wp:effectExtent l="0" t="0" r="0" b="0"/>
                <wp:wrapNone/>
                <wp:docPr id="156" name="Frame10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15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8" descr=""/>
                                          <pic:cNvPicPr>
                                            <a:picLocks noChangeAspect="1" noChangeArrowheads="1"/>
                                          </pic:cNvPicPr>
                                        </pic:nvPicPr>
                                        <pic:blipFill>
                                          <a:blip r:embed="rId78"/>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1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8" descr=""/>
                                    <pic:cNvPicPr>
                                      <a:picLocks noChangeAspect="1" noChangeArrowheads="1"/>
                                    </pic:cNvPicPr>
                                  </pic:nvPicPr>
                                  <pic:blipFill>
                                    <a:blip r:embed="rId79"/>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647700</wp:posOffset>
                </wp:positionH>
                <wp:positionV relativeFrom="page">
                  <wp:posOffset>238125</wp:posOffset>
                </wp:positionV>
                <wp:extent cx="2814955" cy="137160"/>
                <wp:effectExtent l="0" t="0" r="0" b="0"/>
                <wp:wrapNone/>
                <wp:docPr id="159" name="Frame99"/>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-276225</wp:posOffset>
                </wp:positionH>
                <wp:positionV relativeFrom="page">
                  <wp:posOffset>0</wp:posOffset>
                </wp:positionV>
                <wp:extent cx="7560310" cy="664845"/>
                <wp:effectExtent l="0" t="0" r="0" b="0"/>
                <wp:wrapNone/>
                <wp:docPr id="160" name="Frame9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1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7" descr=""/>
                                          <pic:cNvPicPr>
                                            <a:picLocks noChangeAspect="1" noChangeArrowheads="1"/>
                                          </pic:cNvPicPr>
                                        </pic:nvPicPr>
                                        <pic:blipFill>
                                          <a:blip r:embed="rId80"/>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16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7" descr=""/>
                                    <pic:cNvPicPr>
                                      <a:picLocks noChangeAspect="1" noChangeArrowheads="1"/>
                                    </pic:cNvPicPr>
                                  </pic:nvPicPr>
                                  <pic:blipFill>
                                    <a:blip r:embed="rId81"/>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685800</wp:posOffset>
                </wp:positionH>
                <wp:positionV relativeFrom="page">
                  <wp:posOffset>228600</wp:posOffset>
                </wp:positionV>
                <wp:extent cx="2776855" cy="137160"/>
                <wp:effectExtent l="0" t="0" r="0" b="0"/>
                <wp:wrapNone/>
                <wp:docPr id="163" name="Frame97"/>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647700</wp:posOffset>
                </wp:positionH>
                <wp:positionV relativeFrom="page">
                  <wp:posOffset>238125</wp:posOffset>
                </wp:positionV>
                <wp:extent cx="2814955" cy="137160"/>
                <wp:effectExtent l="0" t="0" r="0" b="0"/>
                <wp:wrapNone/>
                <wp:docPr id="164" name="Frame115"/>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-285750</wp:posOffset>
                </wp:positionH>
                <wp:positionV relativeFrom="page">
                  <wp:posOffset>0</wp:posOffset>
                </wp:positionV>
                <wp:extent cx="7560310" cy="664845"/>
                <wp:effectExtent l="0" t="0" r="0" b="0"/>
                <wp:wrapNone/>
                <wp:docPr id="165" name="Frame11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1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6" descr=""/>
                                          <pic:cNvPicPr>
                                            <a:picLocks noChangeAspect="1" noChangeArrowheads="1"/>
                                          </pic:cNvPicPr>
                                        </pic:nvPicPr>
                                        <pic:blipFill>
                                          <a:blip r:embed="rId82"/>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16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6" descr=""/>
                                    <pic:cNvPicPr>
                                      <a:picLocks noChangeAspect="1" noChangeArrowheads="1"/>
                                    </pic:cNvPicPr>
                                  </pic:nvPicPr>
                                  <pic:blipFill>
                                    <a:blip r:embed="rId83"/>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685800</wp:posOffset>
                </wp:positionH>
                <wp:positionV relativeFrom="page">
                  <wp:posOffset>228600</wp:posOffset>
                </wp:positionV>
                <wp:extent cx="2776855" cy="137160"/>
                <wp:effectExtent l="0" t="0" r="0" b="0"/>
                <wp:wrapNone/>
                <wp:docPr id="168" name="Frame117"/>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page">
                  <wp:posOffset>-276225</wp:posOffset>
                </wp:positionH>
                <wp:positionV relativeFrom="page">
                  <wp:posOffset>0</wp:posOffset>
                </wp:positionV>
                <wp:extent cx="7560310" cy="664845"/>
                <wp:effectExtent l="0" t="0" r="0" b="0"/>
                <wp:wrapNone/>
                <wp:docPr id="169" name="Frame11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1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7" descr=""/>
                                          <pic:cNvPicPr>
                                            <a:picLocks noChangeAspect="1" noChangeArrowheads="1"/>
                                          </pic:cNvPicPr>
                                        </pic:nvPicPr>
                                        <pic:blipFill>
                                          <a:blip r:embed="rId84"/>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1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7" descr=""/>
                                    <pic:cNvPicPr>
                                      <a:picLocks noChangeAspect="1" noChangeArrowheads="1"/>
                                    </pic:cNvPicPr>
                                  </pic:nvPicPr>
                                  <pic:blipFill>
                                    <a:blip r:embed="rId85"/>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647700</wp:posOffset>
                </wp:positionH>
                <wp:positionV relativeFrom="page">
                  <wp:posOffset>238125</wp:posOffset>
                </wp:positionV>
                <wp:extent cx="2814955" cy="137160"/>
                <wp:effectExtent l="0" t="0" r="0" b="0"/>
                <wp:wrapNone/>
                <wp:docPr id="172" name="Frame119"/>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-285750</wp:posOffset>
                </wp:positionH>
                <wp:positionV relativeFrom="page">
                  <wp:posOffset>0</wp:posOffset>
                </wp:positionV>
                <wp:extent cx="7560310" cy="664845"/>
                <wp:effectExtent l="0" t="0" r="0" b="0"/>
                <wp:wrapNone/>
                <wp:docPr id="173" name="Frame12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1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8" descr=""/>
                                          <pic:cNvPicPr>
                                            <a:picLocks noChangeAspect="1" noChangeArrowheads="1"/>
                                          </pic:cNvPicPr>
                                        </pic:nvPicPr>
                                        <pic:blipFill>
                                          <a:blip r:embed="rId86"/>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17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8" descr=""/>
                                    <pic:cNvPicPr>
                                      <a:picLocks noChangeAspect="1" noChangeArrowheads="1"/>
                                    </pic:cNvPicPr>
                                  </pic:nvPicPr>
                                  <pic:blipFill>
                                    <a:blip r:embed="rId87"/>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685800</wp:posOffset>
                </wp:positionH>
                <wp:positionV relativeFrom="page">
                  <wp:posOffset>228600</wp:posOffset>
                </wp:positionV>
                <wp:extent cx="2776855" cy="137160"/>
                <wp:effectExtent l="0" t="0" r="0" b="0"/>
                <wp:wrapNone/>
                <wp:docPr id="176" name="Frame121"/>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page">
                  <wp:posOffset>-276225</wp:posOffset>
                </wp:positionH>
                <wp:positionV relativeFrom="page">
                  <wp:posOffset>0</wp:posOffset>
                </wp:positionV>
                <wp:extent cx="7560310" cy="664845"/>
                <wp:effectExtent l="0" t="0" r="0" b="0"/>
                <wp:wrapNone/>
                <wp:docPr id="177" name="Frame12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17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9" descr=""/>
                                          <pic:cNvPicPr>
                                            <a:picLocks noChangeAspect="1" noChangeArrowheads="1"/>
                                          </pic:cNvPicPr>
                                        </pic:nvPicPr>
                                        <pic:blipFill>
                                          <a:blip r:embed="rId88"/>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17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9" descr=""/>
                                    <pic:cNvPicPr>
                                      <a:picLocks noChangeAspect="1" noChangeArrowheads="1"/>
                                    </pic:cNvPicPr>
                                  </pic:nvPicPr>
                                  <pic:blipFill>
                                    <a:blip r:embed="rId89"/>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1">
                <wp:simplePos x="0" y="0"/>
                <wp:positionH relativeFrom="page">
                  <wp:posOffset>647700</wp:posOffset>
                </wp:positionH>
                <wp:positionV relativeFrom="page">
                  <wp:posOffset>238125</wp:posOffset>
                </wp:positionV>
                <wp:extent cx="2814955" cy="137160"/>
                <wp:effectExtent l="0" t="0" r="0" b="0"/>
                <wp:wrapNone/>
                <wp:docPr id="180" name="Frame123"/>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-285750</wp:posOffset>
                </wp:positionH>
                <wp:positionV relativeFrom="page">
                  <wp:posOffset>0</wp:posOffset>
                </wp:positionV>
                <wp:extent cx="7560310" cy="664845"/>
                <wp:effectExtent l="0" t="0" r="0" b="0"/>
                <wp:wrapNone/>
                <wp:docPr id="181" name="Frame12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18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0" descr=""/>
                                          <pic:cNvPicPr>
                                            <a:picLocks noChangeAspect="1" noChangeArrowheads="1"/>
                                          </pic:cNvPicPr>
                                        </pic:nvPicPr>
                                        <pic:blipFill>
                                          <a:blip r:embed="rId90"/>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18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0" descr=""/>
                                    <pic:cNvPicPr>
                                      <a:picLocks noChangeAspect="1" noChangeArrowheads="1"/>
                                    </pic:cNvPicPr>
                                  </pic:nvPicPr>
                                  <pic:blipFill>
                                    <a:blip r:embed="rId91"/>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685800</wp:posOffset>
                </wp:positionH>
                <wp:positionV relativeFrom="page">
                  <wp:posOffset>228600</wp:posOffset>
                </wp:positionV>
                <wp:extent cx="2776855" cy="137160"/>
                <wp:effectExtent l="0" t="0" r="0" b="0"/>
                <wp:wrapNone/>
                <wp:docPr id="184" name="Frame125"/>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-276225</wp:posOffset>
                </wp:positionH>
                <wp:positionV relativeFrom="page">
                  <wp:posOffset>0</wp:posOffset>
                </wp:positionV>
                <wp:extent cx="7560310" cy="664845"/>
                <wp:effectExtent l="0" t="0" r="0" b="0"/>
                <wp:wrapNone/>
                <wp:docPr id="185" name="Frame12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18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1" descr=""/>
                                          <pic:cNvPicPr>
                                            <a:picLocks noChangeAspect="1" noChangeArrowheads="1"/>
                                          </pic:cNvPicPr>
                                        </pic:nvPicPr>
                                        <pic:blipFill>
                                          <a:blip r:embed="rId92"/>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18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71" descr=""/>
                                    <pic:cNvPicPr>
                                      <a:picLocks noChangeAspect="1" noChangeArrowheads="1"/>
                                    </pic:cNvPicPr>
                                  </pic:nvPicPr>
                                  <pic:blipFill>
                                    <a:blip r:embed="rId93"/>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3">
                <wp:simplePos x="0" y="0"/>
                <wp:positionH relativeFrom="page">
                  <wp:posOffset>647700</wp:posOffset>
                </wp:positionH>
                <wp:positionV relativeFrom="page">
                  <wp:posOffset>238125</wp:posOffset>
                </wp:positionV>
                <wp:extent cx="2814955" cy="137160"/>
                <wp:effectExtent l="0" t="0" r="0" b="0"/>
                <wp:wrapNone/>
                <wp:docPr id="188" name="Frame127"/>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-285750</wp:posOffset>
                </wp:positionH>
                <wp:positionV relativeFrom="page">
                  <wp:posOffset>0</wp:posOffset>
                </wp:positionV>
                <wp:extent cx="7560310" cy="664845"/>
                <wp:effectExtent l="0" t="0" r="0" b="0"/>
                <wp:wrapNone/>
                <wp:docPr id="189" name="Frame12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19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72" descr=""/>
                                          <pic:cNvPicPr>
                                            <a:picLocks noChangeAspect="1" noChangeArrowheads="1"/>
                                          </pic:cNvPicPr>
                                        </pic:nvPicPr>
                                        <pic:blipFill>
                                          <a:blip r:embed="rId94"/>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19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72" descr=""/>
                                    <pic:cNvPicPr>
                                      <a:picLocks noChangeAspect="1" noChangeArrowheads="1"/>
                                    </pic:cNvPicPr>
                                  </pic:nvPicPr>
                                  <pic:blipFill>
                                    <a:blip r:embed="rId95"/>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4">
                <wp:simplePos x="0" y="0"/>
                <wp:positionH relativeFrom="page">
                  <wp:posOffset>685800</wp:posOffset>
                </wp:positionH>
                <wp:positionV relativeFrom="page">
                  <wp:posOffset>228600</wp:posOffset>
                </wp:positionV>
                <wp:extent cx="2776855" cy="137160"/>
                <wp:effectExtent l="0" t="0" r="0" b="0"/>
                <wp:wrapNone/>
                <wp:docPr id="192" name="Frame129"/>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666750</wp:posOffset>
                </wp:positionH>
                <wp:positionV relativeFrom="page">
                  <wp:posOffset>247650</wp:posOffset>
                </wp:positionV>
                <wp:extent cx="2816860" cy="137160"/>
                <wp:effectExtent l="0" t="0" r="0" b="0"/>
                <wp:wrapNone/>
                <wp:docPr id="193" name="Frame81"/>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-276225</wp:posOffset>
                </wp:positionH>
                <wp:positionV relativeFrom="page">
                  <wp:posOffset>0</wp:posOffset>
                </wp:positionV>
                <wp:extent cx="7560310" cy="2346325"/>
                <wp:effectExtent l="0" t="0" r="0" b="0"/>
                <wp:wrapNone/>
                <wp:docPr id="194" name="Frame66"/>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19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41" descr=""/>
                                          <pic:cNvPicPr>
                                            <a:picLocks noChangeAspect="1" noChangeArrowheads="1"/>
                                          </pic:cNvPicPr>
                                        </pic:nvPicPr>
                                        <pic:blipFill>
                                          <a:blip r:embed="rId96"/>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19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41" descr=""/>
                                    <pic:cNvPicPr>
                                      <a:picLocks noChangeAspect="1" noChangeArrowheads="1"/>
                                    </pic:cNvPicPr>
                                  </pic:nvPicPr>
                                  <pic:blipFill>
                                    <a:blip r:embed="rId97"/>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676275</wp:posOffset>
                </wp:positionH>
                <wp:positionV relativeFrom="page">
                  <wp:posOffset>247650</wp:posOffset>
                </wp:positionV>
                <wp:extent cx="2778760" cy="137160"/>
                <wp:effectExtent l="0" t="0" r="0" b="0"/>
                <wp:wrapNone/>
                <wp:docPr id="197" name="Frame67"/>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-276225</wp:posOffset>
                </wp:positionH>
                <wp:positionV relativeFrom="page">
                  <wp:posOffset>0</wp:posOffset>
                </wp:positionV>
                <wp:extent cx="7560310" cy="2355850"/>
                <wp:effectExtent l="0" t="0" r="0" b="0"/>
                <wp:wrapNone/>
                <wp:docPr id="198" name="Frame68"/>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19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42" descr=""/>
                                          <pic:cNvPicPr>
                                            <a:picLocks noChangeAspect="1" noChangeArrowheads="1"/>
                                          </pic:cNvPicPr>
                                        </pic:nvPicPr>
                                        <pic:blipFill>
                                          <a:blip r:embed="rId98"/>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20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42" descr=""/>
                                    <pic:cNvPicPr>
                                      <a:picLocks noChangeAspect="1" noChangeArrowheads="1"/>
                                    </pic:cNvPicPr>
                                  </pic:nvPicPr>
                                  <pic:blipFill>
                                    <a:blip r:embed="rId99"/>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666750</wp:posOffset>
                </wp:positionH>
                <wp:positionV relativeFrom="page">
                  <wp:posOffset>247650</wp:posOffset>
                </wp:positionV>
                <wp:extent cx="2816860" cy="137160"/>
                <wp:effectExtent l="0" t="0" r="0" b="0"/>
                <wp:wrapNone/>
                <wp:docPr id="201" name="Frame69"/>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-276225</wp:posOffset>
                </wp:positionH>
                <wp:positionV relativeFrom="page">
                  <wp:posOffset>0</wp:posOffset>
                </wp:positionV>
                <wp:extent cx="7560310" cy="2346325"/>
                <wp:effectExtent l="0" t="0" r="0" b="0"/>
                <wp:wrapNone/>
                <wp:docPr id="202" name="Frame70"/>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20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43" descr=""/>
                                          <pic:cNvPicPr>
                                            <a:picLocks noChangeAspect="1" noChangeArrowheads="1"/>
                                          </pic:cNvPicPr>
                                        </pic:nvPicPr>
                                        <pic:blipFill>
                                          <a:blip r:embed="rId100"/>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20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43" descr=""/>
                                    <pic:cNvPicPr>
                                      <a:picLocks noChangeAspect="1" noChangeArrowheads="1"/>
                                    </pic:cNvPicPr>
                                  </pic:nvPicPr>
                                  <pic:blipFill>
                                    <a:blip r:embed="rId101"/>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676275</wp:posOffset>
                </wp:positionH>
                <wp:positionV relativeFrom="page">
                  <wp:posOffset>247650</wp:posOffset>
                </wp:positionV>
                <wp:extent cx="2778760" cy="137160"/>
                <wp:effectExtent l="0" t="0" r="0" b="0"/>
                <wp:wrapNone/>
                <wp:docPr id="205" name="Frame71"/>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-276225</wp:posOffset>
                </wp:positionH>
                <wp:positionV relativeFrom="page">
                  <wp:posOffset>0</wp:posOffset>
                </wp:positionV>
                <wp:extent cx="7560310" cy="2355850"/>
                <wp:effectExtent l="0" t="0" r="0" b="0"/>
                <wp:wrapNone/>
                <wp:docPr id="206" name="Frame72"/>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20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44" descr=""/>
                                          <pic:cNvPicPr>
                                            <a:picLocks noChangeAspect="1" noChangeArrowheads="1"/>
                                          </pic:cNvPicPr>
                                        </pic:nvPicPr>
                                        <pic:blipFill>
                                          <a:blip r:embed="rId102"/>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20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44" descr=""/>
                                    <pic:cNvPicPr>
                                      <a:picLocks noChangeAspect="1" noChangeArrowheads="1"/>
                                    </pic:cNvPicPr>
                                  </pic:nvPicPr>
                                  <pic:blipFill>
                                    <a:blip r:embed="rId103"/>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666750</wp:posOffset>
                </wp:positionH>
                <wp:positionV relativeFrom="page">
                  <wp:posOffset>247650</wp:posOffset>
                </wp:positionV>
                <wp:extent cx="2816860" cy="137160"/>
                <wp:effectExtent l="0" t="0" r="0" b="0"/>
                <wp:wrapNone/>
                <wp:docPr id="209" name="Frame73"/>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-276225</wp:posOffset>
                </wp:positionH>
                <wp:positionV relativeFrom="page">
                  <wp:posOffset>0</wp:posOffset>
                </wp:positionV>
                <wp:extent cx="7560310" cy="2346325"/>
                <wp:effectExtent l="0" t="0" r="0" b="0"/>
                <wp:wrapNone/>
                <wp:docPr id="210" name="Frame74"/>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21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45" descr=""/>
                                          <pic:cNvPicPr>
                                            <a:picLocks noChangeAspect="1" noChangeArrowheads="1"/>
                                          </pic:cNvPicPr>
                                        </pic:nvPicPr>
                                        <pic:blipFill>
                                          <a:blip r:embed="rId104"/>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21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45" descr=""/>
                                    <pic:cNvPicPr>
                                      <a:picLocks noChangeAspect="1" noChangeArrowheads="1"/>
                                    </pic:cNvPicPr>
                                  </pic:nvPicPr>
                                  <pic:blipFill>
                                    <a:blip r:embed="rId105"/>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676275</wp:posOffset>
                </wp:positionH>
                <wp:positionV relativeFrom="page">
                  <wp:posOffset>247650</wp:posOffset>
                </wp:positionV>
                <wp:extent cx="2778760" cy="137160"/>
                <wp:effectExtent l="0" t="0" r="0" b="0"/>
                <wp:wrapNone/>
                <wp:docPr id="213" name="Frame75"/>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-276225</wp:posOffset>
                </wp:positionH>
                <wp:positionV relativeFrom="page">
                  <wp:posOffset>0</wp:posOffset>
                </wp:positionV>
                <wp:extent cx="7560310" cy="2355850"/>
                <wp:effectExtent l="0" t="0" r="0" b="0"/>
                <wp:wrapNone/>
                <wp:docPr id="214" name="Frame76"/>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21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46" descr=""/>
                                          <pic:cNvPicPr>
                                            <a:picLocks noChangeAspect="1" noChangeArrowheads="1"/>
                                          </pic:cNvPicPr>
                                        </pic:nvPicPr>
                                        <pic:blipFill>
                                          <a:blip r:embed="rId106"/>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21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46" descr=""/>
                                    <pic:cNvPicPr>
                                      <a:picLocks noChangeAspect="1" noChangeArrowheads="1"/>
                                    </pic:cNvPicPr>
                                  </pic:nvPicPr>
                                  <pic:blipFill>
                                    <a:blip r:embed="rId107"/>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666750</wp:posOffset>
                </wp:positionH>
                <wp:positionV relativeFrom="page">
                  <wp:posOffset>247650</wp:posOffset>
                </wp:positionV>
                <wp:extent cx="2816860" cy="137160"/>
                <wp:effectExtent l="0" t="0" r="0" b="0"/>
                <wp:wrapNone/>
                <wp:docPr id="217" name="Frame77"/>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-276225</wp:posOffset>
                </wp:positionH>
                <wp:positionV relativeFrom="page">
                  <wp:posOffset>0</wp:posOffset>
                </wp:positionV>
                <wp:extent cx="7560310" cy="2346325"/>
                <wp:effectExtent l="0" t="0" r="0" b="0"/>
                <wp:wrapNone/>
                <wp:docPr id="218" name="Frame78"/>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21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47" descr=""/>
                                          <pic:cNvPicPr>
                                            <a:picLocks noChangeAspect="1" noChangeArrowheads="1"/>
                                          </pic:cNvPicPr>
                                        </pic:nvPicPr>
                                        <pic:blipFill>
                                          <a:blip r:embed="rId108"/>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22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47" descr=""/>
                                    <pic:cNvPicPr>
                                      <a:picLocks noChangeAspect="1" noChangeArrowheads="1"/>
                                    </pic:cNvPicPr>
                                  </pic:nvPicPr>
                                  <pic:blipFill>
                                    <a:blip r:embed="rId109"/>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676275</wp:posOffset>
                </wp:positionH>
                <wp:positionV relativeFrom="page">
                  <wp:posOffset>247650</wp:posOffset>
                </wp:positionV>
                <wp:extent cx="2778760" cy="137160"/>
                <wp:effectExtent l="0" t="0" r="0" b="0"/>
                <wp:wrapNone/>
                <wp:docPr id="221" name="Frame79"/>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-276225</wp:posOffset>
                </wp:positionH>
                <wp:positionV relativeFrom="page">
                  <wp:posOffset>0</wp:posOffset>
                </wp:positionV>
                <wp:extent cx="7560310" cy="2355850"/>
                <wp:effectExtent l="0" t="0" r="0" b="0"/>
                <wp:wrapNone/>
                <wp:docPr id="222" name="Frame80"/>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22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48" descr=""/>
                                          <pic:cNvPicPr>
                                            <a:picLocks noChangeAspect="1" noChangeArrowheads="1"/>
                                          </pic:cNvPicPr>
                                        </pic:nvPicPr>
                                        <pic:blipFill>
                                          <a:blip r:embed="rId110"/>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22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48" descr=""/>
                                    <pic:cNvPicPr>
                                      <a:picLocks noChangeAspect="1" noChangeArrowheads="1"/>
                                    </pic:cNvPicPr>
                                  </pic:nvPicPr>
                                  <pic:blipFill>
                                    <a:blip r:embed="rId111"/>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-276225</wp:posOffset>
                </wp:positionH>
                <wp:positionV relativeFrom="page">
                  <wp:posOffset>0</wp:posOffset>
                </wp:positionV>
                <wp:extent cx="7560310" cy="664845"/>
                <wp:effectExtent l="0" t="0" r="0" b="0"/>
                <wp:wrapNone/>
                <wp:docPr id="225" name="Frame13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22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3" descr=""/>
                                          <pic:cNvPicPr>
                                            <a:picLocks noChangeAspect="1" noChangeArrowheads="1"/>
                                          </pic:cNvPicPr>
                                        </pic:nvPicPr>
                                        <pic:blipFill>
                                          <a:blip r:embed="rId112"/>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22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3" descr=""/>
                                    <pic:cNvPicPr>
                                      <a:picLocks noChangeAspect="1" noChangeArrowheads="1"/>
                                    </pic:cNvPicPr>
                                  </pic:nvPicPr>
                                  <pic:blipFill>
                                    <a:blip r:embed="rId113"/>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-276225</wp:posOffset>
                </wp:positionH>
                <wp:positionV relativeFrom="page">
                  <wp:posOffset>0</wp:posOffset>
                </wp:positionV>
                <wp:extent cx="7560310" cy="2346325"/>
                <wp:effectExtent l="0" t="0" r="0" b="0"/>
                <wp:wrapNone/>
                <wp:docPr id="228" name="Frame82"/>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22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49" descr=""/>
                                          <pic:cNvPicPr>
                                            <a:picLocks noChangeAspect="1" noChangeArrowheads="1"/>
                                          </pic:cNvPicPr>
                                        </pic:nvPicPr>
                                        <pic:blipFill>
                                          <a:blip r:embed="rId114"/>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23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49" descr=""/>
                                    <pic:cNvPicPr>
                                      <a:picLocks noChangeAspect="1" noChangeArrowheads="1"/>
                                    </pic:cNvPicPr>
                                  </pic:nvPicPr>
                                  <pic:blipFill>
                                    <a:blip r:embed="rId115"/>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676275</wp:posOffset>
                </wp:positionH>
                <wp:positionV relativeFrom="page">
                  <wp:posOffset>247650</wp:posOffset>
                </wp:positionV>
                <wp:extent cx="2778760" cy="137160"/>
                <wp:effectExtent l="0" t="0" r="0" b="0"/>
                <wp:wrapNone/>
                <wp:docPr id="231" name="Frame83"/>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-276225</wp:posOffset>
                </wp:positionH>
                <wp:positionV relativeFrom="page">
                  <wp:posOffset>0</wp:posOffset>
                </wp:positionV>
                <wp:extent cx="7560310" cy="2355850"/>
                <wp:effectExtent l="0" t="0" r="0" b="0"/>
                <wp:wrapNone/>
                <wp:docPr id="232" name="Frame84"/>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rPr/>
                            </w:pPr>
                            <w:r>
                              <w:rPr/>
                              <w:drawing>
                                <wp:inline distT="0" distB="0" distL="0" distR="0">
                                  <wp:extent cx="8086725" cy="581025"/>
                                  <wp:effectExtent l="0" t="0" r="0" b="0"/>
                                  <wp:docPr id="23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50" descr=""/>
                                          <pic:cNvPicPr>
                                            <a:picLocks noChangeAspect="1" noChangeArrowheads="1"/>
                                          </pic:cNvPicPr>
                                        </pic:nvPicPr>
                                        <pic:blipFill>
                                          <a:blip r:embed="rId116"/>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86725" cy="581025"/>
                            <wp:effectExtent l="0" t="0" r="0" b="0"/>
                            <wp:docPr id="23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50" descr=""/>
                                    <pic:cNvPicPr>
                                      <a:picLocks noChangeAspect="1" noChangeArrowheads="1"/>
                                    </pic:cNvPicPr>
                                  </pic:nvPicPr>
                                  <pic:blipFill>
                                    <a:blip r:embed="rId117"/>
                                    <a:stretch>
                                      <a:fillRect/>
                                    </a:stretch>
                                  </pic:blipFill>
                                  <pic:spPr bwMode="auto">
                                    <a:xfrm>
                                      <a:off x="0" y="0"/>
                                      <a:ext cx="8086725" cy="5810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666750</wp:posOffset>
                </wp:positionH>
                <wp:positionV relativeFrom="page">
                  <wp:posOffset>247650</wp:posOffset>
                </wp:positionV>
                <wp:extent cx="2816860" cy="137160"/>
                <wp:effectExtent l="0" t="0" r="0" b="0"/>
                <wp:wrapNone/>
                <wp:docPr id="235" name="Frame85"/>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-276225</wp:posOffset>
                </wp:positionH>
                <wp:positionV relativeFrom="page">
                  <wp:posOffset>0</wp:posOffset>
                </wp:positionV>
                <wp:extent cx="7560310" cy="2346325"/>
                <wp:effectExtent l="0" t="0" r="0" b="0"/>
                <wp:wrapNone/>
                <wp:docPr id="236" name="Frame86"/>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rPr/>
                            </w:pPr>
                            <w:r>
                              <w:rPr/>
                              <w:drawing>
                                <wp:inline distT="0" distB="0" distL="0" distR="0">
                                  <wp:extent cx="8029575" cy="571500"/>
                                  <wp:effectExtent l="0" t="0" r="0" b="0"/>
                                  <wp:docPr id="23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51" descr=""/>
                                          <pic:cNvPicPr>
                                            <a:picLocks noChangeAspect="1" noChangeArrowheads="1"/>
                                          </pic:cNvPicPr>
                                        </pic:nvPicPr>
                                        <pic:blipFill>
                                          <a:blip r:embed="rId118"/>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rPr/>
                      </w:pPr>
                      <w:r>
                        <w:rPr/>
                        <w:drawing>
                          <wp:inline distT="0" distB="0" distL="0" distR="0">
                            <wp:extent cx="8029575" cy="571500"/>
                            <wp:effectExtent l="0" t="0" r="0" b="0"/>
                            <wp:docPr id="23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51" descr=""/>
                                    <pic:cNvPicPr>
                                      <a:picLocks noChangeAspect="1" noChangeArrowheads="1"/>
                                    </pic:cNvPicPr>
                                  </pic:nvPicPr>
                                  <pic:blipFill>
                                    <a:blip r:embed="rId119"/>
                                    <a:stretch>
                                      <a:fillRect/>
                                    </a:stretch>
                                  </pic:blipFill>
                                  <pic:spPr bwMode="auto">
                                    <a:xfrm>
                                      <a:off x="0" y="0"/>
                                      <a:ext cx="80295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647700</wp:posOffset>
                </wp:positionH>
                <wp:positionV relativeFrom="page">
                  <wp:posOffset>238125</wp:posOffset>
                </wp:positionV>
                <wp:extent cx="2814955" cy="137160"/>
                <wp:effectExtent l="0" t="0" r="0" b="0"/>
                <wp:wrapNone/>
                <wp:docPr id="239" name="Frame87"/>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-285750</wp:posOffset>
                </wp:positionH>
                <wp:positionV relativeFrom="page">
                  <wp:posOffset>0</wp:posOffset>
                </wp:positionV>
                <wp:extent cx="7560310" cy="664845"/>
                <wp:effectExtent l="0" t="0" r="0" b="0"/>
                <wp:wrapNone/>
                <wp:docPr id="240" name="Frame8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24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52" descr=""/>
                                          <pic:cNvPicPr>
                                            <a:picLocks noChangeAspect="1" noChangeArrowheads="1"/>
                                          </pic:cNvPicPr>
                                        </pic:nvPicPr>
                                        <pic:blipFill>
                                          <a:blip r:embed="rId120"/>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24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52" descr=""/>
                                    <pic:cNvPicPr>
                                      <a:picLocks noChangeAspect="1" noChangeArrowheads="1"/>
                                    </pic:cNvPicPr>
                                  </pic:nvPicPr>
                                  <pic:blipFill>
                                    <a:blip r:embed="rId121"/>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685800</wp:posOffset>
                </wp:positionH>
                <wp:positionV relativeFrom="page">
                  <wp:posOffset>228600</wp:posOffset>
                </wp:positionV>
                <wp:extent cx="2776855" cy="137160"/>
                <wp:effectExtent l="0" t="0" r="0" b="0"/>
                <wp:wrapNone/>
                <wp:docPr id="243" name="Frame89"/>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-276225</wp:posOffset>
                </wp:positionH>
                <wp:positionV relativeFrom="page">
                  <wp:posOffset>0</wp:posOffset>
                </wp:positionV>
                <wp:extent cx="7560310" cy="664845"/>
                <wp:effectExtent l="0" t="0" r="0" b="0"/>
                <wp:wrapNone/>
                <wp:docPr id="244" name="Frame9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24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53" descr=""/>
                                          <pic:cNvPicPr>
                                            <a:picLocks noChangeAspect="1" noChangeArrowheads="1"/>
                                          </pic:cNvPicPr>
                                        </pic:nvPicPr>
                                        <pic:blipFill>
                                          <a:blip r:embed="rId122"/>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24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53" descr=""/>
                                    <pic:cNvPicPr>
                                      <a:picLocks noChangeAspect="1" noChangeArrowheads="1"/>
                                    </pic:cNvPicPr>
                                  </pic:nvPicPr>
                                  <pic:blipFill>
                                    <a:blip r:embed="rId123"/>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647700</wp:posOffset>
                </wp:positionH>
                <wp:positionV relativeFrom="page">
                  <wp:posOffset>238125</wp:posOffset>
                </wp:positionV>
                <wp:extent cx="2814955" cy="137160"/>
                <wp:effectExtent l="0" t="0" r="0" b="0"/>
                <wp:wrapNone/>
                <wp:docPr id="247" name="Frame91"/>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-285750</wp:posOffset>
                </wp:positionH>
                <wp:positionV relativeFrom="page">
                  <wp:posOffset>0</wp:posOffset>
                </wp:positionV>
                <wp:extent cx="7560310" cy="664845"/>
                <wp:effectExtent l="0" t="0" r="0" b="0"/>
                <wp:wrapNone/>
                <wp:docPr id="248" name="Frame9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24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54" descr=""/>
                                          <pic:cNvPicPr>
                                            <a:picLocks noChangeAspect="1" noChangeArrowheads="1"/>
                                          </pic:cNvPicPr>
                                        </pic:nvPicPr>
                                        <pic:blipFill>
                                          <a:blip r:embed="rId124"/>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25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54" descr=""/>
                                    <pic:cNvPicPr>
                                      <a:picLocks noChangeAspect="1" noChangeArrowheads="1"/>
                                    </pic:cNvPicPr>
                                  </pic:nvPicPr>
                                  <pic:blipFill>
                                    <a:blip r:embed="rId125"/>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685800</wp:posOffset>
                </wp:positionH>
                <wp:positionV relativeFrom="page">
                  <wp:posOffset>228600</wp:posOffset>
                </wp:positionV>
                <wp:extent cx="2776855" cy="137160"/>
                <wp:effectExtent l="0" t="0" r="0" b="0"/>
                <wp:wrapNone/>
                <wp:docPr id="251" name="Frame93"/>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-276225</wp:posOffset>
                </wp:positionH>
                <wp:positionV relativeFrom="page">
                  <wp:posOffset>0</wp:posOffset>
                </wp:positionV>
                <wp:extent cx="7560310" cy="664845"/>
                <wp:effectExtent l="0" t="0" r="0" b="0"/>
                <wp:wrapNone/>
                <wp:docPr id="252" name="Frame9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067675" cy="571500"/>
                                  <wp:effectExtent l="0" t="0" r="0" b="0"/>
                                  <wp:docPr id="25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55" descr=""/>
                                          <pic:cNvPicPr>
                                            <a:picLocks noChangeAspect="1" noChangeArrowheads="1"/>
                                          </pic:cNvPicPr>
                                        </pic:nvPicPr>
                                        <pic:blipFill>
                                          <a:blip r:embed="rId126"/>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067675" cy="571500"/>
                            <wp:effectExtent l="0" t="0" r="0" b="0"/>
                            <wp:docPr id="25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55" descr=""/>
                                    <pic:cNvPicPr>
                                      <a:picLocks noChangeAspect="1" noChangeArrowheads="1"/>
                                    </pic:cNvPicPr>
                                  </pic:nvPicPr>
                                  <pic:blipFill>
                                    <a:blip r:embed="rId127"/>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647700</wp:posOffset>
                </wp:positionH>
                <wp:positionV relativeFrom="page">
                  <wp:posOffset>238125</wp:posOffset>
                </wp:positionV>
                <wp:extent cx="2814955" cy="137160"/>
                <wp:effectExtent l="0" t="0" r="0" b="0"/>
                <wp:wrapNone/>
                <wp:docPr id="255" name="Frame95"/>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Second Quarter Report 2026</w:t>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-285750</wp:posOffset>
                </wp:positionH>
                <wp:positionV relativeFrom="page">
                  <wp:posOffset>0</wp:posOffset>
                </wp:positionV>
                <wp:extent cx="7560310" cy="664845"/>
                <wp:effectExtent l="0" t="0" r="0" b="0"/>
                <wp:wrapNone/>
                <wp:docPr id="256" name="Frame9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153400" cy="581025"/>
                                  <wp:effectExtent l="0" t="0" r="0" b="0"/>
                                  <wp:docPr id="2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56" descr=""/>
                                          <pic:cNvPicPr>
                                            <a:picLocks noChangeAspect="1" noChangeArrowheads="1"/>
                                          </pic:cNvPicPr>
                                        </pic:nvPicPr>
                                        <pic:blipFill>
                                          <a:blip r:embed="rId128"/>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153400" cy="581025"/>
                            <wp:effectExtent l="0" t="0" r="0" b="0"/>
                            <wp:docPr id="2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56" descr=""/>
                                    <pic:cNvPicPr>
                                      <a:picLocks noChangeAspect="1" noChangeArrowheads="1"/>
                                    </pic:cNvPicPr>
                                  </pic:nvPicPr>
                                  <pic:blipFill>
                                    <a:blip r:embed="rId129"/>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12"/>
          <w:u w:val="single"/>
        </w:rPr>
      </w:pPr>
      <w:r>
        <w:rPr>
          <w:rFonts w:ascii="Times New Roman" w:hAnsi="Times New Roman"/>
          <w:b/>
          <w:color w:val="000000"/>
          <w:sz w:val="12"/>
          <w:u w:val="single"/>
        </w:rPr>
        <w:t>_____________________________________________________</w:t>
      </w:r>
    </w:p>
    <w:p>
      <w:pPr>
        <w:pStyle w:val="TextBody"/>
        <w:bidi w:val="0"/>
        <w:spacing w:before="100" w:after="283"/>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100" w:after="283"/>
        <w:jc w:val="center"/>
        <w:rPr>
          <w:rFonts w:ascii="Times New Roman" w:hAnsi="Times New Roman"/>
          <w:b/>
          <w:color w:val="000000"/>
          <w:sz w:val="12"/>
          <w:u w:val="single"/>
        </w:rPr>
      </w:pPr>
      <w:r>
        <w:rPr>
          <w:rFonts w:ascii="Times New Roman" w:hAnsi="Times New Roman"/>
          <w:b/>
          <w:color w:val="000000"/>
          <w:sz w:val="12"/>
          <w:u w:val="single"/>
        </w:rPr>
        <w:t>___________ _________________________________________</w:t>
      </w:r>
    </w:p>
    <w:p>
      <w:pPr>
        <w:pStyle w:val="TextBody"/>
        <w:bidi w:val="0"/>
        <w:spacing w:before="240" w:after="283"/>
        <w:jc w:val="center"/>
        <w:rPr>
          <w:rFonts w:ascii="Times New Roman" w:hAnsi="Times New Roman"/>
          <w:sz w:val="20"/>
        </w:rPr>
      </w:pPr>
      <w:r>
        <w:rPr>
          <w:rFonts w:ascii="Times New Roman" w:hAnsi="Times New Roman"/>
          <w:b/>
          <w:color w:val="000000"/>
          <w:sz w:val="20"/>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13a-16 OR 15d-16</w:t>
      </w:r>
    </w:p>
    <w:p>
      <w:pPr>
        <w:pStyle w:val="TextBody"/>
        <w:bidi w:val="0"/>
        <w:jc w:val="center"/>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jc w:val="center"/>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For the month of August 2026</w:t>
            </w:r>
          </w:p>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Commission File Number: 001-31349</w:t>
            </w:r>
          </w:p>
          <w:p>
            <w:pPr>
              <w:pStyle w:val="TableContents"/>
              <w:bidi w:val="0"/>
              <w:spacing w:before="100" w:after="283"/>
              <w:jc w:val="center"/>
              <w:rPr>
                <w:rFonts w:ascii="Times New Roman" w:hAnsi="Times New Roman"/>
                <w:b/>
                <w:color w:val="000000"/>
                <w:sz w:val="12"/>
                <w:u w:val="single"/>
              </w:rPr>
            </w:pPr>
            <w:r>
              <w:rPr>
                <w:rFonts w:ascii="Times New Roman" w:hAnsi="Times New Roman"/>
                <w:b/>
                <w:color w:val="000000"/>
                <w:sz w:val="12"/>
                <w:u w:val="single"/>
              </w:rPr>
              <w:t>____________________________________________________</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THOMSON REUTERS CORPORATION</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jc w:val="center"/>
        <w:rPr/>
      </w:pPr>
      <w:r>
        <w:rPr/>
        <w:t> </w:t>
      </w:r>
    </w:p>
    <w:p>
      <w:pPr>
        <w:pStyle w:val="TextBody"/>
        <w:bidi w:val="0"/>
        <w:spacing w:before="100" w:after="283"/>
        <w:jc w:val="center"/>
        <w:rPr>
          <w:rFonts w:ascii="Times New Roman" w:hAnsi="Times New Roman"/>
          <w:b/>
          <w:color w:val="000000"/>
          <w:sz w:val="12"/>
          <w:u w:val="single"/>
        </w:rPr>
      </w:pPr>
      <w:r>
        <w:rPr>
          <w:rFonts w:ascii="Times New Roman" w:hAnsi="Times New Roman"/>
          <w:b/>
          <w:color w:val="000000"/>
          <w:sz w:val="12"/>
          <w:u w:val="single"/>
        </w:rPr>
        <w:t>____________________________________________________</w:t>
      </w:r>
    </w:p>
    <w:p>
      <w:pPr>
        <w:pStyle w:val="TextBody"/>
        <w:bidi w:val="0"/>
        <w:spacing w:before="240" w:after="283"/>
        <w:jc w:val="center"/>
        <w:rPr>
          <w:rFonts w:ascii="Times New Roman" w:hAnsi="Times New Roman"/>
          <w:sz w:val="20"/>
        </w:rPr>
      </w:pPr>
      <w:r>
        <w:rPr>
          <w:rFonts w:ascii="Times New Roman" w:hAnsi="Times New Roman"/>
          <w:b/>
          <w:color w:val="000000"/>
          <w:sz w:val="20"/>
        </w:rPr>
        <w:t>19 Duncan Street, Toronto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Ontario M5H 3H1, Canada</w:t>
      </w:r>
    </w:p>
    <w:p>
      <w:pPr>
        <w:pStyle w:val="TextBody"/>
        <w:bidi w:val="0"/>
        <w:jc w:val="center"/>
        <w:rPr>
          <w:rFonts w:ascii="Times New Roman" w:hAnsi="Times New Roman"/>
          <w:b/>
          <w:color w:val="000000"/>
          <w:sz w:val="18"/>
        </w:rPr>
      </w:pPr>
      <w:r>
        <w:rPr>
          <w:rFonts w:ascii="Times New Roman" w:hAnsi="Times New Roman"/>
          <w:b/>
          <w:color w:val="000000"/>
          <w:sz w:val="18"/>
        </w:rPr>
        <w:t>(Address of principal executive office)</w:t>
      </w:r>
    </w:p>
    <w:p>
      <w:pPr>
        <w:pStyle w:val="TextBody"/>
        <w:bidi w:val="0"/>
        <w:spacing w:before="100" w:after="283"/>
        <w:jc w:val="center"/>
        <w:rPr>
          <w:rFonts w:ascii="Times New Roman" w:hAnsi="Times New Roman"/>
          <w:b/>
          <w:color w:val="000000"/>
          <w:sz w:val="12"/>
          <w:u w:val="single"/>
        </w:rPr>
      </w:pPr>
      <w:r>
        <w:rPr>
          <w:rFonts w:ascii="Times New Roman" w:hAnsi="Times New Roman"/>
          <w:b/>
          <w:color w:val="000000"/>
          <w:sz w:val="12"/>
          <w:u w:val="single"/>
        </w:rPr>
        <w:t>____________________________________________________</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Exhibit 99.1 and Exhibit 99.2 of this Form 6-K is incorporated by reference into, or as additional exhibits to, as applicable, the registrant’s outstanding registration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Thomson Reuters Corporation is voluntarily furnishing certifications by its Chief Executive Officer and Chief Financial Officer pursuant to Sections 302 and 906 of the Sarbanes-Oxley Act of 2002 as Exhibits 99.3-99.6 of this Form 6-K.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1846"/>
        <w:gridCol w:w="428"/>
        <w:gridCol w:w="666"/>
        <w:gridCol w:w="2520"/>
      </w:tblGrid>
      <w:tr>
        <w:trPr/>
        <w:tc>
          <w:tcPr>
            <w:tcW w:w="18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4" w:type="dxa"/>
            <w:gridSpan w:val="3"/>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THOMSON REUTERS CORPORATION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8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Jennifer Ruddick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Ruddick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Deputy Company Secretary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146"/>
        <w:gridCol w:w="8906"/>
      </w:tblGrid>
      <w:tr>
        <w:trPr/>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6" w:type="dxa"/>
            <w:tcBorders/>
            <w:vAlign w:val="center"/>
          </w:tcPr>
          <w:p>
            <w:pPr>
              <w:pStyle w:val="TableContents"/>
              <w:bidi w:val="0"/>
              <w:spacing w:before="0" w:after="283"/>
              <w:jc w:val="left"/>
              <w:rPr>
                <w:sz w:val="4"/>
                <w:szCs w:val="4"/>
              </w:rPr>
            </w:pPr>
            <w:r>
              <w:rPr>
                <w:sz w:val="4"/>
                <w:szCs w:val="4"/>
              </w:rPr>
            </w:r>
          </w:p>
        </w:tc>
      </w:tr>
      <w:tr>
        <w:trPr/>
        <w:tc>
          <w:tcPr>
            <w:tcW w:w="115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tri-ex99_1.htm">
              <w:r>
                <w:rPr>
                  <w:rStyle w:val="InternetLink"/>
                  <w:rFonts w:ascii="Times New Roman" w:hAnsi="Times New Roman"/>
                  <w:color w:val="0000FF"/>
                  <w:sz w:val="20"/>
                  <w:u w:val="single"/>
                </w:rPr>
                <w:t>Management's Discussion and Analysis</w:t>
              </w:r>
            </w:hyperlink>
          </w:p>
        </w:tc>
      </w:tr>
      <w:tr>
        <w:trPr/>
        <w:tc>
          <w:tcPr>
            <w:tcW w:w="1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tri-ex99_2.htm">
              <w:r>
                <w:rPr>
                  <w:rStyle w:val="InternetLink"/>
                  <w:rFonts w:ascii="Times New Roman" w:hAnsi="Times New Roman"/>
                  <w:color w:val="0000FF"/>
                  <w:sz w:val="20"/>
                  <w:u w:val="single"/>
                </w:rPr>
                <w:t>Unaudited Consolidated Financial Statements</w:t>
              </w:r>
            </w:hyperlink>
          </w:p>
        </w:tc>
      </w:tr>
      <w:tr>
        <w:trPr/>
        <w:tc>
          <w:tcPr>
            <w:tcW w:w="1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tri-ex99_3.htm">
              <w:r>
                <w:rPr>
                  <w:rStyle w:val="InternetLink"/>
                  <w:rFonts w:ascii="Times New Roman" w:hAnsi="Times New Roman"/>
                  <w:color w:val="0000FF"/>
                  <w:sz w:val="20"/>
                  <w:u w:val="single"/>
                </w:rPr>
                <w:t>Certification of the Chief Executive Officer pursuant to Section 302 of the Sarbanes-Oxley Act of 2002</w:t>
              </w:r>
            </w:hyperlink>
          </w:p>
        </w:tc>
      </w:tr>
      <w:tr>
        <w:trPr/>
        <w:tc>
          <w:tcPr>
            <w:tcW w:w="1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tri-ex99_4.htm">
              <w:r>
                <w:rPr>
                  <w:rStyle w:val="InternetLink"/>
                  <w:rFonts w:ascii="Times New Roman" w:hAnsi="Times New Roman"/>
                  <w:color w:val="0000FF"/>
                  <w:sz w:val="20"/>
                  <w:u w:val="single"/>
                </w:rPr>
                <w:t>Certification of the Chief Financial Officer pursuant to Section 302 of the Sarbanes-Oxley Act of 2002</w:t>
              </w:r>
            </w:hyperlink>
          </w:p>
        </w:tc>
      </w:tr>
      <w:tr>
        <w:trPr/>
        <w:tc>
          <w:tcPr>
            <w:tcW w:w="1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tri-ex99_5.htm">
              <w:r>
                <w:rPr>
                  <w:rStyle w:val="InternetLink"/>
                  <w:rFonts w:ascii="Times New Roman" w:hAnsi="Times New Roman"/>
                  <w:color w:val="0000FF"/>
                  <w:sz w:val="20"/>
                  <w:u w:val="single"/>
                </w:rPr>
                <w:t>Certification of the Chief Executive Officer pursuant to Section 906 of the Sarbanes-Oxley Act of 2002</w:t>
              </w:r>
            </w:hyperlink>
          </w:p>
        </w:tc>
      </w:tr>
      <w:tr>
        <w:trPr/>
        <w:tc>
          <w:tcPr>
            <w:tcW w:w="1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tri-ex99_6.htm">
              <w:r>
                <w:rPr>
                  <w:rStyle w:val="InternetLink"/>
                  <w:rFonts w:ascii="Times New Roman" w:hAnsi="Times New Roman"/>
                  <w:color w:val="0000FF"/>
                  <w:sz w:val="20"/>
                  <w:u w:val="single"/>
                </w:rPr>
                <w:t>Certification of the Chief Financial Officer pursuant to Section 906 of the Sarbanes-Oxley Act of 2002</w:t>
              </w:r>
            </w:hyperlink>
          </w:p>
        </w:tc>
      </w:tr>
      <w:tr>
        <w:trPr/>
        <w:tc>
          <w:tcPr>
            <w:tcW w:w="1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1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1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center"/>
        <w:rPr/>
      </w:pPr>
      <w:bookmarkStart w:id="2" w:name="tri-ex99_1.htm"/>
      <w:bookmarkStart w:id="3" w:name="kstriex99_1"/>
      <w:bookmarkEnd w:id="2"/>
      <w:bookmarkEnd w:id="3"/>
      <w:r>
        <w:rPr/>
        <w:t> </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32"/>
        </w:rPr>
        <w:t xml:space="preserve">Management’s Discussion and Analysis </w:t>
      </w:r>
      <w:r>
        <w:rPr>
          <w:rFonts w:ascii="Times New Roman" w:hAnsi="Times New Roman"/>
          <w:b/>
          <w:color w:val="000000"/>
          <w:sz w:val="20"/>
        </w:rPr>
        <w:t>EXHIBIT 99.1</w:t>
      </w:r>
      <w:r>
        <w:rPr>
          <w:rFonts w:ascii="Times New Roman" w:hAnsi="Times New Roman"/>
          <w:color w:val="404040"/>
          <w:sz w:val="20"/>
        </w:rPr>
        <w:t xml:space="preserve">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This management’s discussion and analysis is designed to provide you with a narrative explanation through the eyes of our management of how we performed, as well as information about our financial condition and future prospects. As this management’s discussion and analysis is intended to supplement and complement our financial statements, we recommend that you read this in conjunction with our consolidated interim financial statements for the three and six months ended June 30, 2026, our 2025 annual consolidated financial statements and our 2025 annual management’s discussion and analysis. This management's discussion and analysis contains forward-looking statements, which are subject to risks and uncertainties that could cause our actual results to differ materially from the forward-looking statements. Forward-looking statements include, but are not limited to, our 2026 outlook, statements regarding the sale of 51% of the Global Print business to capital accounts advised by KKR and our expectations related to general economic conditions and market trends and their anticipated effects on our business segments. For additional information related to forward-looking statements, material assumptions and material risks associated with them, please see the “Outlook,” and “Additional Information - Cautionary Note Concerning Factors That May Affect Future Results” sections of this management’s discussion and analysis. This management’s discussion and analysis is dated as of August 4, 2026, unless otherwise indicated.</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We have organized our management’s discussion and analysis in the following key sections:</w:t>
      </w:r>
    </w:p>
    <w:tbl>
      <w:tblPr>
        <w:tblW w:w="10205" w:type="dxa"/>
        <w:jc w:val="left"/>
        <w:tblInd w:w="0" w:type="dxa"/>
        <w:tblLayout w:type="fixed"/>
        <w:tblCellMar>
          <w:top w:w="28" w:type="dxa"/>
          <w:left w:w="28" w:type="dxa"/>
          <w:bottom w:w="28" w:type="dxa"/>
          <w:right w:w="28" w:type="dxa"/>
        </w:tblCellMar>
      </w:tblPr>
      <w:tblGrid>
        <w:gridCol w:w="226"/>
        <w:gridCol w:w="9528"/>
        <w:gridCol w:w="451"/>
      </w:tblGrid>
      <w:tr>
        <w:trPr/>
        <w:tc>
          <w:tcPr>
            <w:tcW w:w="226" w:type="dxa"/>
            <w:tcBorders/>
            <w:vAlign w:val="center"/>
          </w:tcPr>
          <w:p>
            <w:pPr>
              <w:pStyle w:val="TableContents"/>
              <w:bidi w:val="0"/>
              <w:spacing w:before="0" w:after="283"/>
              <w:jc w:val="left"/>
              <w:rPr>
                <w:sz w:val="4"/>
                <w:szCs w:val="4"/>
              </w:rPr>
            </w:pPr>
            <w:r>
              <w:rPr>
                <w:sz w:val="4"/>
                <w:szCs w:val="4"/>
              </w:rPr>
            </w:r>
          </w:p>
        </w:tc>
        <w:tc>
          <w:tcPr>
            <w:tcW w:w="952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8"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Executive Summary</w:t>
            </w:r>
            <w:r>
              <w:rPr>
                <w:rFonts w:ascii="Times New Roman" w:hAnsi="Times New Roman"/>
                <w:color w:val="404040"/>
                <w:sz w:val="18"/>
              </w:rPr>
              <w:t> </w:t>
            </w:r>
            <w:r>
              <w:rPr>
                <w:rFonts w:ascii="Clario;sans-serif" w:hAnsi="Clario;sans-serif"/>
                <w:color w:val="404040"/>
                <w:sz w:val="18"/>
              </w:rPr>
              <w:t>- an overview of our business and key financial highlights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Results of Operations</w:t>
            </w:r>
            <w:r>
              <w:rPr>
                <w:rFonts w:ascii="Times New Roman" w:hAnsi="Times New Roman"/>
                <w:color w:val="404040"/>
                <w:sz w:val="18"/>
              </w:rPr>
              <w:t> </w:t>
            </w:r>
            <w:r>
              <w:rPr>
                <w:rFonts w:ascii="Clario;sans-serif" w:hAnsi="Clario;sans-serif"/>
                <w:color w:val="404040"/>
                <w:sz w:val="18"/>
              </w:rPr>
              <w:t>- a comparison of our current and prior-year period results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4</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 xml:space="preserve">Liquidity and Capital Resources </w:t>
            </w:r>
            <w:r>
              <w:rPr>
                <w:rFonts w:ascii="Clario;sans-serif" w:hAnsi="Clario;sans-serif"/>
                <w:color w:val="404040"/>
                <w:sz w:val="18"/>
              </w:rPr>
              <w:t>- a discussion of our cash flow and debt</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11</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Outlook</w:t>
            </w:r>
            <w:r>
              <w:rPr>
                <w:rFonts w:ascii="Times New Roman" w:hAnsi="Times New Roman"/>
                <w:color w:val="404040"/>
                <w:sz w:val="18"/>
              </w:rPr>
              <w:t xml:space="preserve"> – </w:t>
            </w:r>
            <w:r>
              <w:rPr>
                <w:rFonts w:ascii="Clario;sans-serif" w:hAnsi="Clario;sans-serif"/>
                <w:color w:val="404040"/>
                <w:sz w:val="18"/>
              </w:rPr>
              <w:t>our 2026 financial outlook including material assumptions and material risks</w:t>
            </w:r>
            <w:r>
              <w:rPr>
                <w:rFonts w:ascii="Times New Roman" w:hAnsi="Times New Roman"/>
                <w:color w:val="404040"/>
                <w:sz w:val="18"/>
              </w:rPr>
              <w:t xml:space="preserve"> </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17</w:t>
            </w:r>
          </w:p>
        </w:tc>
      </w:tr>
      <w:tr>
        <w:trPr/>
        <w:tc>
          <w:tcPr>
            <w:tcW w:w="226" w:type="dxa"/>
            <w:tcBorders/>
            <w:tcMar>
              <w:top w:w="0" w:type="dxa"/>
              <w:left w:w="0" w:type="dxa"/>
              <w:bottom w:w="0" w:type="dxa"/>
              <w:right w:w="0" w:type="dxa"/>
            </w:tcMar>
            <w:vAlign w:val="center"/>
          </w:tcPr>
          <w:p>
            <w:pPr>
              <w:pStyle w:val="TableContents"/>
              <w:bidi w:val="0"/>
              <w:jc w:val="left"/>
              <w:rPr>
                <w:rFonts w:ascii="Symbol;serif" w:hAnsi="Symbol;serif"/>
                <w:color w:val="404040"/>
                <w:sz w:val="22"/>
              </w:rPr>
            </w:pPr>
            <w:r>
              <w:rPr>
                <w:rFonts w:ascii="Symbol;serif" w:hAnsi="Symbol;serif"/>
                <w:color w:val="404040"/>
                <w:sz w:val="22"/>
              </w:rPr>
              <w:t>·</w:t>
            </w:r>
          </w:p>
          <w:p>
            <w:pPr>
              <w:pStyle w:val="TableContents"/>
              <w:bidi w:val="0"/>
              <w:spacing w:before="0" w:after="283"/>
              <w:jc w:val="left"/>
              <w:rPr/>
            </w:pPr>
            <w:r>
              <w:rPr/>
              <w:t> </w:t>
            </w:r>
          </w:p>
        </w:tc>
        <w:tc>
          <w:tcPr>
            <w:tcW w:w="95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 xml:space="preserve">Related Party Transactions </w:t>
            </w:r>
            <w:r>
              <w:rPr>
                <w:rFonts w:ascii="Clario;sans-serif" w:hAnsi="Clario;sans-serif"/>
                <w:color w:val="404040"/>
                <w:sz w:val="18"/>
              </w:rPr>
              <w:t>-</w:t>
            </w:r>
            <w:r>
              <w:rPr>
                <w:rFonts w:ascii="Times New Roman" w:hAnsi="Times New Roman"/>
                <w:color w:val="404040"/>
                <w:sz w:val="18"/>
              </w:rPr>
              <w:t xml:space="preserve"> </w:t>
            </w:r>
            <w:r>
              <w:rPr>
                <w:rFonts w:ascii="Clario;sans-serif" w:hAnsi="Clario;sans-serif"/>
                <w:color w:val="404040"/>
                <w:sz w:val="18"/>
              </w:rPr>
              <w:t>a discussion of transactions with our principal and controlling shareholder, Woodbridge (together with its affiliates), and other related parties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19</w:t>
            </w:r>
          </w:p>
        </w:tc>
      </w:tr>
      <w:tr>
        <w:trPr/>
        <w:tc>
          <w:tcPr>
            <w:tcW w:w="226" w:type="dxa"/>
            <w:tcBorders/>
            <w:tcMar>
              <w:top w:w="0" w:type="dxa"/>
              <w:left w:w="0" w:type="dxa"/>
              <w:bottom w:w="0" w:type="dxa"/>
              <w:right w:w="0" w:type="dxa"/>
            </w:tcMar>
            <w:vAlign w:val="center"/>
          </w:tcPr>
          <w:p>
            <w:pPr>
              <w:pStyle w:val="TableContents"/>
              <w:bidi w:val="0"/>
              <w:jc w:val="left"/>
              <w:rPr>
                <w:rFonts w:ascii="Symbol;serif" w:hAnsi="Symbol;serif"/>
                <w:color w:val="404040"/>
                <w:sz w:val="22"/>
              </w:rPr>
            </w:pPr>
            <w:r>
              <w:rPr>
                <w:rFonts w:ascii="Symbol;serif" w:hAnsi="Symbol;serif"/>
                <w:color w:val="404040"/>
                <w:sz w:val="22"/>
              </w:rPr>
              <w:t>·</w:t>
            </w:r>
          </w:p>
          <w:p>
            <w:pPr>
              <w:pStyle w:val="TableContents"/>
              <w:bidi w:val="0"/>
              <w:spacing w:before="0" w:after="283"/>
              <w:jc w:val="left"/>
              <w:rPr/>
            </w:pPr>
            <w:r>
              <w:rPr/>
              <w:t> </w:t>
            </w:r>
          </w:p>
        </w:tc>
        <w:tc>
          <w:tcPr>
            <w:tcW w:w="95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 xml:space="preserve">Subsequent Events </w:t>
            </w:r>
            <w:r>
              <w:rPr>
                <w:rFonts w:ascii="Clario;sans-serif" w:hAnsi="Clario;sans-serif"/>
                <w:color w:val="404040"/>
                <w:sz w:val="18"/>
              </w:rPr>
              <w:t>-</w:t>
            </w:r>
            <w:r>
              <w:rPr>
                <w:rFonts w:ascii="Times New Roman" w:hAnsi="Times New Roman"/>
                <w:color w:val="404040"/>
                <w:sz w:val="18"/>
              </w:rPr>
              <w:t xml:space="preserve"> </w:t>
            </w:r>
            <w:r>
              <w:rPr>
                <w:rFonts w:ascii="Clario;sans-serif" w:hAnsi="Clario;sans-serif"/>
                <w:color w:val="404040"/>
                <w:sz w:val="18"/>
              </w:rPr>
              <w:t>a discussion of material events occurring after June 30, 2026 and through the date of this management's discussion and analysis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19</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Changes in Accounting Policies</w:t>
            </w:r>
            <w:r>
              <w:rPr>
                <w:rFonts w:ascii="Times New Roman" w:hAnsi="Times New Roman"/>
                <w:color w:val="404040"/>
                <w:sz w:val="18"/>
              </w:rPr>
              <w:t> </w:t>
            </w:r>
            <w:r>
              <w:rPr>
                <w:rFonts w:ascii="Clario;sans-serif" w:hAnsi="Clario;sans-serif"/>
                <w:color w:val="404040"/>
                <w:sz w:val="18"/>
              </w:rPr>
              <w:t>- a discussion of changes in our accounting policies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20</w:t>
            </w:r>
          </w:p>
        </w:tc>
      </w:tr>
      <w:tr>
        <w:trPr/>
        <w:tc>
          <w:tcPr>
            <w:tcW w:w="226" w:type="dxa"/>
            <w:tcBorders/>
            <w:tcMar>
              <w:top w:w="0" w:type="dxa"/>
              <w:left w:w="0" w:type="dxa"/>
              <w:bottom w:w="0" w:type="dxa"/>
              <w:right w:w="0" w:type="dxa"/>
            </w:tcMar>
            <w:vAlign w:val="center"/>
          </w:tcPr>
          <w:p>
            <w:pPr>
              <w:pStyle w:val="TableContents"/>
              <w:bidi w:val="0"/>
              <w:jc w:val="left"/>
              <w:rPr>
                <w:rFonts w:ascii="Symbol;serif" w:hAnsi="Symbol;serif"/>
                <w:color w:val="404040"/>
                <w:sz w:val="22"/>
              </w:rPr>
            </w:pPr>
            <w:r>
              <w:rPr>
                <w:rFonts w:ascii="Symbol;serif" w:hAnsi="Symbol;serif"/>
                <w:color w:val="404040"/>
                <w:sz w:val="22"/>
              </w:rPr>
              <w:t>·</w:t>
            </w:r>
          </w:p>
          <w:p>
            <w:pPr>
              <w:pStyle w:val="TableContents"/>
              <w:bidi w:val="0"/>
              <w:spacing w:before="0" w:after="283"/>
              <w:jc w:val="left"/>
              <w:rPr/>
            </w:pPr>
            <w:r>
              <w:rPr/>
              <w:t> </w:t>
            </w:r>
          </w:p>
        </w:tc>
        <w:tc>
          <w:tcPr>
            <w:tcW w:w="95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Critical Accounting Estimates and Judgments</w:t>
            </w:r>
            <w:r>
              <w:rPr>
                <w:rFonts w:ascii="Times New Roman" w:hAnsi="Times New Roman"/>
                <w:color w:val="404040"/>
                <w:sz w:val="18"/>
              </w:rPr>
              <w:t> </w:t>
            </w:r>
            <w:r>
              <w:rPr>
                <w:rFonts w:ascii="Clario;sans-serif" w:hAnsi="Clario;sans-serif"/>
                <w:color w:val="404040"/>
                <w:sz w:val="18"/>
              </w:rPr>
              <w:t>-</w:t>
            </w:r>
            <w:r>
              <w:rPr>
                <w:rFonts w:ascii="Times New Roman" w:hAnsi="Times New Roman"/>
                <w:color w:val="404040"/>
                <w:sz w:val="18"/>
              </w:rPr>
              <w:t xml:space="preserve"> </w:t>
            </w:r>
            <w:r>
              <w:rPr>
                <w:rFonts w:ascii="Clario;sans-serif" w:hAnsi="Clario;sans-serif"/>
                <w:color w:val="404040"/>
                <w:sz w:val="18"/>
              </w:rPr>
              <w:t>a discussion of critical estimates and judgments made by our management in applying accounting policies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20</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Additional Information</w:t>
            </w:r>
            <w:r>
              <w:rPr>
                <w:rFonts w:ascii="Times New Roman" w:hAnsi="Times New Roman"/>
                <w:color w:val="404040"/>
                <w:sz w:val="18"/>
              </w:rPr>
              <w:t> </w:t>
            </w:r>
            <w:r>
              <w:rPr>
                <w:rFonts w:ascii="Clario;sans-serif" w:hAnsi="Clario;sans-serif"/>
                <w:color w:val="404040"/>
                <w:sz w:val="18"/>
              </w:rPr>
              <w:t>-</w:t>
            </w:r>
            <w:r>
              <w:rPr>
                <w:rFonts w:ascii="Times New Roman" w:hAnsi="Times New Roman"/>
                <w:color w:val="404040"/>
                <w:sz w:val="18"/>
              </w:rPr>
              <w:t xml:space="preserve"> </w:t>
            </w:r>
            <w:r>
              <w:rPr>
                <w:rFonts w:ascii="Clario;sans-serif" w:hAnsi="Clario;sans-serif"/>
                <w:color w:val="404040"/>
                <w:sz w:val="18"/>
              </w:rPr>
              <w:t>other required disclosures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20</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 xml:space="preserve">Appendix </w:t>
            </w:r>
            <w:r>
              <w:rPr>
                <w:rFonts w:ascii="Clario;sans-serif" w:hAnsi="Clario;sans-serif"/>
                <w:color w:val="404040"/>
                <w:sz w:val="18"/>
              </w:rPr>
              <w:t>-</w:t>
            </w:r>
            <w:r>
              <w:rPr>
                <w:rFonts w:ascii="Times New Roman" w:hAnsi="Times New Roman"/>
                <w:color w:val="404040"/>
                <w:sz w:val="18"/>
              </w:rPr>
              <w:t xml:space="preserve"> </w:t>
            </w:r>
            <w:r>
              <w:rPr>
                <w:rFonts w:ascii="Clario;sans-serif" w:hAnsi="Clario;sans-serif"/>
                <w:color w:val="404040"/>
                <w:sz w:val="18"/>
              </w:rPr>
              <w:t>supplemental information</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22</w:t>
            </w:r>
          </w:p>
        </w:tc>
      </w:tr>
    </w:tbl>
    <w:p>
      <w:pPr>
        <w:pStyle w:val="TextBody"/>
        <w:bidi w:val="0"/>
        <w:spacing w:before="100" w:after="283"/>
        <w:jc w:val="left"/>
        <w:rPr>
          <w:rFonts w:ascii="Times New Roman" w:hAnsi="Times New Roman"/>
          <w:sz w:val="20"/>
        </w:rPr>
      </w:pPr>
      <w:r>
        <w:rPr>
          <w:rFonts w:ascii="Clario;sans-serif" w:hAnsi="Clario;sans-serif"/>
          <w:color w:val="404040"/>
          <w:sz w:val="18"/>
        </w:rPr>
        <w:t>Unless otherwise indicated or the context otherwise requires, references in this discussion to “we,” “our,” “us”, the “Company” and “Thomson Reuters” are to Thomson Reuters Corporation and our subsidiaries.</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Basis of presentation</w:t>
      </w:r>
    </w:p>
    <w:p>
      <w:pPr>
        <w:pStyle w:val="TextBody"/>
        <w:bidi w:val="0"/>
        <w:spacing w:before="100" w:after="283"/>
        <w:jc w:val="left"/>
        <w:rPr>
          <w:rFonts w:ascii="Times New Roman" w:hAnsi="Times New Roman"/>
          <w:sz w:val="20"/>
        </w:rPr>
      </w:pPr>
      <w:r>
        <w:rPr>
          <w:rFonts w:ascii="Clario;sans-serif" w:hAnsi="Clario;sans-serif"/>
          <w:color w:val="404040"/>
          <w:sz w:val="18"/>
        </w:rPr>
        <w:t>We prepare our consolidated financial statements in U.S. dollars and in accordance with International Financial Reporting Standards (IFRS), as issued by the International Accounting Standards Board.</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 the first quarter of 2026, we changed our segment reporting to reflect how we currently manage our segments. Prior period amounts have been revised to reflect the current presentation. Refer to the “Additional information” section of this management’s discussion and analysis for further information.</w:t>
      </w:r>
    </w:p>
    <w:p>
      <w:pPr>
        <w:pStyle w:val="TextBody"/>
        <w:bidi w:val="0"/>
        <w:spacing w:before="100" w:after="283"/>
        <w:jc w:val="left"/>
        <w:rPr>
          <w:rFonts w:ascii="Times New Roman" w:hAnsi="Times New Roman"/>
          <w:sz w:val="20"/>
        </w:rPr>
      </w:pPr>
      <w:r>
        <w:rPr>
          <w:rFonts w:ascii="Clario;sans-serif" w:hAnsi="Clario;sans-serif"/>
          <w:color w:val="404040"/>
          <w:sz w:val="18"/>
        </w:rPr>
        <w:t>Other than earnings per share,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Use of non-IFRS financial measures</w:t>
      </w:r>
    </w:p>
    <w:p>
      <w:pPr>
        <w:pStyle w:val="TextBody"/>
        <w:bidi w:val="0"/>
        <w:spacing w:before="100" w:after="283"/>
        <w:jc w:val="left"/>
        <w:rPr>
          <w:rFonts w:ascii="Times New Roman" w:hAnsi="Times New Roman"/>
          <w:sz w:val="20"/>
        </w:rPr>
      </w:pPr>
      <w:r>
        <w:rPr>
          <w:rFonts w:ascii="Clario;sans-serif" w:hAnsi="Clario;sans-serif"/>
          <w:color w:val="404040"/>
          <w:sz w:val="18"/>
        </w:rPr>
        <w:t>In this management’s discussion and analysis, we discuss our results on an IFRS and non-IFRS basis. 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We believe non-IFRS financial measures provide additional insight into our performance. Non-IFRS measures do not have standardized meanings prescribed by IFRS and therefore are unlikely to be comparable to the calculation of similar measures used by other companies, and should not be viewed as alternatives to measures of financial performance calculated in accordance with IFRS.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See Appendix A of this management’s discussion and analysis for a description of our non-IFRS financial measures, including an explanation of why we believe they are useful measures of our performance. Refer to Appendix B for reconciliations of our non-IFRS financial measures to the most directly comparable IFRS measures.</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Glossary of key terms</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terms in this management’s discussion and analysis have the following meanings, unless otherwise indicated:</w:t>
      </w:r>
      <w:r>
        <w:rPr>
          <w:rFonts w:ascii="Times New Roman" w:hAnsi="Times New Roman"/>
          <w:color w:val="40404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9"/>
        <w:gridCol w:w="8576"/>
      </w:tblGrid>
      <w:tr>
        <w:trPr/>
        <w:tc>
          <w:tcPr>
            <w:tcW w:w="1629" w:type="dxa"/>
            <w:tcBorders/>
            <w:vAlign w:val="center"/>
          </w:tcPr>
          <w:p>
            <w:pPr>
              <w:pStyle w:val="TableContents"/>
              <w:bidi w:val="0"/>
              <w:spacing w:before="0" w:after="283"/>
              <w:jc w:val="left"/>
              <w:rPr>
                <w:sz w:val="4"/>
                <w:szCs w:val="4"/>
              </w:rPr>
            </w:pPr>
            <w:r>
              <w:rPr>
                <w:sz w:val="4"/>
                <w:szCs w:val="4"/>
              </w:rPr>
            </w:r>
          </w:p>
        </w:tc>
        <w:tc>
          <w:tcPr>
            <w:tcW w:w="8576" w:type="dxa"/>
            <w:tcBorders/>
            <w:vAlign w:val="center"/>
          </w:tcPr>
          <w:p>
            <w:pPr>
              <w:pStyle w:val="TableContents"/>
              <w:bidi w:val="0"/>
              <w:spacing w:before="0" w:after="283"/>
              <w:jc w:val="left"/>
              <w:rPr>
                <w:sz w:val="4"/>
                <w:szCs w:val="4"/>
              </w:rPr>
            </w:pPr>
            <w:r>
              <w:rPr>
                <w:sz w:val="4"/>
                <w:szCs w:val="4"/>
              </w:rPr>
            </w:r>
          </w:p>
        </w:tc>
      </w:tr>
      <w:tr>
        <w:trPr/>
        <w:tc>
          <w:tcPr>
            <w:tcW w:w="1629" w:type="dxa"/>
            <w:tcBorders>
              <w:top w:val="single" w:sz="8" w:space="0" w:color="4D4D4D"/>
              <w:left w:val="single" w:sz="8" w:space="0" w:color="4D4D4D"/>
              <w:bottom w:val="single" w:sz="8" w:space="0" w:color="4D4D4D"/>
              <w:right w:val="single" w:sz="8" w:space="0" w:color="4D4D4D"/>
            </w:tcBorders>
            <w:vAlign w:val="center"/>
          </w:tcPr>
          <w:p>
            <w:pPr>
              <w:pStyle w:val="TableContents"/>
              <w:bidi w:val="0"/>
              <w:spacing w:before="0" w:after="283"/>
              <w:jc w:val="left"/>
              <w:rPr>
                <w:rFonts w:ascii="Times New Roman" w:hAnsi="Times New Roman"/>
                <w:sz w:val="18"/>
              </w:rPr>
            </w:pPr>
            <w:r>
              <w:rPr>
                <w:rFonts w:ascii="Clario;sans-serif" w:hAnsi="Clario;sans-serif"/>
                <w:b/>
                <w:caps/>
                <w:color w:val="404040"/>
                <w:sz w:val="18"/>
              </w:rPr>
              <w:t>t</w:t>
            </w:r>
            <w:r>
              <w:rPr>
                <w:rFonts w:ascii="Clario;sans-serif" w:hAnsi="Clario;sans-serif"/>
                <w:b/>
                <w:color w:val="404040"/>
                <w:sz w:val="18"/>
              </w:rPr>
              <w:t>erm</w:t>
            </w:r>
          </w:p>
        </w:tc>
        <w:tc>
          <w:tcPr>
            <w:tcW w:w="8576" w:type="dxa"/>
            <w:tcBorders>
              <w:top w:val="single" w:sz="8" w:space="0" w:color="4D4D4D"/>
              <w:bottom w:val="single" w:sz="8" w:space="0" w:color="4D4D4D"/>
              <w:right w:val="single" w:sz="8" w:space="0" w:color="4D4D4D"/>
            </w:tcBorders>
            <w:tcMar>
              <w:left w:w="0" w:type="dxa"/>
            </w:tcMar>
            <w:vAlign w:val="center"/>
          </w:tcPr>
          <w:p>
            <w:pPr>
              <w:pStyle w:val="TableContents"/>
              <w:bidi w:val="0"/>
              <w:spacing w:before="0" w:after="283"/>
              <w:jc w:val="left"/>
              <w:rPr>
                <w:rFonts w:ascii="Times New Roman" w:hAnsi="Times New Roman"/>
                <w:sz w:val="18"/>
              </w:rPr>
            </w:pPr>
            <w:r>
              <w:rPr>
                <w:rFonts w:ascii="Clario;sans-serif" w:hAnsi="Clario;sans-serif"/>
                <w:b/>
                <w:caps/>
                <w:color w:val="404040"/>
                <w:sz w:val="18"/>
              </w:rPr>
              <w:t>D</w:t>
            </w:r>
            <w:r>
              <w:rPr>
                <w:rFonts w:ascii="Clario;sans-serif" w:hAnsi="Clario;sans-serif"/>
                <w:b/>
                <w:color w:val="404040"/>
                <w:sz w:val="18"/>
              </w:rPr>
              <w:t>efinition</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AI</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Artificial intelligence</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color w:val="404040"/>
              </w:rPr>
            </w:pPr>
            <w:r>
              <w:rPr>
                <w:color w:val="404040"/>
              </w:rPr>
              <w:t>“</w:t>
            </w:r>
            <w:r>
              <w:rPr>
                <w:rFonts w:ascii="Clario;sans-serif" w:hAnsi="Clario;sans-serif"/>
                <w:color w:val="404040"/>
                <w:sz w:val="18"/>
              </w:rPr>
              <w:t>Big 3” segments</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Our combined Legal Professionals, Corporates and Tax, Audit &amp; Accounting Professionals segments</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Times New Roman" w:hAnsi="Times New Roman"/>
                <w:sz w:val="18"/>
              </w:rPr>
            </w:pPr>
            <w:r>
              <w:rPr>
                <w:rFonts w:ascii="Clario;sans-serif" w:hAnsi="Clario;sans-serif"/>
                <w:color w:val="404040"/>
                <w:sz w:val="18"/>
              </w:rPr>
              <w:t>bp</w:t>
            </w:r>
            <w:r>
              <w:rPr>
                <w:rFonts w:ascii="Times New Roman" w:hAnsi="Times New Roman"/>
                <w:color w:val="404040"/>
                <w:sz w:val="18"/>
              </w:rPr>
              <w:t xml:space="preserve"> </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Basis points - one basis point is equal to 1/100</w:t>
            </w:r>
            <w:r>
              <w:rPr>
                <w:rFonts w:ascii="Clario;sans-serif" w:hAnsi="Clario;sans-serif"/>
                <w:color w:val="404040"/>
                <w:sz w:val="12"/>
              </w:rPr>
              <w:t>th</w:t>
            </w:r>
            <w:r>
              <w:rPr>
                <w:rFonts w:ascii="Times New Roman" w:hAnsi="Times New Roman"/>
                <w:color w:val="404040"/>
                <w:sz w:val="18"/>
              </w:rPr>
              <w:t> </w:t>
            </w:r>
            <w:r>
              <w:rPr>
                <w:rFonts w:ascii="Clario;sans-serif" w:hAnsi="Clario;sans-serif"/>
                <w:color w:val="404040"/>
                <w:sz w:val="18"/>
              </w:rPr>
              <w:t>of 1%; “100bp” is equivalent to 1%</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Canadian dollars</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constant currency</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 non-IFRS measure derived by applying the same foreign currency exchange rates to the financial results of the current and equivalent prior-year period</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EBITDA</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Earnings before interest, tax, depreciation and amortization</w:t>
            </w:r>
            <w:r>
              <w:rPr>
                <w:rFonts w:ascii="Times New Roman" w:hAnsi="Times New Roman"/>
                <w:color w:val="404040"/>
                <w:sz w:val="18"/>
              </w:rPr>
              <w:t xml:space="preserve"> </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EPS</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per share</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jc w:val="both"/>
              <w:rPr>
                <w:rFonts w:ascii="Times New Roman" w:hAnsi="Times New Roman"/>
                <w:sz w:val="18"/>
              </w:rPr>
            </w:pPr>
            <w:r>
              <w:rPr>
                <w:rFonts w:ascii="Clario;sans-serif" w:hAnsi="Clario;sans-serif"/>
                <w:color w:val="404040"/>
                <w:sz w:val="18"/>
              </w:rPr>
              <w:t>Fiduciary-Grade AI</w:t>
            </w:r>
            <w:r>
              <w:rPr>
                <w:rFonts w:ascii="Clario;sans-serif" w:hAnsi="Clario;sans-serif"/>
                <w:color w:val="404040"/>
                <w:sz w:val="12"/>
              </w:rPr>
              <w:t>TM</w:t>
            </w:r>
            <w:r>
              <w:rPr>
                <w:rFonts w:ascii="Times New Roman" w:hAnsi="Times New Roman"/>
                <w:color w:val="404040"/>
                <w:sz w:val="18"/>
              </w:rPr>
              <w:t xml:space="preserve"> </w:t>
            </w:r>
          </w:p>
          <w:p>
            <w:pPr>
              <w:pStyle w:val="TableContents"/>
              <w:bidi w:val="0"/>
              <w:spacing w:before="0" w:after="283"/>
              <w:jc w:val="left"/>
              <w:rPr/>
            </w:pPr>
            <w:r>
              <w:rPr/>
              <w:t> </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At Thomson Reuters, Fiduciary</w:t>
              <w:noBreakHyphen/>
              <w:t>Grade AI</w:t>
            </w:r>
            <w:r>
              <w:rPr>
                <w:rFonts w:ascii="Times New Roman" w:hAnsi="Times New Roman"/>
                <w:color w:val="404040"/>
                <w:sz w:val="18"/>
              </w:rPr>
              <w:t xml:space="preserve"> </w:t>
            </w:r>
            <w:r>
              <w:rPr>
                <w:rFonts w:ascii="Clario;sans-serif" w:hAnsi="Clario;sans-serif"/>
                <w:color w:val="404040"/>
                <w:sz w:val="18"/>
              </w:rPr>
              <w:t>is our standard for how AI should work in high</w:t>
              <w:noBreakHyphen/>
              <w:t>stakes professions. It’s AI designed for professionals with duties of care and regulatory oversight-drawing on our authoritative, domain</w:t>
              <w:noBreakHyphen/>
              <w:t>specific content; protected by rigorous privacy and security safeguards; shaped by subject</w:t>
              <w:noBreakHyphen/>
              <w:t>matter experts; and designed to produce transparent outputs that can be verified. Fiduciary-Grade AI</w:t>
            </w:r>
            <w:r>
              <w:rPr>
                <w:rFonts w:ascii="Times New Roman" w:hAnsi="Times New Roman"/>
                <w:color w:val="404040"/>
                <w:sz w:val="18"/>
              </w:rPr>
              <w:t xml:space="preserve"> </w:t>
            </w:r>
            <w:r>
              <w:rPr>
                <w:rFonts w:ascii="Clario;sans-serif" w:hAnsi="Clario;sans-serif"/>
                <w:color w:val="404040"/>
                <w:sz w:val="18"/>
              </w:rPr>
              <w:t>sets the bar when accuracy, accountability, and trust are paramount.</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IASB</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International Accounting Standards Board</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IFRS</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International Financial Reporting Standards</w:t>
            </w:r>
            <w:r>
              <w:rPr>
                <w:rFonts w:ascii="Times New Roman" w:hAnsi="Times New Roman"/>
                <w:color w:val="404040"/>
                <w:sz w:val="18"/>
              </w:rPr>
              <w:t xml:space="preserve"> </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LSEG</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London Stock Exchange Group plc</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n/a</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Not applicable</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n/m</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Not meaningful</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Nasdaq</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The Nasdaq Stock Market LLC</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organic or organically</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A non-IFRS measure that represents changes in revenues of our existing businesses at constant currency. The metric excludes the distortive impacts of acquisitions and dispositions from not owning the business in both comparable periods</w:t>
            </w:r>
            <w:r>
              <w:rPr>
                <w:rFonts w:ascii="Times New Roman" w:hAnsi="Times New Roman"/>
                <w:color w:val="404040"/>
                <w:sz w:val="18"/>
              </w:rPr>
              <w:t xml:space="preserve"> </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ROIC</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Return on invested capital. A non-IFRS measure that is computed as adjusted operating profit (operating profit excluding amortization of acquired intangible assets attributable to other identifiable intangible assets and acquired software, other operating gains and losses, and fair value adjustments) less net taxes paid expressed as a percentage of the average adjusted invested capital during the period</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SEC</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U.S. Securities and Exchange Commission</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TSX</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Toronto Stock Exchange</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Woodbridge</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The Woodbridge Company Limited, our principal and controlling shareholder</w:t>
            </w:r>
          </w:p>
        </w:tc>
      </w:tr>
      <w:tr>
        <w:trPr/>
        <w:tc>
          <w:tcPr>
            <w:tcW w:w="1629"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 and US$</w:t>
            </w:r>
            <w:r>
              <w:rPr>
                <w:rFonts w:ascii="Times New Roman" w:hAnsi="Times New Roman"/>
                <w:color w:val="404040"/>
                <w:sz w:val="18"/>
              </w:rPr>
              <w:t xml:space="preserve"> </w:t>
            </w:r>
          </w:p>
        </w:tc>
        <w:tc>
          <w:tcPr>
            <w:tcW w:w="8576"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U.S. dollars</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b/>
          <w:color w:val="404040"/>
          <w:sz w:val="24"/>
        </w:rPr>
        <w:t>Executive Summary</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20"/>
        </w:rPr>
      </w:pPr>
      <w:r>
        <w:rPr>
          <w:rFonts w:ascii="Clario;sans-serif" w:hAnsi="Clario;sans-serif"/>
          <w:b/>
          <w:color w:val="404040"/>
          <w:sz w:val="20"/>
        </w:rPr>
        <w:t>Our company</w:t>
      </w:r>
    </w:p>
    <w:p>
      <w:pPr>
        <w:pStyle w:val="TextBody"/>
        <w:bidi w:val="0"/>
        <w:spacing w:before="100" w:after="283"/>
        <w:jc w:val="left"/>
        <w:rPr>
          <w:rFonts w:ascii="Times New Roman" w:hAnsi="Times New Roman"/>
          <w:sz w:val="20"/>
        </w:rPr>
      </w:pPr>
      <w:r>
        <w:rPr>
          <w:rFonts w:ascii="Clario;sans-serif" w:hAnsi="Clario;sans-serif"/>
          <w:color w:val="404040"/>
          <w:sz w:val="18"/>
        </w:rPr>
        <w:t>Thomson Reuters (TSX/Nasdaq: TRI) powers business-critical professions with Fiduciary-Grade AI</w:t>
      </w:r>
      <w:r>
        <w:rPr>
          <w:rFonts w:ascii="Clario;sans-serif" w:hAnsi="Clario;sans-serif"/>
          <w:color w:val="404040"/>
          <w:sz w:val="12"/>
        </w:rPr>
        <w:t>TM</w:t>
      </w:r>
      <w:r>
        <w:rPr>
          <w:rFonts w:ascii="Times New Roman" w:hAnsi="Times New Roman"/>
          <w:color w:val="404040"/>
          <w:sz w:val="20"/>
        </w:rPr>
        <w:t xml:space="preserve"> </w:t>
      </w:r>
      <w:r>
        <w:rPr>
          <w:rFonts w:ascii="Clario;sans-serif" w:hAnsi="Clario;sans-serif"/>
          <w:color w:val="404040"/>
          <w:sz w:val="18"/>
        </w:rPr>
        <w:t>they can trust in the moments that matter. We unite unparalleled expertise, proprietary content, and seamless workflows to help our customers move with speed, think with clarity, and lead with confidence. Across our products, we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thomsonreuters</w:t>
      </w:r>
      <w:r>
        <w:rPr>
          <w:rFonts w:ascii="Clario;sans-serif" w:hAnsi="Clario;sans-serif"/>
          <w:sz w:val="18"/>
        </w:rPr>
        <w:t>.com</w:t>
      </w:r>
      <w:r>
        <w:rPr>
          <w:rFonts w:ascii="Clario;sans-serif" w:hAnsi="Clario;sans-serif"/>
          <w:color w:val="404040"/>
          <w:sz w:val="18"/>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We derive a significant portion of our revenues from selling information and software solutions, mostly on a recurring subscription basis. Our professional-grade solutions are built on comprehensive proprietary content and deep domain expertise with software, embedded AI capabilities and automation tools. We believe our workflow solutions make our customers more productive by streamlining how they operate, enabling them to focus on higher value activities. Many of our customers use our solutions that are deeply integrated into their workflows, which has led to strong customer retention. We believe that our customers trust us because of our decades serving high-stakes workflows, where accuracy and reliability are non-negotiable, our enterprise-grade security and governance built for regulated environments, and our deep understanding of their businesses and industries. They rely on our services for navigating a rapidly changing and increasingly complex digital and global landscape. Over the years, our business model has proven to be capital efficient and cash flow generative, and it has enabled us to maintain leading and scalable positions in our chosen market segments.</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00" w:after="283"/>
        <w:jc w:val="left"/>
        <w:rPr>
          <w:rFonts w:ascii="Times New Roman" w:hAnsi="Times New Roman"/>
          <w:sz w:val="20"/>
        </w:rPr>
      </w:pPr>
      <w:r>
        <w:rPr>
          <w:rFonts w:ascii="Clario;sans-serif" w:hAnsi="Clario;sans-serif"/>
          <w:color w:val="404040"/>
          <w:sz w:val="18"/>
        </w:rPr>
        <w:t>For the first six months of 2026, we were organized as five reportable segments, reflecting how our products and services are managed and offered to target customers as described below.</w:t>
      </w:r>
      <w:r>
        <w:rPr>
          <w:rFonts w:ascii="Times New Roman" w:hAnsi="Times New Roman"/>
          <w:color w:val="404040"/>
          <w:sz w:val="20"/>
        </w:rPr>
        <w:t xml:space="preserve"> </w:t>
      </w:r>
    </w:p>
    <w:tbl>
      <w:tblPr>
        <w:tblW w:w="10205" w:type="dxa"/>
        <w:jc w:val="left"/>
        <w:tblInd w:w="0" w:type="dxa"/>
        <w:tblLayout w:type="fixed"/>
        <w:tblCellMar>
          <w:top w:w="28" w:type="dxa"/>
          <w:left w:w="28" w:type="dxa"/>
          <w:bottom w:w="28" w:type="dxa"/>
          <w:right w:w="28" w:type="dxa"/>
        </w:tblCellMar>
      </w:tblPr>
      <w:tblGrid>
        <w:gridCol w:w="1046"/>
        <w:gridCol w:w="5842"/>
        <w:gridCol w:w="3317"/>
      </w:tblGrid>
      <w:tr>
        <w:trPr/>
        <w:tc>
          <w:tcPr>
            <w:tcW w:w="1046" w:type="dxa"/>
            <w:tcBorders/>
            <w:vAlign w:val="center"/>
          </w:tcPr>
          <w:p>
            <w:pPr>
              <w:pStyle w:val="TableContents"/>
              <w:bidi w:val="0"/>
              <w:spacing w:before="0" w:after="283"/>
              <w:jc w:val="left"/>
              <w:rPr>
                <w:sz w:val="4"/>
                <w:szCs w:val="4"/>
              </w:rPr>
            </w:pPr>
            <w:r>
              <w:rPr>
                <w:sz w:val="4"/>
                <w:szCs w:val="4"/>
              </w:rPr>
            </w:r>
          </w:p>
        </w:tc>
        <w:tc>
          <w:tcPr>
            <w:tcW w:w="5842" w:type="dxa"/>
            <w:tcBorders/>
            <w:vAlign w:val="center"/>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10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42" w:type="dxa"/>
            <w:tcBorders/>
            <w:tcMar>
              <w:top w:w="0" w:type="dxa"/>
              <w:left w:w="0" w:type="dxa"/>
              <w:bottom w:w="0" w:type="dxa"/>
              <w:right w:w="0" w:type="dxa"/>
            </w:tcMar>
            <w:vAlign w:val="center"/>
          </w:tcPr>
          <w:p>
            <w:pPr>
              <w:pStyle w:val="TableContents"/>
              <w:bidi w:val="0"/>
              <w:spacing w:before="0" w:after="283"/>
              <w:jc w:val="both"/>
              <w:rPr/>
            </w:pPr>
            <w:r>
              <w:rPr/>
              <w:t> </w:t>
            </w:r>
          </w:p>
        </w:tc>
        <w:tc>
          <w:tcPr>
            <w:tcW w:w="331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4"/>
              </w:rPr>
            </w:pPr>
            <w:r>
              <w:rPr>
                <w:rFonts w:ascii="Times New Roman" w:hAnsi="Times New Roman"/>
                <w:color w:val="000000"/>
                <w:sz w:val="4"/>
              </w:rPr>
              <w:t>\</w:t>
            </w:r>
          </w:p>
          <w:p>
            <w:pPr>
              <w:pStyle w:val="TableContents"/>
              <w:bidi w:val="0"/>
              <w:jc w:val="center"/>
              <w:rPr/>
            </w:pPr>
            <w:r>
              <w:rPr/>
              <w:drawing>
                <wp:inline distT="0" distB="0" distL="0" distR="0">
                  <wp:extent cx="523875" cy="600075"/>
                  <wp:effectExtent l="0" t="0" r="0" b="0"/>
                  <wp:docPr id="25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6" descr=""/>
                          <pic:cNvPicPr>
                            <a:picLocks noChangeAspect="1" noChangeArrowheads="1"/>
                          </pic:cNvPicPr>
                        </pic:nvPicPr>
                        <pic:blipFill>
                          <a:blip r:embed="rId130"/>
                          <a:stretch>
                            <a:fillRect/>
                          </a:stretch>
                        </pic:blipFill>
                        <pic:spPr bwMode="auto">
                          <a:xfrm>
                            <a:off x="0" y="0"/>
                            <a:ext cx="523875" cy="600075"/>
                          </a:xfrm>
                          <a:prstGeom prst="rect">
                            <a:avLst/>
                          </a:prstGeom>
                        </pic:spPr>
                      </pic:pic>
                    </a:graphicData>
                  </a:graphic>
                </wp:inline>
              </w:drawing>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center"/>
              <w:rPr/>
            </w:pPr>
            <w:r>
              <w:rPr/>
              <w:drawing>
                <wp:inline distT="0" distB="0" distL="0" distR="0">
                  <wp:extent cx="600075" cy="628650"/>
                  <wp:effectExtent l="0" t="0" r="0" b="0"/>
                  <wp:docPr id="26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7" descr=""/>
                          <pic:cNvPicPr>
                            <a:picLocks noChangeAspect="1" noChangeArrowheads="1"/>
                          </pic:cNvPicPr>
                        </pic:nvPicPr>
                        <pic:blipFill>
                          <a:blip r:embed="rId131"/>
                          <a:stretch>
                            <a:fillRect/>
                          </a:stretch>
                        </pic:blipFill>
                        <pic:spPr bwMode="auto">
                          <a:xfrm>
                            <a:off x="0" y="0"/>
                            <a:ext cx="600075" cy="628650"/>
                          </a:xfrm>
                          <a:prstGeom prst="rect">
                            <a:avLst/>
                          </a:prstGeom>
                        </pic:spPr>
                      </pic:pic>
                    </a:graphicData>
                  </a:graphic>
                </wp:inline>
              </w:drawing>
            </w:r>
          </w:p>
          <w:p>
            <w:pPr>
              <w:pStyle w:val="TableContents"/>
              <w:bidi w:val="0"/>
              <w:jc w:val="center"/>
              <w:rPr/>
            </w:pPr>
            <w:r>
              <w:rPr/>
              <w:t> </w:t>
            </w:r>
          </w:p>
          <w:p>
            <w:pPr>
              <w:pStyle w:val="TableContents"/>
              <w:bidi w:val="0"/>
              <w:jc w:val="center"/>
              <w:rPr/>
            </w:pPr>
            <w:r>
              <w:rPr/>
              <w:t> </w:t>
            </w:r>
          </w:p>
          <w:p>
            <w:pPr>
              <w:pStyle w:val="TableContents"/>
              <w:bidi w:val="0"/>
              <w:jc w:val="center"/>
              <w:rPr/>
            </w:pPr>
            <w:r>
              <w:rPr/>
              <w:drawing>
                <wp:inline distT="0" distB="0" distL="0" distR="0">
                  <wp:extent cx="581025" cy="638175"/>
                  <wp:effectExtent l="0" t="0" r="0" b="0"/>
                  <wp:docPr id="26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8" descr=""/>
                          <pic:cNvPicPr>
                            <a:picLocks noChangeAspect="1" noChangeArrowheads="1"/>
                          </pic:cNvPicPr>
                        </pic:nvPicPr>
                        <pic:blipFill>
                          <a:blip r:embed="rId132"/>
                          <a:stretch>
                            <a:fillRect/>
                          </a:stretch>
                        </pic:blipFill>
                        <pic:spPr bwMode="auto">
                          <a:xfrm>
                            <a:off x="0" y="0"/>
                            <a:ext cx="581025" cy="638175"/>
                          </a:xfrm>
                          <a:prstGeom prst="rect">
                            <a:avLst/>
                          </a:prstGeom>
                        </pic:spPr>
                      </pic:pic>
                    </a:graphicData>
                  </a:graphic>
                </wp:inline>
              </w:drawing>
            </w:r>
          </w:p>
          <w:p>
            <w:pPr>
              <w:pStyle w:val="TableContents"/>
              <w:bidi w:val="0"/>
              <w:jc w:val="right"/>
              <w:rPr/>
            </w:pPr>
            <w:r>
              <w:rPr/>
              <w:t> </w:t>
            </w:r>
          </w:p>
          <w:p>
            <w:pPr>
              <w:pStyle w:val="TableContents"/>
              <w:bidi w:val="0"/>
              <w:jc w:val="right"/>
              <w:rPr/>
            </w:pPr>
            <w:r>
              <w:rPr/>
              <w:t> </w:t>
            </w:r>
          </w:p>
          <w:p>
            <w:pPr>
              <w:pStyle w:val="TableContents"/>
              <w:bidi w:val="0"/>
              <w:jc w:val="center"/>
              <w:rPr/>
            </w:pPr>
            <w:r>
              <w:rPr/>
              <w:drawing>
                <wp:inline distT="0" distB="0" distL="0" distR="0">
                  <wp:extent cx="590550" cy="466725"/>
                  <wp:effectExtent l="0" t="0" r="0" b="0"/>
                  <wp:docPr id="26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 descr=""/>
                          <pic:cNvPicPr>
                            <a:picLocks noChangeAspect="1" noChangeArrowheads="1"/>
                          </pic:cNvPicPr>
                        </pic:nvPicPr>
                        <pic:blipFill>
                          <a:blip r:embed="rId133"/>
                          <a:stretch>
                            <a:fillRect/>
                          </a:stretch>
                        </pic:blipFill>
                        <pic:spPr bwMode="auto">
                          <a:xfrm>
                            <a:off x="0" y="0"/>
                            <a:ext cx="590550" cy="466725"/>
                          </a:xfrm>
                          <a:prstGeom prst="rect">
                            <a:avLst/>
                          </a:prstGeom>
                        </pic:spPr>
                      </pic:pic>
                    </a:graphicData>
                  </a:graphic>
                </wp:inline>
              </w:drawing>
            </w:r>
          </w:p>
          <w:p>
            <w:pPr>
              <w:pStyle w:val="TableContents"/>
              <w:bidi w:val="0"/>
              <w:jc w:val="right"/>
              <w:rPr/>
            </w:pPr>
            <w:r>
              <w:rPr/>
              <w:t> </w:t>
            </w:r>
          </w:p>
          <w:p>
            <w:pPr>
              <w:pStyle w:val="TableContents"/>
              <w:bidi w:val="0"/>
              <w:jc w:val="right"/>
              <w:rPr/>
            </w:pPr>
            <w:r>
              <w:rPr/>
              <w:t> </w:t>
            </w:r>
          </w:p>
          <w:p>
            <w:pPr>
              <w:pStyle w:val="TableContents"/>
              <w:bidi w:val="0"/>
              <w:jc w:val="right"/>
              <w:rPr/>
            </w:pPr>
            <w:r>
              <w:rPr/>
              <w:t> </w:t>
            </w:r>
          </w:p>
          <w:p>
            <w:pPr>
              <w:pStyle w:val="TableContents"/>
              <w:bidi w:val="0"/>
              <w:spacing w:before="0" w:after="283"/>
              <w:jc w:val="center"/>
              <w:rPr/>
            </w:pPr>
            <w:r>
              <w:rPr/>
              <w:drawing>
                <wp:inline distT="0" distB="0" distL="0" distR="0">
                  <wp:extent cx="485775" cy="400050"/>
                  <wp:effectExtent l="0" t="0" r="0" b="0"/>
                  <wp:docPr id="26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0" descr=""/>
                          <pic:cNvPicPr>
                            <a:picLocks noChangeAspect="1" noChangeArrowheads="1"/>
                          </pic:cNvPicPr>
                        </pic:nvPicPr>
                        <pic:blipFill>
                          <a:blip r:embed="rId134"/>
                          <a:stretch>
                            <a:fillRect/>
                          </a:stretch>
                        </pic:blipFill>
                        <pic:spPr bwMode="auto">
                          <a:xfrm>
                            <a:off x="0" y="0"/>
                            <a:ext cx="485775" cy="400050"/>
                          </a:xfrm>
                          <a:prstGeom prst="rect">
                            <a:avLst/>
                          </a:prstGeom>
                        </pic:spPr>
                      </pic:pic>
                    </a:graphicData>
                  </a:graphic>
                </wp:inline>
              </w:drawing>
            </w:r>
          </w:p>
        </w:tc>
        <w:tc>
          <w:tcPr>
            <w:tcW w:w="5842" w:type="dxa"/>
            <w:tcBorders/>
            <w:tcMar>
              <w:top w:w="0" w:type="dxa"/>
              <w:left w:w="0" w:type="dxa"/>
              <w:bottom w:w="0" w:type="dxa"/>
              <w:right w:w="0" w:type="dxa"/>
            </w:tcMar>
            <w:vAlign w:val="center"/>
          </w:tcPr>
          <w:p>
            <w:pPr>
              <w:pStyle w:val="TableContents"/>
              <w:bidi w:val="0"/>
              <w:jc w:val="left"/>
              <w:rPr>
                <w:rFonts w:ascii="Clario;sans-serif" w:hAnsi="Clario;sans-serif"/>
                <w:b/>
                <w:color w:val="404040"/>
                <w:sz w:val="18"/>
              </w:rPr>
            </w:pPr>
            <w:r>
              <w:rPr>
                <w:rFonts w:ascii="Clario;sans-serif" w:hAnsi="Clario;sans-serif"/>
                <w:b/>
                <w:color w:val="404040"/>
                <w:sz w:val="18"/>
              </w:rPr>
              <w:t>Legal Professionals</w:t>
            </w:r>
          </w:p>
          <w:p>
            <w:pPr>
              <w:pStyle w:val="TableContents"/>
              <w:bidi w:val="0"/>
              <w:spacing w:before="100" w:after="283"/>
              <w:jc w:val="left"/>
              <w:rPr>
                <w:rFonts w:ascii="Times New Roman" w:hAnsi="Times New Roman"/>
                <w:sz w:val="20"/>
              </w:rPr>
            </w:pPr>
            <w:r>
              <w:rPr>
                <w:rFonts w:ascii="Clario;sans-serif" w:hAnsi="Clario;sans-serif"/>
                <w:color w:val="404040"/>
                <w:sz w:val="18"/>
              </w:rPr>
              <w:t>Serves law firms and governments with research and workflow products powered by AI-enabled technology, focusing on intuitive legal research and integrated legal workflow solutions that combine content, tools and analytics.</w:t>
            </w:r>
            <w:r>
              <w:rPr>
                <w:rFonts w:ascii="Times New Roman" w:hAnsi="Times New Roman"/>
                <w:color w:val="404040"/>
                <w:sz w:val="20"/>
              </w:rPr>
              <w:t xml:space="preserve">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Corporates</w:t>
            </w:r>
          </w:p>
          <w:p>
            <w:pPr>
              <w:pStyle w:val="TableContents"/>
              <w:bidi w:val="0"/>
              <w:spacing w:before="100" w:after="283"/>
              <w:jc w:val="left"/>
              <w:rPr>
                <w:rFonts w:ascii="Times New Roman" w:hAnsi="Times New Roman"/>
                <w:sz w:val="18"/>
              </w:rPr>
            </w:pPr>
            <w:r>
              <w:rPr>
                <w:rFonts w:ascii="Clario;sans-serif" w:hAnsi="Clario;sans-serif"/>
                <w:color w:val="404040"/>
                <w:sz w:val="18"/>
              </w:rPr>
              <w:t>Serves corporations, ranging from small businesses to multinational organizations, including the seven largest global accounting firms, with our full suite of content-driven products, powered by AI-enabled technology and integrated compliance workflow solutions to help them achieve their business outcomes.</w:t>
            </w:r>
            <w:r>
              <w:rPr>
                <w:rFonts w:ascii="Times New Roman" w:hAnsi="Times New Roman"/>
                <w:color w:val="404040"/>
                <w:sz w:val="18"/>
              </w:rPr>
              <w:t xml:space="preserve">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Tax, Audit &amp; Accounting Professionals</w:t>
            </w:r>
          </w:p>
          <w:p>
            <w:pPr>
              <w:pStyle w:val="TableContents"/>
              <w:bidi w:val="0"/>
              <w:spacing w:before="100" w:after="283"/>
              <w:jc w:val="left"/>
              <w:rPr>
                <w:rFonts w:ascii="Times New Roman" w:hAnsi="Times New Roman"/>
                <w:sz w:val="18"/>
              </w:rPr>
            </w:pPr>
            <w:r>
              <w:rPr>
                <w:rFonts w:ascii="Clario;sans-serif" w:hAnsi="Clario;sans-serif"/>
                <w:color w:val="404040"/>
                <w:sz w:val="18"/>
              </w:rPr>
              <w:t>Serves tax, audit and accounting firms (other than the seven largest, which are served by our Corporates segment) with research and workflow products powered by AI-enabled technology.</w:t>
            </w:r>
            <w:r>
              <w:rPr>
                <w:rFonts w:ascii="Times New Roman" w:hAnsi="Times New Roman"/>
                <w:color w:val="404040"/>
                <w:sz w:val="18"/>
              </w:rPr>
              <w:t xml:space="preserve">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Reuters</w:t>
            </w:r>
          </w:p>
          <w:p>
            <w:pPr>
              <w:pStyle w:val="TableContents"/>
              <w:bidi w:val="0"/>
              <w:spacing w:before="100" w:after="283"/>
              <w:jc w:val="left"/>
              <w:rPr>
                <w:rFonts w:ascii="Times New Roman" w:hAnsi="Times New Roman"/>
                <w:sz w:val="18"/>
              </w:rPr>
            </w:pPr>
            <w:r>
              <w:rPr>
                <w:rFonts w:ascii="Clario;sans-serif" w:hAnsi="Clario;sans-serif"/>
                <w:color w:val="404040"/>
                <w:sz w:val="18"/>
              </w:rPr>
              <w:t>Supplies business, financial and global news and data to the world’s media organizations, professionals and news consumers through Reuters News Agency, Reuters.com, Reuters Events, Thomson Reuters products and to financial firms exclusively via LSEG products.</w:t>
            </w:r>
            <w:r>
              <w:rPr>
                <w:rFonts w:ascii="Times New Roman" w:hAnsi="Times New Roman"/>
                <w:color w:val="404040"/>
                <w:sz w:val="18"/>
              </w:rPr>
              <w:t xml:space="preserve">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Global Print</w:t>
            </w:r>
          </w:p>
          <w:p>
            <w:pPr>
              <w:pStyle w:val="TableContents"/>
              <w:bidi w:val="0"/>
              <w:spacing w:before="100" w:after="283"/>
              <w:jc w:val="left"/>
              <w:rPr>
                <w:rFonts w:ascii="Times New Roman" w:hAnsi="Times New Roman"/>
                <w:sz w:val="18"/>
              </w:rPr>
            </w:pPr>
            <w:r>
              <w:rPr>
                <w:rFonts w:ascii="Clario;sans-serif" w:hAnsi="Clario;sans-serif"/>
                <w:color w:val="404040"/>
                <w:sz w:val="18"/>
              </w:rPr>
              <w:t>Provides legal and tax information primarily in print format to customers around the world and provides commercial printing services to a wide range of book publishers. We recently signed a definitive agreement to enter into a joint venture with KKR that includes the sale of a 51% interest in this business. See "Global Print Transaction" section below.</w:t>
            </w:r>
            <w:r>
              <w:rPr>
                <w:rFonts w:ascii="Times New Roman" w:hAnsi="Times New Roman"/>
                <w:color w:val="404040"/>
                <w:sz w:val="18"/>
              </w:rPr>
              <w:t xml:space="preserve"> </w:t>
            </w:r>
          </w:p>
        </w:tc>
        <w:tc>
          <w:tcPr>
            <w:tcW w:w="3317"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Clario;sans-serif" w:hAnsi="Clario;sans-serif"/>
                <w:b/>
                <w:color w:val="404040"/>
                <w:sz w:val="18"/>
              </w:rPr>
            </w:pPr>
            <w:r>
              <w:rPr>
                <w:rFonts w:ascii="Clario;sans-serif" w:hAnsi="Clario;sans-serif"/>
                <w:b/>
                <w:color w:val="404040"/>
                <w:sz w:val="18"/>
              </w:rPr>
              <w:t>Second Quarter 2026 Revenues</w:t>
            </w:r>
          </w:p>
          <w:p>
            <w:pPr>
              <w:pStyle w:val="TableContents"/>
              <w:bidi w:val="0"/>
              <w:jc w:val="center"/>
              <w:rPr/>
            </w:pPr>
            <w:r>
              <w:rPr/>
              <w:drawing>
                <wp:inline distT="0" distB="0" distL="0" distR="0">
                  <wp:extent cx="2019300" cy="1724025"/>
                  <wp:effectExtent l="0" t="0" r="0" b="0"/>
                  <wp:docPr id="26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1" descr=""/>
                          <pic:cNvPicPr>
                            <a:picLocks noChangeAspect="1" noChangeArrowheads="1"/>
                          </pic:cNvPicPr>
                        </pic:nvPicPr>
                        <pic:blipFill>
                          <a:blip r:embed="rId135"/>
                          <a:stretch>
                            <a:fillRect/>
                          </a:stretch>
                        </pic:blipFill>
                        <pic:spPr bwMode="auto">
                          <a:xfrm>
                            <a:off x="0" y="0"/>
                            <a:ext cx="2019300" cy="1724025"/>
                          </a:xfrm>
                          <a:prstGeom prst="rect">
                            <a:avLst/>
                          </a:prstGeom>
                        </pic:spPr>
                      </pic:pic>
                    </a:graphicData>
                  </a:graphic>
                </wp:inline>
              </w:drawing>
            </w:r>
          </w:p>
          <w:p>
            <w:pPr>
              <w:pStyle w:val="TableContents"/>
              <w:bidi w:val="0"/>
              <w:jc w:val="center"/>
              <w:rPr/>
            </w:pPr>
            <w:r>
              <w:rPr/>
              <w:t> </w:t>
            </w:r>
          </w:p>
          <w:p>
            <w:pPr>
              <w:pStyle w:val="TableContents"/>
              <w:bidi w:val="0"/>
              <w:jc w:val="center"/>
              <w:rPr/>
            </w:pPr>
            <w:r>
              <w:rPr/>
              <w:drawing>
                <wp:inline distT="0" distB="0" distL="0" distR="0">
                  <wp:extent cx="1971675" cy="1857375"/>
                  <wp:effectExtent l="0" t="0" r="0" b="0"/>
                  <wp:docPr id="26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2" descr=""/>
                          <pic:cNvPicPr>
                            <a:picLocks noChangeAspect="1" noChangeArrowheads="1"/>
                          </pic:cNvPicPr>
                        </pic:nvPicPr>
                        <pic:blipFill>
                          <a:blip r:embed="rId136"/>
                          <a:stretch>
                            <a:fillRect/>
                          </a:stretch>
                        </pic:blipFill>
                        <pic:spPr bwMode="auto">
                          <a:xfrm>
                            <a:off x="0" y="0"/>
                            <a:ext cx="1971675" cy="1857375"/>
                          </a:xfrm>
                          <a:prstGeom prst="rect">
                            <a:avLst/>
                          </a:prstGeom>
                        </pic:spPr>
                      </pic:pic>
                    </a:graphicData>
                  </a:graphic>
                </wp:inline>
              </w:drawing>
            </w:r>
          </w:p>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We refer to our Legal Professionals, Corporates and Tax, Audit &amp; Accounting Professionals segments, on a combined basis, as our “Big 3” segments.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Our businesses are supported by a corporate center that manages our commercial and technology operations, including those around our sales capabilities, digital customer experience, and product and content development, as well as our global facilities. Costs relating to these activities are allocated to our business segments. We also report “Corporate costs”, which includes expenses for centrally managed functions such as finance, legal, human resources and the executive office. These costs are not allocated to the segments and are included in consolidated adjusted EBITDA.</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00" w:after="283"/>
        <w:jc w:val="both"/>
        <w:rPr>
          <w:rFonts w:ascii="Times New Roman" w:hAnsi="Times New Roman"/>
          <w:sz w:val="20"/>
        </w:rPr>
      </w:pPr>
      <w:r>
        <w:rPr>
          <w:rFonts w:ascii="Clario;sans-serif" w:hAnsi="Clario;sans-serif"/>
          <w:b/>
          <w:color w:val="404040"/>
          <w:sz w:val="24"/>
        </w:rPr>
        <w:t>Financial Highlights</w:t>
      </w:r>
      <w:r>
        <w:rPr>
          <w:rFonts w:ascii="Times New Roman" w:hAnsi="Times New Roman"/>
          <w:color w:val="404040"/>
          <w:sz w:val="20"/>
        </w:rPr>
        <w:t xml:space="preserve"> </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Clario;sans-serif" w:hAnsi="Clario;sans-serif"/>
          <w:color w:val="404040"/>
          <w:sz w:val="18"/>
        </w:rPr>
        <w:t>Strong revenue growth continued in the second quarter as our revenues increased 9% in total and in constant currency. On an organic basis, revenues grew 8%, which reflected 9% growth in recurring revenues, 11% growth in transactions revenues and a 3% decline in Global Print. Our "Big 3" segments, which comprised 83% of total revenues, increased 10% on an organic basis driven by 9% growth in recurring revenues and 13% growth in transactions revenues.</w:t>
      </w:r>
      <w:r>
        <w:rPr>
          <w:rFonts w:ascii="Times New Roman" w:hAnsi="Times New Roman"/>
          <w:color w:val="404040"/>
          <w:sz w:val="20"/>
        </w:rPr>
        <w:t xml:space="preserve"> </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Our operating profit increased 28% and adjusted EBITDA increased 10%. Adjusted EBITDA margin increased to 38.1% from 37.8% in the prior-year period. Foreign currency contributed 10bp to the year-over-year change in adjusted EBITDA margin.</w:t>
      </w:r>
    </w:p>
    <w:p>
      <w:pPr>
        <w:pStyle w:val="TextBody"/>
        <w:bidi w:val="0"/>
        <w:spacing w:before="0" w:after="120"/>
        <w:jc w:val="left"/>
        <w:rPr>
          <w:rFonts w:ascii="Times New Roman" w:hAnsi="Times New Roman"/>
          <w:sz w:val="20"/>
        </w:rPr>
      </w:pPr>
      <w:r>
        <w:rPr>
          <w:rFonts w:ascii="Clario;sans-serif" w:hAnsi="Clario;sans-serif"/>
          <w:color w:val="404040"/>
          <w:sz w:val="18"/>
        </w:rPr>
        <w:t>In August 2026, we raised our 2026 full-year outlook for total and organic revenue growth to approximately 8.0% for our total company, and to a range of 9.5% to 10.0% for our "Big 3" segments. All other metrics in our 2026 full-year outlook are unchanged from our previous 2026 full-year outlook communicated on May 5, 2026.</w:t>
      </w:r>
      <w:r>
        <w:rPr>
          <w:rFonts w:ascii="Times New Roman" w:hAnsi="Times New Roman"/>
          <w:color w:val="404040"/>
          <w:sz w:val="20"/>
        </w:rPr>
        <w:t xml:space="preserve"> </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Our full-year 2026 outlook includes the forecasted results of the Global Print segment, consistent with the way we have presented our 2026 full-year outlook in the past our prior 2026 full-year outlooks. We will report our Global Print business as a discontinued operation when we release our third quarter results and plan to provide an updated full-year 2026 outlook at that time. See "Global Print Business Transaction" below and the “Outlook” section of this management’s discussion and analysis for further information.</w:t>
      </w:r>
    </w:p>
    <w:p>
      <w:pPr>
        <w:pStyle w:val="TextBody"/>
        <w:bidi w:val="0"/>
        <w:jc w:val="left"/>
        <w:rPr>
          <w:rFonts w:ascii="Times New Roman" w:hAnsi="Times New Roman"/>
          <w:sz w:val="20"/>
        </w:rPr>
      </w:pPr>
      <w:r>
        <w:rPr>
          <w:rFonts w:ascii="Clario;sans-serif" w:hAnsi="Clario;sans-serif"/>
          <w:color w:val="404040"/>
          <w:sz w:val="18"/>
        </w:rPr>
        <w:t>Our capital capacity and liquidity remain a key asset to support acquisitions and returns to shareholders. In the second quarter of 2026, we generated net cash flows from operating activities of $920 million and free cash flow of $727 million. In aggregate, we returned $980 million to our common shareholders from our $605 million return of capital and share consolidation transactions, $100 million under our February 2026 share repurchase plan, and $275 million in dividends. We also repaid our $500 million 3.35% notes upon maturity with cash on hand and commercial paper borrowings. In July 2026, we completed our February 2026 $600 million share repurchase program. See the “Liquidity and Capital Resources” and "Subsequent Events" sections of this management’s discussion and analysis for additional information.</w:t>
      </w:r>
      <w:r>
        <w:rPr>
          <w:rFonts w:ascii="Times New Roman" w:hAnsi="Times New Roman"/>
          <w:color w:val="404040"/>
          <w:sz w:val="20"/>
        </w:rPr>
        <w:t xml:space="preserve"> </w:t>
      </w:r>
    </w:p>
    <w:p>
      <w:pPr>
        <w:pStyle w:val="TextBody"/>
        <w:bidi w:val="0"/>
        <w:spacing w:before="100" w:after="120"/>
        <w:jc w:val="both"/>
        <w:rPr>
          <w:rFonts w:ascii="Clario;sans-serif" w:hAnsi="Clario;sans-serif"/>
          <w:b/>
          <w:color w:val="404040"/>
          <w:sz w:val="18"/>
        </w:rPr>
      </w:pPr>
      <w:r>
        <w:rPr>
          <w:rFonts w:ascii="Clario;sans-serif" w:hAnsi="Clario;sans-serif"/>
          <w:b/>
          <w:color w:val="404040"/>
          <w:sz w:val="18"/>
        </w:rPr>
        <w:t>Global Print Transaction</w:t>
      </w:r>
    </w:p>
    <w:p>
      <w:pPr>
        <w:pStyle w:val="TextBody"/>
        <w:bidi w:val="0"/>
        <w:jc w:val="left"/>
        <w:rPr>
          <w:rFonts w:ascii="Clario;sans-serif" w:hAnsi="Clario;sans-serif"/>
          <w:color w:val="404040"/>
          <w:sz w:val="18"/>
        </w:rPr>
      </w:pPr>
      <w:r>
        <w:rPr>
          <w:rFonts w:ascii="Clario;sans-serif" w:hAnsi="Clario;sans-serif"/>
          <w:color w:val="404040"/>
          <w:sz w:val="18"/>
        </w:rPr>
        <w:t>On July 14, 2026, we announced that we signed a definitive agreement to enter into a joint venture with KKR, a leading global investment firm. As part of the transaction, we will sell a 51% stake in our Global Print business to capital accounts advised by KKR and retain a 49% equity interest in the joint venture. We will receive approximately $500 million in gross proceeds at closing and expect the transaction to close in the fourth quarter of 2026, subject to specified regulatory approvals and customary closing conditions. We expect to record a pre-tax gain on the transaction at the time of closing.</w:t>
      </w:r>
    </w:p>
    <w:p>
      <w:pPr>
        <w:pStyle w:val="TextBody"/>
        <w:bidi w:val="0"/>
        <w:spacing w:before="100" w:after="283"/>
        <w:jc w:val="left"/>
        <w:rPr>
          <w:rFonts w:ascii="Times New Roman" w:hAnsi="Times New Roman"/>
          <w:sz w:val="20"/>
        </w:rPr>
      </w:pPr>
      <w:r>
        <w:rPr>
          <w:rFonts w:ascii="Clario;sans-serif" w:hAnsi="Clario;sans-serif"/>
          <w:color w:val="404040"/>
          <w:sz w:val="18"/>
        </w:rPr>
        <w:t>We will maintain intellectual property rights and full editorial control over our content portfolio. This new joint venture will hold an exclusive license to distribute the content in print and on ProView, Global Print’s eBook platform, under which it will pay us a royalty in return. We will also provide certain operational services to the joint venture under a multi-year transition services agreement. The royalty plus the transition services agreement will largely offset stranded costs from the separation.</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Global Print business will be classified as a discontinued operation in the third quarter of 2026 and will no longer be presented as a reportable segment. Once the transaction closes, we expect our total company organic revenue growth rate will increase 60bp to 70bp on an annual basis and we expect a minimal impact on total company adjusted EBITDA margin.</w:t>
      </w:r>
    </w:p>
    <w:p>
      <w:pPr>
        <w:pStyle w:val="TextBody"/>
        <w:bidi w:val="0"/>
        <w:spacing w:before="100" w:after="283"/>
        <w:jc w:val="left"/>
        <w:rPr>
          <w:rFonts w:ascii="Times New Roman" w:hAnsi="Times New Roman"/>
          <w:sz w:val="20"/>
        </w:rPr>
      </w:pPr>
      <w:r>
        <w:rPr>
          <w:rFonts w:ascii="Clario;sans-serif" w:hAnsi="Clario;sans-serif"/>
          <w:color w:val="404040"/>
          <w:sz w:val="18"/>
        </w:rPr>
        <w:t>As part of the transaction, we have agreed to provide certain financial support designed to give KKR a minimum return on its equity investment in the joint venture under certain circumstances.</w:t>
      </w:r>
      <w:r>
        <w:rPr>
          <w:rFonts w:ascii="Times New Roman" w:hAnsi="Times New Roman"/>
          <w:color w:val="404040"/>
          <w:sz w:val="20"/>
        </w:rPr>
        <w:t xml:space="preserve"> </w:t>
      </w:r>
    </w:p>
    <w:p>
      <w:pPr>
        <w:pStyle w:val="TextBody"/>
        <w:bidi w:val="0"/>
        <w:spacing w:before="100" w:after="283"/>
        <w:jc w:val="both"/>
        <w:rPr>
          <w:rFonts w:ascii="Times New Roman" w:hAnsi="Times New Roman"/>
          <w:sz w:val="20"/>
        </w:rPr>
      </w:pPr>
      <w:r>
        <w:rPr>
          <w:rFonts w:ascii="Clario;sans-serif" w:hAnsi="Clario;sans-serif"/>
          <w:b/>
          <w:color w:val="404040"/>
          <w:sz w:val="24"/>
        </w:rPr>
        <w:t>Results of Operations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i/>
          <w:color w:val="404040"/>
          <w:sz w:val="18"/>
        </w:rPr>
        <w:t>Our revenues and operating profit on a consolidated basis do not tend to be significantly impacted by seasonality as we record a large portion of our revenues ratably over the contract term and our costs are generally incurred evenly throughout the year. However, at the segment level, revenues on a consecutive quarter basis can be impacted by seasonality, most notably in our Tax, Audit &amp; Accounting Professionals business, where revenues tend to be concentrated in the first and fourth quarters.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section below contains non-IFRS measures where indicated. Refer to Appendices A and B of this management’s discussion and analysis for additional information and reconciliations of our non-IFRS financial measures to the most directly comparable IFRS financial measures.</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4</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Consolidated results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5"/>
        <w:gridCol w:w="546"/>
        <w:gridCol w:w="669"/>
        <w:gridCol w:w="146"/>
        <w:gridCol w:w="652"/>
        <w:gridCol w:w="146"/>
        <w:gridCol w:w="586"/>
        <w:gridCol w:w="146"/>
        <w:gridCol w:w="1058"/>
        <w:gridCol w:w="346"/>
        <w:gridCol w:w="669"/>
        <w:gridCol w:w="146"/>
        <w:gridCol w:w="652"/>
        <w:gridCol w:w="146"/>
        <w:gridCol w:w="608"/>
        <w:gridCol w:w="146"/>
        <w:gridCol w:w="1108"/>
      </w:tblGrid>
      <w:tr>
        <w:trPr/>
        <w:tc>
          <w:tcPr>
            <w:tcW w:w="243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2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3"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3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3475"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2435"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3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rPr/>
            </w:pPr>
            <w:r>
              <w:rPr/>
              <w:t> </w:t>
            </w:r>
          </w:p>
        </w:tc>
        <w:tc>
          <w:tcPr>
            <w:tcW w:w="669"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2435"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 Currency</w:t>
            </w:r>
          </w:p>
        </w:tc>
        <w:tc>
          <w:tcPr>
            <w:tcW w:w="3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 Currency</w:t>
            </w:r>
          </w:p>
        </w:tc>
      </w:tr>
      <w:tr>
        <w:trPr/>
        <w:tc>
          <w:tcPr>
            <w:tcW w:w="243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IFRS Financial Measures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Operating profit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5"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Diluted EPS</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66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5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$0.69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3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66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5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3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Non-IFRS Financial Measures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Revenue growth in constant currency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24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i/>
                <w:color w:val="404040"/>
                <w:sz w:val="16"/>
              </w:rPr>
              <w:t>Organic revenue growth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i/>
                <w:color w:val="404040"/>
                <w:sz w:val="16"/>
              </w:rPr>
            </w:pPr>
            <w:r>
              <w:rPr>
                <w:rFonts w:ascii="Clario;sans-serif" w:hAnsi="Clario;sans-serif"/>
                <w:i/>
                <w:color w:val="404040"/>
                <w:sz w:val="16"/>
              </w:rPr>
              <w:t>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i/>
                <w:color w:val="404040"/>
                <w:sz w:val="16"/>
              </w:rPr>
            </w:pPr>
            <w:r>
              <w:rPr>
                <w:rFonts w:ascii="Clario;sans-serif" w:hAnsi="Clario;sans-serif"/>
                <w:i/>
                <w:color w:val="404040"/>
                <w:sz w:val="16"/>
              </w:rPr>
              <w:t>8%</w:t>
            </w:r>
          </w:p>
        </w:tc>
      </w:tr>
      <w:tr>
        <w:trPr/>
        <w:tc>
          <w:tcPr>
            <w:tcW w:w="2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2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margin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r>
      <w:tr>
        <w:trPr/>
        <w:tc>
          <w:tcPr>
            <w:tcW w:w="2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less accrued capital</w:t>
              <w:br/>
              <w:t>       expenditures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less accrued capital</w:t>
              <w:br/>
              <w:t>       expenditures margin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rPr/>
        <w:tc>
          <w:tcPr>
            <w:tcW w:w="2435"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w:t>
            </w:r>
            <w:r>
              <w:rPr>
                <w:rFonts w:ascii="Clario;sans-serif" w:hAnsi="Clario;sans-serif"/>
                <w:color w:val="404040"/>
                <w:sz w:val="18"/>
              </w:rPr>
              <w:t>Big 3” Segments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24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i/>
                <w:color w:val="404040"/>
                <w:sz w:val="16"/>
              </w:rPr>
              <w:t>Organic revenue growth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i/>
                <w:color w:val="404040"/>
                <w:sz w:val="16"/>
              </w:rPr>
            </w:pPr>
            <w:r>
              <w:rPr>
                <w:rFonts w:ascii="Clario;sans-serif" w:hAnsi="Clario;sans-serif"/>
                <w:i/>
                <w:color w:val="404040"/>
                <w:sz w:val="16"/>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i/>
                <w:color w:val="404040"/>
                <w:sz w:val="16"/>
              </w:rPr>
            </w:pPr>
            <w:r>
              <w:rPr>
                <w:rFonts w:ascii="Clario;sans-serif" w:hAnsi="Clario;sans-serif"/>
                <w:i/>
                <w:color w:val="404040"/>
                <w:sz w:val="16"/>
              </w:rPr>
              <w:t>9%</w:t>
            </w:r>
          </w:p>
        </w:tc>
      </w:tr>
      <w:tr>
        <w:trPr/>
        <w:tc>
          <w:tcPr>
            <w:tcW w:w="2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243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margin</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66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3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bl>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Revenues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6"/>
        <w:gridCol w:w="146"/>
        <w:gridCol w:w="661"/>
        <w:gridCol w:w="146"/>
        <w:gridCol w:w="646"/>
        <w:gridCol w:w="541"/>
        <w:gridCol w:w="931"/>
        <w:gridCol w:w="811"/>
        <w:gridCol w:w="146"/>
        <w:gridCol w:w="661"/>
        <w:gridCol w:w="146"/>
        <w:gridCol w:w="646"/>
        <w:gridCol w:w="541"/>
        <w:gridCol w:w="931"/>
        <w:gridCol w:w="95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6"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3881"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229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83"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428"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22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956" w:type="dxa"/>
            <w:tcBorders/>
            <w:shd w:fill="666666"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FFFFFF"/>
                <w:sz w:val="18"/>
              </w:rPr>
            </w:pPr>
            <w:r>
              <w:rPr>
                <w:rFonts w:ascii="Clario;sans-serif" w:hAnsi="Clario;sans-serif"/>
                <w:color w:val="FFFFFF"/>
                <w:sz w:val="18"/>
              </w:rPr>
              <w:t>Organic</w:t>
            </w:r>
          </w:p>
        </w:tc>
      </w:tr>
      <w:tr>
        <w:trPr/>
        <w:tc>
          <w:tcPr>
            <w:tcW w:w="2442"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Recurring 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1,463</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2,914</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8%</w:t>
            </w:r>
          </w:p>
        </w:tc>
      </w:tr>
      <w:tr>
        <w:trPr/>
        <w:tc>
          <w:tcPr>
            <w:tcW w:w="244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Transactions revenues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541</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10%</w:t>
            </w:r>
          </w:p>
        </w:tc>
      </w:tr>
      <w:tr>
        <w:trPr/>
        <w:tc>
          <w:tcPr>
            <w:tcW w:w="2442" w:type="dxa"/>
            <w:gridSpan w:val="2"/>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Global Print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9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22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1,785</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3,685</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9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Revenues in the second quarter increased 9% in total and in constant currency. Total revenue growth reflected 9% growth in recurring revenues (82% of total revenues), 16% growth in transactions revenues and a 3% decline in Global Print. Total revenue growth benefited approximately 1% from foreign currency and 1% from net acquisitions and disposals. On an organic basis, revenues increased 8% which reflected 9% growth in recurring revenues, 11% growth in transactions revenues and a 3% decline in Global Print revenues. Revenues from the “Big 3” segments (83% of total revenues) increased 11% in total and 10% on a constant currency basis. On an organic basis, revenues increased 10%, driven by 9% growth in recurring revenues and 13% growth in transactions revenues.</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Revenues in the six-month period increased 10% in total and 9% in constant currency. Total revenue growth reflected 10% growth in recurring revenues (79% of total revenues), 15% growth in transactions revenues and a 3% decline in Global Print. Total revenue growth benefited approximately 1% from foreign currency and 1% from net acquisitions and disposals. On an organic basis, revenues increased 8% which reflected 8% growth in recurring revenues, 10% growth in transactions revenues, and a 4% decline in Global Print revenues. Revenues from the “Big 3” segments (84% of total revenues) increased 11% in total and 10% on a constant currency basis. On an organic basis, revenues increased 9%, driven by 9% growth in recurring revenues and 12% growth in transactions revenues.</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In both periods, the U.S. dollar weakened against many of the currencies we transact in compared to the prior-year periods, including the British pound sterling and Brazilian real. Overall, changes in foreign exchange rates increased revenue growth by approximately 1% in the second quarter and six-month period.</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Operating profit, adjusted EBITDA and adjusted EBITDA less accrued capital expenditures</w:t>
      </w:r>
    </w:p>
    <w:p>
      <w:pPr>
        <w:pStyle w:val="TextBody"/>
        <w:bidi w:val="0"/>
        <w:spacing w:before="100" w:after="283"/>
        <w:jc w:val="left"/>
        <w:rPr>
          <w:rFonts w:ascii="Times New Roman" w:hAnsi="Times New Roman"/>
          <w:sz w:val="20"/>
        </w:rPr>
      </w:pPr>
      <w:r>
        <w:rPr>
          <w:rFonts w:ascii="Clario;sans-serif" w:hAnsi="Clario;sans-serif"/>
          <w:color w:val="404040"/>
          <w:sz w:val="18"/>
        </w:rPr>
        <w:t>Operating profit increased 28% and 20% in the second quarter and six-month period, respectively, as the net impact of higher revenues and operating expenses as well as higher other operating gains, were partly offset by higher amortization of software.</w:t>
      </w:r>
      <w:r>
        <w:rPr>
          <w:rFonts w:ascii="Times New Roman" w:hAnsi="Times New Roman"/>
          <w:color w:val="404040"/>
          <w:sz w:val="20"/>
        </w:rPr>
        <w:t xml:space="preserve">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5</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00" w:after="283"/>
        <w:jc w:val="left"/>
        <w:rPr>
          <w:rFonts w:ascii="Times New Roman" w:hAnsi="Times New Roman"/>
          <w:sz w:val="20"/>
        </w:rPr>
      </w:pPr>
      <w:r>
        <w:rPr>
          <w:rFonts w:ascii="Clario;sans-serif" w:hAnsi="Clario;sans-serif"/>
          <w:color w:val="404040"/>
          <w:sz w:val="18"/>
        </w:rPr>
        <w:t>Adjusted EBITDA, which excludes other operating gains, amortization of software, as well as other adjustments, increased 10% and 9% in the second quarter and six-month period, respectively. The second quarter increase in adjusted EBITDA reflected increases of 12% in the “Big 3” segments, 5% in Reuters, and 2% in Global Print. The six-month increase in adjusted EBITDA reflected a 10% increase in the “Big 3” segments, a 3% decline in Reuters, and no change in Global Print.</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In the second quarter, adjusted EBITDA margin increased to 38.1% from 37.8% in the prior-year period. Foreign currency contributed 10bp to the year-over-year change in adjusted EBITDA margin. In the six month period, adjusted EBITDA margin increased to 40.2% from 40.1% in the prior-year period. Foreign currency negatively impacted the year-over-year change in adjusted EBITDA margin by 20bp.</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Adjusted EBITDA less accrued capital expenditures increased in both periods as higher adjusted EBITDA was partly offset by higher accrued capital expenditures. The related margin was unchanged in the second quarter, and decreased 40bp in the six-month period due to higher accrued capital expenditures.</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Operating expenses</w:t>
      </w:r>
    </w:p>
    <w:p>
      <w:pPr>
        <w:pStyle w:val="TextBody"/>
        <w:bidi w:val="0"/>
        <w:spacing w:before="1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108"/>
        <w:gridCol w:w="146"/>
        <w:gridCol w:w="661"/>
        <w:gridCol w:w="646"/>
        <w:gridCol w:w="541"/>
        <w:gridCol w:w="886"/>
        <w:gridCol w:w="661"/>
        <w:gridCol w:w="146"/>
        <w:gridCol w:w="646"/>
        <w:gridCol w:w="146"/>
        <w:gridCol w:w="541"/>
        <w:gridCol w:w="146"/>
        <w:gridCol w:w="931"/>
      </w:tblGrid>
      <w:tr>
        <w:trPr/>
        <w:tc>
          <w:tcPr>
            <w:tcW w:w="4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3217"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4108"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27" w:type="dxa"/>
            <w:gridSpan w:val="2"/>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661"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618"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4108"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Constant</w:t>
              <w:br/>
              <w:t>Currency</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Constant</w:t>
              <w:br/>
              <w:t>Currency</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1,211</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1,124</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41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Remove fair value adjustments</w:t>
            </w:r>
            <w:r>
              <w:rPr>
                <w:rFonts w:ascii="Clario;sans-serif" w:hAnsi="Clario;sans-serif"/>
                <w:b/>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Operating expenses, excluding fair value </w:t>
              <w:br/>
              <w:t>   adjustments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1,209</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1,117</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2,415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2,218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Fair value adjustments primarily represent gains or losses due to changes in foreign currency exchange rates on intercompany balances that arise in the ordinary course of business.</w:t>
      </w:r>
    </w:p>
    <w:p>
      <w:pPr>
        <w:pStyle w:val="TextBody"/>
        <w:bidi w:val="0"/>
        <w:spacing w:before="100" w:after="283"/>
        <w:jc w:val="left"/>
        <w:rPr>
          <w:rFonts w:ascii="Times New Roman" w:hAnsi="Times New Roman"/>
          <w:sz w:val="20"/>
        </w:rPr>
      </w:pPr>
      <w:r>
        <w:rPr>
          <w:rFonts w:ascii="Clario;sans-serif" w:hAnsi="Clario;sans-serif"/>
          <w:color w:val="404040"/>
          <w:sz w:val="18"/>
        </w:rPr>
        <w:t>Operating expenses, excluding fair value adjustments, increased in total and on a constant currency basis in both periods primarily due to higher compensation-related and technology costs.</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Depreciation and amortization</w:t>
      </w:r>
    </w:p>
    <w:p>
      <w:pPr>
        <w:pStyle w:val="TextBody"/>
        <w:bidi w:val="0"/>
        <w:jc w:val="both"/>
        <w:rPr/>
      </w:pPr>
      <w:r>
        <w:rPr/>
        <w:t> </w:t>
      </w:r>
    </w:p>
    <w:tbl>
      <w:tblPr>
        <w:tblW w:w="9920" w:type="dxa"/>
        <w:jc w:val="left"/>
        <w:tblInd w:w="0" w:type="dxa"/>
        <w:tblLayout w:type="fixed"/>
        <w:tblCellMar>
          <w:top w:w="28" w:type="dxa"/>
          <w:left w:w="28" w:type="dxa"/>
          <w:bottom w:w="28" w:type="dxa"/>
          <w:right w:w="28" w:type="dxa"/>
        </w:tblCellMar>
      </w:tblPr>
      <w:tblGrid>
        <w:gridCol w:w="4832"/>
        <w:gridCol w:w="523"/>
        <w:gridCol w:w="586"/>
        <w:gridCol w:w="146"/>
        <w:gridCol w:w="586"/>
        <w:gridCol w:w="146"/>
        <w:gridCol w:w="796"/>
        <w:gridCol w:w="586"/>
        <w:gridCol w:w="146"/>
        <w:gridCol w:w="586"/>
        <w:gridCol w:w="146"/>
        <w:gridCol w:w="841"/>
      </w:tblGrid>
      <w:tr>
        <w:trPr/>
        <w:tc>
          <w:tcPr>
            <w:tcW w:w="483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0"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2305"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483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523"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Change</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Change</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Depreciation</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Amortization of software</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b/>
                <w:color w:val="404040"/>
                <w:sz w:val="18"/>
              </w:rPr>
              <w:t>Internally developed</w:t>
            </w:r>
          </w:p>
        </w:tc>
        <w:tc>
          <w:tcPr>
            <w:tcW w:w="52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4832"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b/>
                <w:color w:val="404040"/>
                <w:sz w:val="18"/>
              </w:rPr>
              <w:t>Acquisition-related</w:t>
            </w:r>
          </w:p>
        </w:tc>
        <w:tc>
          <w:tcPr>
            <w:tcW w:w="52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r>
      <w:tr>
        <w:trPr/>
        <w:tc>
          <w:tcPr>
            <w:tcW w:w="48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amortization of software</w:t>
            </w:r>
          </w:p>
        </w:tc>
        <w:tc>
          <w:tcPr>
            <w:tcW w:w="52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r>
      <w:tr>
        <w:trPr/>
        <w:tc>
          <w:tcPr>
            <w:tcW w:w="5355"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Amortization of other identifiable intangible assets</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bl>
    <w:p>
      <w:pPr>
        <w:pStyle w:val="TextBody"/>
        <w:bidi w:val="0"/>
        <w:jc w:val="left"/>
        <w:rPr/>
      </w:pPr>
      <w:r>
        <w:rPr/>
        <w:t>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Depreciation decreased slightly in the second quarter and was unchanged in the six-month period. Both periods reflected lower expense due to assets acquired in previous years becoming fully depreciated, which offset higher expense associated with newly acquired assets.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Total amortization of software increased in both periods due to acquisitions and product development.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Amortization of other identifiable intangible assets increased slightly in the second quarter and was unchanged in the six-month period. Both periods reflected higher expense associated with recent acquisitions, which offset lower expense due to assets acquired in previous years becoming fully amortized.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Other operating gains, net</w:t>
      </w:r>
    </w:p>
    <w:p>
      <w:pPr>
        <w:pStyle w:val="TextBody"/>
        <w:bidi w:val="0"/>
        <w:jc w:val="both"/>
        <w:rPr/>
      </w:pPr>
      <w:r>
        <w:rPr/>
        <w:t> </w:t>
      </w:r>
    </w:p>
    <w:tbl>
      <w:tblPr>
        <w:tblW w:w="7402" w:type="dxa"/>
        <w:jc w:val="left"/>
        <w:tblInd w:w="0" w:type="dxa"/>
        <w:tblLayout w:type="fixed"/>
        <w:tblCellMar>
          <w:top w:w="28" w:type="dxa"/>
          <w:left w:w="28" w:type="dxa"/>
          <w:bottom w:w="28" w:type="dxa"/>
          <w:right w:w="28" w:type="dxa"/>
        </w:tblCellMar>
      </w:tblPr>
      <w:tblGrid>
        <w:gridCol w:w="2866"/>
        <w:gridCol w:w="146"/>
        <w:gridCol w:w="994"/>
        <w:gridCol w:w="247"/>
        <w:gridCol w:w="994"/>
        <w:gridCol w:w="146"/>
        <w:gridCol w:w="864"/>
        <w:gridCol w:w="215"/>
        <w:gridCol w:w="930"/>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28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4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28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Other operating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w:t>
            </w:r>
          </w:p>
        </w:tc>
        <w:tc>
          <w:tcPr>
            <w:tcW w:w="2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Other operating gains, net of $68 million in both periods of 2026 were primarily related to acquisitions and investments. Other operating gains, net were $5 million and $2 million in the second quarter and six-month period of 2025, respectively.</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Net interest expense</w:t>
      </w:r>
    </w:p>
    <w:p>
      <w:pPr>
        <w:pStyle w:val="TextBody"/>
        <w:bidi w:val="0"/>
        <w:jc w:val="both"/>
        <w:rPr/>
      </w:pPr>
      <w:r>
        <w:rPr/>
        <w:t> </w:t>
      </w:r>
    </w:p>
    <w:tbl>
      <w:tblPr>
        <w:tblW w:w="7423" w:type="dxa"/>
        <w:jc w:val="left"/>
        <w:tblInd w:w="0" w:type="dxa"/>
        <w:tblLayout w:type="fixed"/>
        <w:tblCellMar>
          <w:top w:w="28" w:type="dxa"/>
          <w:left w:w="28" w:type="dxa"/>
          <w:bottom w:w="28" w:type="dxa"/>
          <w:right w:w="28" w:type="dxa"/>
        </w:tblCellMar>
      </w:tblPr>
      <w:tblGrid>
        <w:gridCol w:w="2566"/>
        <w:gridCol w:w="146"/>
        <w:gridCol w:w="586"/>
        <w:gridCol w:w="146"/>
        <w:gridCol w:w="586"/>
        <w:gridCol w:w="146"/>
        <w:gridCol w:w="796"/>
        <w:gridCol w:w="146"/>
        <w:gridCol w:w="586"/>
        <w:gridCol w:w="146"/>
        <w:gridCol w:w="586"/>
        <w:gridCol w:w="146"/>
        <w:gridCol w:w="84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305"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Change</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Change</w:t>
            </w:r>
          </w:p>
        </w:tc>
      </w:tr>
      <w:tr>
        <w:trPr/>
        <w:tc>
          <w:tcPr>
            <w:tcW w:w="2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interest expense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w:t>
            </w:r>
          </w:p>
        </w:tc>
        <w:tc>
          <w:tcPr>
            <w:tcW w:w="146" w:type="dxa"/>
            <w:tcBorders>
              <w:bottom w:val="single" w:sz="4" w:space="0" w:color="AFAFAF"/>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r>
    </w:tbl>
    <w:p>
      <w:pPr>
        <w:pStyle w:val="TextBody"/>
        <w:bidi w:val="0"/>
        <w:jc w:val="both"/>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6</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Net interest expense increased primarily due to higher interest expense from an increase in our commercial paper borrowings and lower interest income resulting from lower cash balances due to our equity transactions and maturity of debt. The increase was partly offset by lower interest expense from the repayment of our $500 million 3.35% notes in May 2026 and our C$1.4 billion (U.S. $999 million) 2.239% notes in May 2025. See the "Liquidity and Capital Resources" section of the management's discussion and analysis for further information.</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Other finance income (costs)</w:t>
      </w:r>
    </w:p>
    <w:p>
      <w:pPr>
        <w:pStyle w:val="TextBody"/>
        <w:bidi w:val="0"/>
        <w:jc w:val="both"/>
        <w:rPr/>
      </w:pPr>
      <w:r>
        <w:rPr/>
        <w:t> </w:t>
      </w:r>
    </w:p>
    <w:tbl>
      <w:tblPr>
        <w:tblW w:w="7940" w:type="dxa"/>
        <w:jc w:val="left"/>
        <w:tblInd w:w="0" w:type="dxa"/>
        <w:tblLayout w:type="fixed"/>
        <w:tblCellMar>
          <w:top w:w="28" w:type="dxa"/>
          <w:left w:w="28" w:type="dxa"/>
          <w:bottom w:w="28" w:type="dxa"/>
          <w:right w:w="28" w:type="dxa"/>
        </w:tblCellMar>
      </w:tblPr>
      <w:tblGrid>
        <w:gridCol w:w="3046"/>
        <w:gridCol w:w="146"/>
        <w:gridCol w:w="300"/>
        <w:gridCol w:w="465"/>
        <w:gridCol w:w="300"/>
        <w:gridCol w:w="300"/>
        <w:gridCol w:w="867"/>
        <w:gridCol w:w="181"/>
        <w:gridCol w:w="146"/>
        <w:gridCol w:w="212"/>
        <w:gridCol w:w="503"/>
        <w:gridCol w:w="212"/>
        <w:gridCol w:w="212"/>
        <w:gridCol w:w="212"/>
        <w:gridCol w:w="612"/>
        <w:gridCol w:w="22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81"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c>
          <w:tcPr>
            <w:tcW w:w="22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00"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16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8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2"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22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Other finance income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3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1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2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w:t>
            </w:r>
          </w:p>
        </w:tc>
        <w:tc>
          <w:tcPr>
            <w:tcW w:w="2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bl>
    <w:p>
      <w:pPr>
        <w:pStyle w:val="TextBody"/>
        <w:bidi w:val="0"/>
        <w:spacing w:before="100" w:after="283"/>
        <w:jc w:val="left"/>
        <w:rPr>
          <w:rFonts w:ascii="Times New Roman" w:hAnsi="Times New Roman"/>
          <w:sz w:val="20"/>
        </w:rPr>
      </w:pPr>
      <w:r>
        <w:rPr>
          <w:rFonts w:ascii="Clario;sans-serif" w:hAnsi="Clario;sans-serif"/>
          <w:color w:val="404040"/>
          <w:sz w:val="18"/>
        </w:rPr>
        <w:t>Other finance income (costs) compared to prior-year periods reflected lower foreign exchange impacts primarily due to a reduction of intercompany funding arrangements.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Share of post-tax losses in equity method investments</w:t>
      </w:r>
    </w:p>
    <w:p>
      <w:pPr>
        <w:pStyle w:val="TextBody"/>
        <w:bidi w:val="0"/>
        <w:jc w:val="both"/>
        <w:rPr/>
      </w:pPr>
      <w:r>
        <w:rPr/>
        <w:t> </w:t>
      </w:r>
    </w:p>
    <w:tbl>
      <w:tblPr>
        <w:tblW w:w="10122" w:type="dxa"/>
        <w:jc w:val="left"/>
        <w:tblInd w:w="0" w:type="dxa"/>
        <w:tblLayout w:type="fixed"/>
        <w:tblCellMar>
          <w:top w:w="28" w:type="dxa"/>
          <w:left w:w="28" w:type="dxa"/>
          <w:bottom w:w="28" w:type="dxa"/>
          <w:right w:w="28" w:type="dxa"/>
        </w:tblCellMar>
      </w:tblPr>
      <w:tblGrid>
        <w:gridCol w:w="5731"/>
        <w:gridCol w:w="146"/>
        <w:gridCol w:w="1118"/>
        <w:gridCol w:w="1118"/>
        <w:gridCol w:w="864"/>
        <w:gridCol w:w="215"/>
        <w:gridCol w:w="930"/>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6"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200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573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11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86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7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Share of post-tax losses in equity method investments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1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8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Share of post-tax losses in equity method investments were not significant in all periods.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Tax expense</w:t>
      </w:r>
    </w:p>
    <w:tbl>
      <w:tblPr>
        <w:tblW w:w="7244" w:type="dxa"/>
        <w:jc w:val="left"/>
        <w:tblInd w:w="0" w:type="dxa"/>
        <w:tblLayout w:type="fixed"/>
        <w:tblCellMar>
          <w:top w:w="28" w:type="dxa"/>
          <w:left w:w="28" w:type="dxa"/>
          <w:bottom w:w="28" w:type="dxa"/>
          <w:right w:w="28" w:type="dxa"/>
        </w:tblCellMar>
      </w:tblPr>
      <w:tblGrid>
        <w:gridCol w:w="2566"/>
        <w:gridCol w:w="146"/>
        <w:gridCol w:w="255"/>
        <w:gridCol w:w="606"/>
        <w:gridCol w:w="255"/>
        <w:gridCol w:w="255"/>
        <w:gridCol w:w="255"/>
        <w:gridCol w:w="606"/>
        <w:gridCol w:w="146"/>
        <w:gridCol w:w="209"/>
        <w:gridCol w:w="668"/>
        <w:gridCol w:w="209"/>
        <w:gridCol w:w="209"/>
        <w:gridCol w:w="668"/>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5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9"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expense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196</w:t>
            </w:r>
          </w:p>
        </w:tc>
        <w:tc>
          <w:tcPr>
            <w:tcW w:w="2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144</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Tax expense was $71 million and $196 million in the second quarter and six-month period of 2026, and $52 million and $144 million in the second quarter and six-month period of 2025, respectively. Tax expense in each period reflected the mix of taxing jurisdictions in which pre-tax profits and losses were recognized. Tax expense or benefit in interim periods is not necessarily indicative of the tax benefit or expense for the full year because the geographical mix of pre-tax profits and losses in interim periods may be different from that for the full year.</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comparability of our tax expense was impacted by various transactions and accounting adjustments during each period. The following table sets forth certain components within income tax expense that impact comparability from period to period:</w:t>
      </w:r>
      <w:r>
        <w:rPr>
          <w:rFonts w:ascii="Times New Roman" w:hAnsi="Times New Roman"/>
          <w:color w:val="40404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44"/>
        <w:gridCol w:w="546"/>
        <w:gridCol w:w="239"/>
        <w:gridCol w:w="685"/>
        <w:gridCol w:w="294"/>
        <w:gridCol w:w="239"/>
        <w:gridCol w:w="685"/>
        <w:gridCol w:w="181"/>
        <w:gridCol w:w="146"/>
        <w:gridCol w:w="192"/>
        <w:gridCol w:w="551"/>
        <w:gridCol w:w="236"/>
        <w:gridCol w:w="191"/>
        <w:gridCol w:w="192"/>
        <w:gridCol w:w="551"/>
        <w:gridCol w:w="233"/>
      </w:tblGrid>
      <w:tr>
        <w:trPr/>
        <w:tc>
          <w:tcPr>
            <w:tcW w:w="50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2"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81"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913"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c>
          <w:tcPr>
            <w:tcW w:w="233"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4"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94"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8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3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233"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(Benefit)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items impacting comparability: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404040"/>
              </w:rPr>
              <w:t>   </w:t>
            </w:r>
            <w:r>
              <w:rPr>
                <w:rFonts w:ascii="Clario;sans-serif" w:hAnsi="Clario;sans-serif"/>
                <w:color w:val="404040"/>
                <w:sz w:val="18"/>
              </w:rPr>
              <w:t>Corporate tax laws and rates</w:t>
            </w:r>
            <w:r>
              <w:rPr>
                <w:rFonts w:ascii="Clario;sans-serif" w:hAnsi="Clario;sans-serif"/>
                <w:color w:val="404040"/>
                <w:sz w:val="12"/>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color w:val="404040"/>
              </w:rPr>
              <w:t>   </w:t>
            </w:r>
            <w:r>
              <w:rPr>
                <w:rFonts w:ascii="Clario;sans-serif" w:hAnsi="Clario;sans-serif"/>
                <w:color w:val="404040"/>
                <w:sz w:val="18"/>
              </w:rPr>
              <w:t>Adjustments related to prior years</w:t>
            </w:r>
            <w:r>
              <w:rPr>
                <w:rFonts w:ascii="Clario;sans-serif" w:hAnsi="Clario;sans-serif"/>
                <w:color w:val="404040"/>
                <w:sz w:val="12"/>
              </w:rPr>
              <w:t>(2)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4"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200"/>
              <w:jc w:val="left"/>
              <w:rPr/>
            </w:pPr>
            <w:r>
              <w:rPr>
                <w:color w:val="404040"/>
              </w:rPr>
              <w:t>   </w:t>
            </w:r>
            <w:r>
              <w:rPr>
                <w:rFonts w:ascii="Clario;sans-serif" w:hAnsi="Clario;sans-serif"/>
                <w:color w:val="404040"/>
                <w:sz w:val="18"/>
              </w:rPr>
              <w:t>Deferred tax adjustments</w:t>
            </w:r>
            <w:r>
              <w:rPr>
                <w:rFonts w:ascii="Clario;sans-serif" w:hAnsi="Clario;sans-serif"/>
                <w:color w:val="404040"/>
                <w:sz w:val="12"/>
              </w:rPr>
              <w:t>(3)</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2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2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044"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color w:val="404040"/>
                <w:sz w:val="18"/>
              </w:rPr>
              <w:t>Subtotal</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29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2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related to:</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Amortization of acquired software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Amortization of other identifiable intangible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0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Other finance income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0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Share of post-tax losses in equity method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044"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Other items</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9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044"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color w:val="404040"/>
                <w:sz w:val="18"/>
              </w:rPr>
              <w:t>Subtotal</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2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c>
          <w:tcPr>
            <w:tcW w:w="1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2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04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29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w:t>
            </w:r>
          </w:p>
        </w:tc>
        <w:tc>
          <w:tcPr>
            <w:tcW w:w="1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w:t>
            </w:r>
          </w:p>
        </w:tc>
        <w:tc>
          <w:tcPr>
            <w:tcW w:w="2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Relates primarily to adjustments to deferred tax balances due to changes in the applicable statutory tax rate in a jurisdiction outside of the U.S.</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Change in estimate pertaining to the effective tax rate applicable to certain foreign-source income earned by U.S. affiliates.</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(3)</w:t>
      </w:r>
    </w:p>
    <w:p>
      <w:pPr>
        <w:pStyle w:val="TextBody"/>
        <w:bidi w:val="0"/>
        <w:jc w:val="left"/>
        <w:rPr>
          <w:rFonts w:ascii="Clario;sans-serif" w:hAnsi="Clario;sans-serif"/>
          <w:color w:val="404040"/>
          <w:sz w:val="16"/>
        </w:rPr>
      </w:pPr>
      <w:r>
        <w:rPr>
          <w:rFonts w:ascii="Clario;sans-serif" w:hAnsi="Clario;sans-serif"/>
          <w:color w:val="404040"/>
          <w:sz w:val="16"/>
        </w:rPr>
        <w:t>Relates primarily to adjustments resulting from foreign exchange movements where functional currencies differ from those used for local tax filings.</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7</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items described above impact the comparability of our tax expense or benefit for each period, therefore, we remove them from our calculation of adjusted earnings, along with the pre-tax items to which they relate. The computation of our adjusted tax expense is set forth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06"/>
        <w:gridCol w:w="546"/>
        <w:gridCol w:w="251"/>
        <w:gridCol w:w="538"/>
        <w:gridCol w:w="226"/>
        <w:gridCol w:w="226"/>
        <w:gridCol w:w="251"/>
        <w:gridCol w:w="538"/>
        <w:gridCol w:w="181"/>
        <w:gridCol w:w="546"/>
        <w:gridCol w:w="546"/>
        <w:gridCol w:w="174"/>
        <w:gridCol w:w="557"/>
        <w:gridCol w:w="216"/>
        <w:gridCol w:w="174"/>
        <w:gridCol w:w="174"/>
        <w:gridCol w:w="557"/>
        <w:gridCol w:w="198"/>
      </w:tblGrid>
      <w:tr>
        <w:trPr/>
        <w:tc>
          <w:tcPr>
            <w:tcW w:w="43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0"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81"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c>
          <w:tcPr>
            <w:tcW w:w="198"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8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8"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Remove: Items from above impacting comparability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Other adjustment: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400"/>
              <w:jc w:val="left"/>
              <w:rPr/>
            </w:pPr>
            <w:r>
              <w:rPr>
                <w:color w:val="404040"/>
              </w:rPr>
              <w:t>     </w:t>
            </w:r>
            <w:r>
              <w:rPr>
                <w:rFonts w:ascii="Clario;sans-serif" w:hAnsi="Clario;sans-serif"/>
                <w:color w:val="404040"/>
                <w:sz w:val="18"/>
              </w:rPr>
              <w:t>Interim period effective tax rate normalization</w:t>
            </w:r>
            <w:r>
              <w:rPr>
                <w:rFonts w:ascii="Clario;sans-serif" w:hAnsi="Clario;sans-serif"/>
                <w:color w:val="404040"/>
                <w:sz w:val="12"/>
              </w:rPr>
              <w:t>(1)</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789"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17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7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tax expense on adjusted earnings</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94</w:t>
            </w:r>
          </w:p>
        </w:tc>
        <w:tc>
          <w:tcPr>
            <w:tcW w:w="2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c>
          <w:tcPr>
            <w:tcW w:w="1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223</w:t>
            </w:r>
          </w:p>
        </w:tc>
        <w:tc>
          <w:tcPr>
            <w:tcW w:w="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214</w:t>
            </w:r>
          </w:p>
        </w:tc>
        <w:tc>
          <w:tcPr>
            <w:tcW w:w="1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idi w:val="0"/>
        <w:ind w:left="0" w:right="0" w:hanging="360"/>
        <w:jc w:val="left"/>
        <w:rPr>
          <w:rFonts w:ascii="Clario;sans-serif" w:hAnsi="Clario;sans-serif"/>
          <w:color w:val="404040"/>
          <w:sz w:val="16"/>
        </w:rPr>
      </w:pPr>
      <w:r>
        <w:rPr>
          <w:rFonts w:ascii="Clario;sans-serif" w:hAnsi="Clario;sans-serif"/>
          <w:color w:val="404040"/>
          <w:sz w:val="16"/>
        </w:rPr>
        <w:t>(1) Adjustment to reflect income taxes based on estimated full-year effective tax rates. Earnings or losses for interim periods under IFRS generally reflect income taxes based on the estimated effective tax rates of each of the jurisdictions in which we operate. The non-IFRS adjustment reallocates estimated full-year income taxes between interim periods, but has no effect on full-year income taxes.</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Results of discontinued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78"/>
        <w:gridCol w:w="146"/>
        <w:gridCol w:w="282"/>
        <w:gridCol w:w="426"/>
        <w:gridCol w:w="270"/>
        <w:gridCol w:w="270"/>
        <w:gridCol w:w="278"/>
        <w:gridCol w:w="642"/>
        <w:gridCol w:w="146"/>
        <w:gridCol w:w="146"/>
        <w:gridCol w:w="203"/>
        <w:gridCol w:w="582"/>
        <w:gridCol w:w="249"/>
        <w:gridCol w:w="202"/>
        <w:gridCol w:w="207"/>
        <w:gridCol w:w="480"/>
        <w:gridCol w:w="198"/>
      </w:tblGrid>
      <w:tr>
        <w:trPr/>
        <w:tc>
          <w:tcPr>
            <w:tcW w:w="5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8"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923"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c>
          <w:tcPr>
            <w:tcW w:w="198"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8"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70"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85"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49"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8"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(loss) from discontinued operations, net of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8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2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2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c>
          <w:tcPr>
            <w:tcW w:w="1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All periods included earnings or losses relating to a tax indemnity due to changes in foreign exchange and interest rates associated with the indemnifying party’s credit profile. The six month period of 2026 also included losses recognized from the resolution of a tax dispute on a portion of the receivable balance from LSEG relating to the tax indemnity.</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Net earnings, diluted EPS, adjusted earnings and adjusted EPS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34"/>
        <w:gridCol w:w="146"/>
        <w:gridCol w:w="661"/>
        <w:gridCol w:w="146"/>
        <w:gridCol w:w="646"/>
        <w:gridCol w:w="146"/>
        <w:gridCol w:w="541"/>
        <w:gridCol w:w="146"/>
        <w:gridCol w:w="931"/>
        <w:gridCol w:w="146"/>
        <w:gridCol w:w="661"/>
        <w:gridCol w:w="146"/>
        <w:gridCol w:w="646"/>
        <w:gridCol w:w="146"/>
        <w:gridCol w:w="541"/>
        <w:gridCol w:w="146"/>
        <w:gridCol w:w="976"/>
      </w:tblGrid>
      <w:tr>
        <w:trPr/>
        <w:tc>
          <w:tcPr>
            <w:tcW w:w="3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3262"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3434"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gridSpan w:val="3"/>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3"/>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434"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IFRS Financial Measures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Diluted EPS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$0.69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Non-IFRS Financial Measures</w:t>
            </w:r>
            <w:r>
              <w:rPr>
                <w:rFonts w:ascii="Clario;sans-serif" w:hAnsi="Clario;sans-serif"/>
                <w:b/>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EPS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$0.99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$0.87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bl>
    <w:p>
      <w:pPr>
        <w:pStyle w:val="TextBody"/>
        <w:bidi w:val="0"/>
        <w:jc w:val="both"/>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Refer to Appendices A and B of this management’s discussion and analysis for additional information and reconciliations of our non-IFRS financial measures to the most directly comparable IFRS financial measures.</w:t>
      </w:r>
    </w:p>
    <w:p>
      <w:pPr>
        <w:pStyle w:val="TextBody"/>
        <w:bidi w:val="0"/>
        <w:spacing w:before="100" w:after="283"/>
        <w:jc w:val="left"/>
        <w:rPr>
          <w:rFonts w:ascii="Times New Roman" w:hAnsi="Times New Roman"/>
          <w:sz w:val="20"/>
        </w:rPr>
      </w:pPr>
      <w:r>
        <w:rPr>
          <w:rFonts w:ascii="Clario;sans-serif" w:hAnsi="Clario;sans-serif"/>
          <w:color w:val="404040"/>
          <w:sz w:val="18"/>
        </w:rPr>
        <w:t>Net earnings and diluted EPS increased in both periods primarily due to higher operating profit.</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Adjusted earnings and adjusted EPS increased in both periods primarily due to higher adjusted EBITDA, partly offset by higher amortization of internally developed software.</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Diluted and adjusted EPS in both periods benefited from a reduction in weighted-average common shares outstanding due to our return of capital transaction and share repurchases under our share repurchase program.</w:t>
      </w:r>
      <w:r>
        <w:rPr>
          <w:rFonts w:ascii="Times New Roman" w:hAnsi="Times New Roman"/>
          <w:color w:val="404040"/>
          <w:sz w:val="20"/>
        </w:rPr>
        <w:t xml:space="preserve">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8</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Segment results</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is a discussion of our five reportable segments and our Corporate costs for the three and six months ended June 30, 2026. We assess revenue growth for each segment, as well as the businesses within each segment, on a total, constant currency and an organic basis. See Appendix A of this management’s discussion and analysis for additional information on our non-IFRS financial measures.</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Legal Professionals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62"/>
        <w:gridCol w:w="651"/>
        <w:gridCol w:w="636"/>
        <w:gridCol w:w="541"/>
        <w:gridCol w:w="931"/>
        <w:gridCol w:w="811"/>
        <w:gridCol w:w="146"/>
        <w:gridCol w:w="689"/>
        <w:gridCol w:w="146"/>
        <w:gridCol w:w="667"/>
        <w:gridCol w:w="635"/>
        <w:gridCol w:w="931"/>
        <w:gridCol w:w="859"/>
      </w:tblGrid>
      <w:tr>
        <w:trPr/>
        <w:tc>
          <w:tcPr>
            <w:tcW w:w="256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3927"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2562"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83" w:type="dxa"/>
            <w:gridSpan w:val="3"/>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rPr/>
            </w:pPr>
            <w:r>
              <w:rPr/>
              <w:t> </w:t>
            </w:r>
          </w:p>
        </w:tc>
        <w:tc>
          <w:tcPr>
            <w:tcW w:w="689"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425" w:type="dxa"/>
            <w:gridSpan w:val="3"/>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256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5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6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63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5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rPr/>
        <w:tc>
          <w:tcPr>
            <w:tcW w:w="2562"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748</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684</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1,354</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25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6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c>
          <w:tcPr>
            <w:tcW w:w="63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8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25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772</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704</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1,392</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25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339</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675</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6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48.1%</w:t>
            </w:r>
          </w:p>
        </w:tc>
        <w:tc>
          <w:tcPr>
            <w:tcW w:w="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48.1%</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48.4%</w:t>
            </w:r>
          </w:p>
        </w:tc>
        <w:tc>
          <w:tcPr>
            <w:tcW w:w="63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8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00" w:after="283"/>
        <w:jc w:val="left"/>
        <w:rPr>
          <w:rFonts w:ascii="Times New Roman" w:hAnsi="Times New Roman"/>
          <w:sz w:val="20"/>
        </w:rPr>
      </w:pPr>
      <w:r>
        <w:rPr>
          <w:rFonts w:ascii="Clario;sans-serif" w:hAnsi="Clario;sans-serif"/>
          <w:color w:val="404040"/>
          <w:sz w:val="18"/>
        </w:rPr>
        <w:t>Revenues increased in total, in constant currency, and on an organic basis in both periods. In the second quarter, revenues increased 10% on an organic basis due to 9% growth in recurring revenues (97% of the Legal Professionals segment revenues in the quarter) primarily driven by Westlaw and CoCounsel and 18% growth in transactions revenues primarily driven by CLEAR. In the six-month period, organic revenue growth of 9% was due to 9% growth in both recurring and transactions revenues driven substantially by the same products as in the second quarter.</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Segment adjusted EBITDA increased 10% in the second quarter and 9% in the six-month period. The related margin was unchanged at 48.1% in the second quarter and decreased 20bp to 48.2% in the six-month period. Both periods reflected the impact of higher revenues offset by higher technology and other costs. Foreign currency benefited the year-over-year change in segment adjusted EBITDA margin by 10bp in the second quarter and had no impact in the six-month period.</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Corporates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37"/>
        <w:gridCol w:w="629"/>
        <w:gridCol w:w="146"/>
        <w:gridCol w:w="619"/>
        <w:gridCol w:w="706"/>
        <w:gridCol w:w="159"/>
        <w:gridCol w:w="772"/>
        <w:gridCol w:w="240"/>
        <w:gridCol w:w="571"/>
        <w:gridCol w:w="146"/>
        <w:gridCol w:w="680"/>
        <w:gridCol w:w="146"/>
        <w:gridCol w:w="660"/>
        <w:gridCol w:w="706"/>
        <w:gridCol w:w="159"/>
        <w:gridCol w:w="772"/>
        <w:gridCol w:w="232"/>
        <w:gridCol w:w="625"/>
      </w:tblGrid>
      <w:tr>
        <w:trPr/>
        <w:tc>
          <w:tcPr>
            <w:tcW w:w="223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3980"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2237"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448"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rPr/>
            </w:pPr>
            <w:r>
              <w:rPr/>
              <w:t> </w:t>
            </w:r>
          </w:p>
        </w:tc>
        <w:tc>
          <w:tcPr>
            <w:tcW w:w="680"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2237"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70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70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5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421</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828</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223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6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w:t>
            </w:r>
          </w:p>
        </w:tc>
        <w:tc>
          <w:tcPr>
            <w:tcW w:w="7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1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7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2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8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6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w:t>
            </w:r>
          </w:p>
        </w:tc>
        <w:tc>
          <w:tcPr>
            <w:tcW w:w="7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7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2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223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1,028</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223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387</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6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35.7%</w:t>
            </w:r>
          </w:p>
        </w:tc>
        <w:tc>
          <w:tcPr>
            <w:tcW w:w="7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150bp</w:t>
            </w:r>
          </w:p>
        </w:tc>
        <w:tc>
          <w:tcPr>
            <w:tcW w:w="1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7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130bp</w:t>
            </w:r>
          </w:p>
        </w:tc>
        <w:tc>
          <w:tcPr>
            <w:tcW w:w="2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37.6%</w:t>
            </w:r>
          </w:p>
        </w:tc>
        <w:tc>
          <w:tcPr>
            <w:tcW w:w="7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110bp</w:t>
            </w:r>
          </w:p>
        </w:tc>
        <w:tc>
          <w:tcPr>
            <w:tcW w:w="1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7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00" w:after="283"/>
        <w:jc w:val="left"/>
        <w:rPr>
          <w:rFonts w:ascii="Times New Roman" w:hAnsi="Times New Roman"/>
          <w:sz w:val="20"/>
        </w:rPr>
      </w:pPr>
      <w:r>
        <w:rPr>
          <w:rFonts w:ascii="Clario;sans-serif" w:hAnsi="Clario;sans-serif"/>
          <w:color w:val="404040"/>
          <w:sz w:val="18"/>
        </w:rPr>
        <w:t>Revenues increased in total, in constant currency, and on an organic basis in both periods. Revenues increased 10% on an organic basis in both periods due to growth in recurring (86% of the Corporates segment revenues in the quarter) and transactions revenues. Organic recurring revenue growth of 9% in the second quarter and 8% in the six-month period were both led by Westlaw, CoCounsel, Indirect Tax, Pagero, CLEAR and the segment’s international businesses. Organic transactions revenue growth of 24% in the second quarter and 16% in the six-month period were led by Confirmation, Pagero, Trust, Checkpoint, Indirect Tax and the segment’s international businesses.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Segment adjusted EBITDA increased 17% in the second quarter and 15% in the six-month period. The related margin increased 150bp to 37.2% in the second quarter and 110bp to 38.7% in the six-month period driven by higher operating leverage in both periods. Foreign currency benefited the year-over-year change in segment adjusted EBITDA margin by 20bp in the second quarter and negatively impacted segment adjusted EBITDA margin by 20bp in the six-month period.</w:t>
      </w:r>
      <w:r>
        <w:rPr>
          <w:rFonts w:ascii="Times New Roman" w:hAnsi="Times New Roman"/>
          <w:color w:val="404040"/>
          <w:sz w:val="20"/>
        </w:rPr>
        <w:t xml:space="preserve">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9</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Tax, Audit &amp; Accounting Professionals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56"/>
        <w:gridCol w:w="637"/>
        <w:gridCol w:w="146"/>
        <w:gridCol w:w="625"/>
        <w:gridCol w:w="614"/>
        <w:gridCol w:w="211"/>
        <w:gridCol w:w="726"/>
        <w:gridCol w:w="283"/>
        <w:gridCol w:w="528"/>
        <w:gridCol w:w="146"/>
        <w:gridCol w:w="637"/>
        <w:gridCol w:w="146"/>
        <w:gridCol w:w="625"/>
        <w:gridCol w:w="707"/>
        <w:gridCol w:w="146"/>
        <w:gridCol w:w="811"/>
        <w:gridCol w:w="232"/>
        <w:gridCol w:w="629"/>
      </w:tblGrid>
      <w:tr>
        <w:trPr/>
        <w:tc>
          <w:tcPr>
            <w:tcW w:w="235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3933"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235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362"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rPr/>
            </w:pPr>
            <w:r>
              <w:rPr/>
              <w:t> </w:t>
            </w:r>
          </w:p>
        </w:tc>
        <w:tc>
          <w:tcPr>
            <w:tcW w:w="63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525"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235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3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61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70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5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6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23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63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2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w:t>
            </w:r>
          </w:p>
        </w:tc>
        <w:tc>
          <w:tcPr>
            <w:tcW w:w="6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2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2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3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2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240</w:t>
            </w:r>
          </w:p>
        </w:tc>
        <w:tc>
          <w:tcPr>
            <w:tcW w:w="7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274</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632</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318</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6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38.9%</w:t>
            </w:r>
          </w:p>
        </w:tc>
        <w:tc>
          <w:tcPr>
            <w:tcW w:w="6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2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2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48.9%</w:t>
            </w:r>
          </w:p>
        </w:tc>
        <w:tc>
          <w:tcPr>
            <w:tcW w:w="7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Revenues increased on a total and constant currency basis in both periods, which included the impact of the SafeSend acquisition in 2025 within transactions revenues. In the second quarter, revenues increased 8% on an organic basis due to 9% growth in recurring revenues (67% of the Tax, Audit &amp; Accounting Professionals segment revenues in the quarter) and 6% growth in transactions revenues. Organic recurring revenue growth was primarily driven by tax and audit products, which include GoSystem and CoCounsel, as well as Cloud Audit Suite and the segment’s Latin America business. Organic transactions revenue growth was primarily driven by SafeSend. In the six-month period, organic revenue growth of 9% reflected 10% growth in recurring revenues and 9% growth in transactions revenues. Organic recurring revenue growth was driven substantially by the same products as in the second quarter. Organic transactions revenue growth was driven by SafeSend, SurePrep and UltraTax.</w:t>
      </w:r>
    </w:p>
    <w:p>
      <w:pPr>
        <w:pStyle w:val="TextBody"/>
        <w:bidi w:val="0"/>
        <w:spacing w:before="100" w:after="283"/>
        <w:jc w:val="left"/>
        <w:rPr>
          <w:rFonts w:ascii="Times New Roman" w:hAnsi="Times New Roman"/>
          <w:sz w:val="20"/>
        </w:rPr>
      </w:pPr>
      <w:r>
        <w:rPr>
          <w:rFonts w:ascii="Clario;sans-serif" w:hAnsi="Clario;sans-serif"/>
          <w:color w:val="404040"/>
          <w:sz w:val="18"/>
        </w:rPr>
        <w:t>Segment adjusted EBITDA increased 9% in the second quarter and 7% in the six-month period. The related margin decreased 20bp to 38.7% in the second quarter and decreased 160bp to 47.3% in the six-month period. Both periods reflected the impact of higher revenues offset by higher technology and other costs. Foreign currency benefited the year-over-year change in segment adjusted EBITDA margin by 20bp in the second quarter and negatively impacted segment adjusted EBITDA margin by 20bp in the six-month period.</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Tax, Audit &amp; Accounting Professionals segment is the company’s most seasonal business with approximately 60% of full-year revenues typically generated in the first and fourth quarters. As a result, the margin performance of this segment has been generally higher in the first and fourth quarters as costs are typically incurred in a more linear fashion throughout the year.</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Reuters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30"/>
        <w:gridCol w:w="642"/>
        <w:gridCol w:w="146"/>
        <w:gridCol w:w="629"/>
        <w:gridCol w:w="541"/>
        <w:gridCol w:w="185"/>
        <w:gridCol w:w="746"/>
        <w:gridCol w:w="240"/>
        <w:gridCol w:w="571"/>
        <w:gridCol w:w="146"/>
        <w:gridCol w:w="642"/>
        <w:gridCol w:w="146"/>
        <w:gridCol w:w="629"/>
        <w:gridCol w:w="715"/>
        <w:gridCol w:w="211"/>
        <w:gridCol w:w="726"/>
        <w:gridCol w:w="270"/>
        <w:gridCol w:w="590"/>
      </w:tblGrid>
      <w:tr>
        <w:trPr/>
        <w:tc>
          <w:tcPr>
            <w:tcW w:w="243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3929"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2430"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83"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rPr/>
            </w:pPr>
            <w:r>
              <w:rPr/>
              <w:t> </w:t>
            </w:r>
          </w:p>
        </w:tc>
        <w:tc>
          <w:tcPr>
            <w:tcW w:w="64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512"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2430"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4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71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60"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rPr/>
        <w:tc>
          <w:tcPr>
            <w:tcW w:w="2430"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176</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351</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rPr/>
        <w:tc>
          <w:tcPr>
            <w:tcW w:w="24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6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2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w:t>
            </w:r>
          </w:p>
        </w:tc>
        <w:tc>
          <w:tcPr>
            <w:tcW w:w="7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243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218</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414</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rPr/>
        <w:tc>
          <w:tcPr>
            <w:tcW w:w="243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6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80bp</w:t>
            </w:r>
          </w:p>
        </w:tc>
        <w:tc>
          <w:tcPr>
            <w:tcW w:w="2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20.4%</w:t>
            </w:r>
          </w:p>
        </w:tc>
        <w:tc>
          <w:tcPr>
            <w:tcW w:w="7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(180)bp</w:t>
            </w:r>
          </w:p>
        </w:tc>
        <w:tc>
          <w:tcPr>
            <w:tcW w:w="2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(50)bp</w:t>
            </w:r>
          </w:p>
        </w:tc>
        <w:tc>
          <w:tcPr>
            <w:tcW w:w="2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00" w:after="283"/>
        <w:jc w:val="left"/>
        <w:rPr>
          <w:rFonts w:ascii="Times New Roman" w:hAnsi="Times New Roman"/>
          <w:sz w:val="20"/>
        </w:rPr>
      </w:pPr>
      <w:r>
        <w:rPr>
          <w:rFonts w:ascii="Clario;sans-serif" w:hAnsi="Clario;sans-serif"/>
          <w:color w:val="404040"/>
          <w:sz w:val="18"/>
        </w:rPr>
        <w:t>Revenues increased in total, in constant currency, and on an organic basis in both periods primarily due to higher Agency revenues and a contractual price increase from our news agreement with the Data &amp; Analytics business of LSEG.</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Reuters and the Data &amp; Analytics business of LSEG have an agreement pursuant to which Reuters supplies news and information services to LSEG through October 1, 2048. In the first six months of 2026, Reuters recorded revenues of $207 million under this agreement, compared to $199 million in the prior-year period.</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Segment adjusted EBITDA increased 5% and the related margin was unchanged in the second quarter. In the six-month period, segment adjusted EBITDA decreased 3% and the related margin decreased 180bp to 18.6% due to higher editorial costs. Foreign currency negatively impacted the year-over-year change in segment adjusted EBITDA margin by 80bp and 130bp in the second quarter and six-month period, respectively.</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Global Print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03"/>
        <w:gridCol w:w="661"/>
        <w:gridCol w:w="645"/>
        <w:gridCol w:w="706"/>
        <w:gridCol w:w="159"/>
        <w:gridCol w:w="772"/>
        <w:gridCol w:w="240"/>
        <w:gridCol w:w="571"/>
        <w:gridCol w:w="146"/>
        <w:gridCol w:w="661"/>
        <w:gridCol w:w="645"/>
        <w:gridCol w:w="706"/>
        <w:gridCol w:w="159"/>
        <w:gridCol w:w="772"/>
        <w:gridCol w:w="232"/>
        <w:gridCol w:w="627"/>
      </w:tblGrid>
      <w:tr>
        <w:trPr/>
        <w:tc>
          <w:tcPr>
            <w:tcW w:w="250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4"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3802"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2503"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448"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496"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250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64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70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64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70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5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223</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85</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85</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37.7%</w:t>
            </w:r>
          </w:p>
        </w:tc>
        <w:tc>
          <w:tcPr>
            <w:tcW w:w="64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36.0%</w:t>
            </w:r>
          </w:p>
        </w:tc>
        <w:tc>
          <w:tcPr>
            <w:tcW w:w="7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170bp</w:t>
            </w:r>
          </w:p>
        </w:tc>
        <w:tc>
          <w:tcPr>
            <w:tcW w:w="1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7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150bp</w:t>
            </w:r>
          </w:p>
        </w:tc>
        <w:tc>
          <w:tcPr>
            <w:tcW w:w="2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38.2%</w:t>
            </w:r>
          </w:p>
        </w:tc>
        <w:tc>
          <w:tcPr>
            <w:tcW w:w="64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36.9%</w:t>
            </w:r>
          </w:p>
        </w:tc>
        <w:tc>
          <w:tcPr>
            <w:tcW w:w="7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130bp</w:t>
            </w:r>
          </w:p>
        </w:tc>
        <w:tc>
          <w:tcPr>
            <w:tcW w:w="1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7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10</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Revenues decreased in total, in constant currency, and on an organic basis in both periods primarily due to lower shipment volumes.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Segment adjusted EBITDA increased 2% in the second quarter and was unchanged in the six-month period. The related margin increased 170bp to 37.7% in the second quarter and 130bp to 38.2% in the six-month period due to lower costs. Foreign currency benefited the year-over-year change in segment adjusted EBITDA margin by 20bp in the second quarter and 10bp in the six-month period.</w:t>
      </w:r>
    </w:p>
    <w:p>
      <w:pPr>
        <w:pStyle w:val="TextBody"/>
        <w:bidi w:val="0"/>
        <w:spacing w:before="100" w:after="120"/>
        <w:jc w:val="both"/>
        <w:rPr>
          <w:rFonts w:ascii="Times New Roman" w:hAnsi="Times New Roman"/>
          <w:sz w:val="20"/>
        </w:rPr>
      </w:pPr>
      <w:r>
        <w:rPr>
          <w:rFonts w:ascii="Clario;sans-serif" w:hAnsi="Clario;sans-serif"/>
          <w:color w:val="404040"/>
          <w:sz w:val="18"/>
        </w:rPr>
        <w:t>See the "Global Print Transaction" section within the "Executive Summary" of this management’s discussion and analysis for additional information.</w:t>
      </w:r>
      <w:r>
        <w:rPr>
          <w:rFonts w:ascii="Times New Roman" w:hAnsi="Times New Roman"/>
          <w:color w:val="404040"/>
          <w:sz w:val="20"/>
        </w:rPr>
        <w:t xml:space="preserve"> </w:t>
      </w:r>
    </w:p>
    <w:p>
      <w:pPr>
        <w:pStyle w:val="TextBody"/>
        <w:bidi w:val="0"/>
        <w:jc w:val="both"/>
        <w:rPr>
          <w:rFonts w:ascii="Clario;sans-serif" w:hAnsi="Clario;sans-serif"/>
          <w:b/>
          <w:color w:val="404040"/>
          <w:sz w:val="18"/>
        </w:rPr>
      </w:pPr>
      <w:r>
        <w:rPr>
          <w:rFonts w:ascii="Clario;sans-serif" w:hAnsi="Clario;sans-serif"/>
          <w:b/>
          <w:color w:val="404040"/>
          <w:sz w:val="18"/>
        </w:rPr>
        <w:t>Corporate costs</w:t>
      </w:r>
    </w:p>
    <w:p>
      <w:pPr>
        <w:pStyle w:val="TextBody"/>
        <w:bidi w:val="0"/>
        <w:jc w:val="both"/>
        <w:rPr/>
      </w:pPr>
      <w:r>
        <w:rPr/>
        <w:t> </w:t>
      </w:r>
    </w:p>
    <w:tbl>
      <w:tblPr>
        <w:tblW w:w="7535" w:type="dxa"/>
        <w:jc w:val="left"/>
        <w:tblInd w:w="0" w:type="dxa"/>
        <w:tblLayout w:type="fixed"/>
        <w:tblCellMar>
          <w:top w:w="28" w:type="dxa"/>
          <w:left w:w="28" w:type="dxa"/>
          <w:bottom w:w="28" w:type="dxa"/>
          <w:right w:w="28" w:type="dxa"/>
        </w:tblCellMar>
      </w:tblPr>
      <w:tblGrid>
        <w:gridCol w:w="2566"/>
        <w:gridCol w:w="146"/>
        <w:gridCol w:w="146"/>
        <w:gridCol w:w="255"/>
        <w:gridCol w:w="606"/>
        <w:gridCol w:w="255"/>
        <w:gridCol w:w="255"/>
        <w:gridCol w:w="255"/>
        <w:gridCol w:w="606"/>
        <w:gridCol w:w="146"/>
        <w:gridCol w:w="146"/>
        <w:gridCol w:w="224"/>
        <w:gridCol w:w="533"/>
        <w:gridCol w:w="224"/>
        <w:gridCol w:w="224"/>
        <w:gridCol w:w="224"/>
        <w:gridCol w:w="533"/>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6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5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6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4"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5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Corporate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w:t>
            </w:r>
          </w:p>
        </w:tc>
        <w:tc>
          <w:tcPr>
            <w:tcW w:w="2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00" w:after="140"/>
        <w:jc w:val="left"/>
        <w:rPr/>
      </w:pPr>
      <w:r>
        <w:rPr/>
        <w:t> </w:t>
      </w:r>
    </w:p>
    <w:p>
      <w:pPr>
        <w:pStyle w:val="TextBody"/>
        <w:bidi w:val="0"/>
        <w:jc w:val="left"/>
        <w:rPr>
          <w:rFonts w:ascii="Clario;sans-serif" w:hAnsi="Clario;sans-serif"/>
          <w:b/>
          <w:color w:val="404040"/>
          <w:sz w:val="24"/>
        </w:rPr>
      </w:pPr>
      <w:r>
        <w:rPr>
          <w:rFonts w:ascii="Clario;sans-serif" w:hAnsi="Clario;sans-serif"/>
          <w:b/>
          <w:color w:val="404040"/>
          <w:sz w:val="24"/>
        </w:rPr>
        <w:t>Liquidity and Capital Resources</w:t>
      </w:r>
    </w:p>
    <w:p>
      <w:pPr>
        <w:pStyle w:val="TextBody"/>
        <w:bidi w:val="0"/>
        <w:spacing w:before="100" w:after="283"/>
        <w:jc w:val="left"/>
        <w:rPr>
          <w:rFonts w:ascii="Times New Roman" w:hAnsi="Times New Roman"/>
          <w:sz w:val="20"/>
        </w:rPr>
      </w:pPr>
      <w:r>
        <w:rPr>
          <w:rFonts w:ascii="Clario;sans-serif" w:hAnsi="Clario;sans-serif"/>
          <w:color w:val="404040"/>
          <w:sz w:val="18"/>
        </w:rPr>
        <w:t>We have historically maintained a disciplined capital strategy that balances growth, long-term financial leverage, credit ratings and returns to shareholders. We are focused on having the investment capacity to drive revenue growth, both organically and through acquisitions, while also maintaining our long-term financial leverage and credit ratings and continuing to provide returns to shareholders. We have diverse sources of liquidity to support our ongoing operations and the achievement of our disciplined capital strategy including cash and cash equivalents, cash provided by operating activities, and the ability to issue commercial paper, issue debt securities and borrow under our credit facility. Our principal uses of cash are for debt repayments, debt servicing costs, dividend payments, capital expenditures, share repurchases and acquisitions.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In the first six months of 2026, we spent $248 million on acquisitions, which substantially related to Noetica, Inc., a New York-based AI-native start-up that transforms transaction-deal data into structured market intelligence for deal professionals, repaid our $500 million 3.35% notes upon maturity with cash on hand and commercial paper borrowings, and returned $1,522 million to our common shareholders. Returns to common shareholders consisted of: (i) the repurchase of 3.6 million of our common shares for $362 million under our February 2026 plan to repurchase up to $600 million of our common shares under an amended Normal Course Issuer Bid (NCIB) approved by the TSX (which program was completed in July 2026); (ii) $555 million in dividends to our common shareholders and; (iii) $605 million of return of capital and share consolidation transactions, which consisted of a special cash distribution of $1.435518 per participating common share and a share consolidation, or "reverse stock split", that reduced the number of outstanding common shares by approximately 6.5 million. Refer to the "Share repurchases – NCIB" and "Return of capital and share consolidation transactions" subsections below and "Subsequent Events" sections of this management’s discussion and analysis for additional information.</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Our capital strategy approach has provided us with a strong capital structure and liquidity position, which enables us to pursue organic and inorganic opportunities in key growth segments and drive shareholder returns. Our disciplined approach and highly recurring cash generative business model have allowed us to weather economic volatility in recent years caused by macroeconomic and geopolitical factors, while continuing to invest in our business.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We expect that the operating leverage of our business will increase our free cash flow if we increase revenues as contemplated by our outlook. We continue to target: (i) a leverage ratio of 2.5x net debt to adjusted EBITDA; (ii) a payout of 50% to 60% of our expected free cash flow as dividends to our shareholders; (iii) a return of at least 75% of our annual free cash flow to our shareholders in the form of dividends and share repurchases; and (iv) a return on invested capital (ROIC) that is double or more of our weighted-average cost of capital over time.</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As of June 30, 2026, we had $577 million of cash and cash equivalents, and a net debt to adjusted EBITDA leverage ratio of 0.9:1, below our target leverage ratio of 2.5:1. As calculated under our credit facility covenant, our net debt to EBITDA leverage ratio as of June 30, 2026 was 0.8:1, which is also below the maximum leverage ratio allowed under the credit facility of 4.5:1.</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We believe that our existing sources of liquidity will be sufficient to fund our expected cash requirements in the normal course of business for the next 12 months.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i/>
          <w:color w:val="404040"/>
          <w:sz w:val="18"/>
        </w:rPr>
        <w:t>Certain information above in this section is forward-looking and should be read in conjunction with the section entitled “Additional Information - Cautionary Note Concerning Factors That May Affect Future Results”.</w:t>
      </w:r>
      <w:r>
        <w:rPr>
          <w:rFonts w:ascii="Times New Roman" w:hAnsi="Times New Roman"/>
          <w:color w:val="404040"/>
          <w:sz w:val="20"/>
        </w:rPr>
        <w:t xml:space="preserve">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Cash flow</w:t>
      </w:r>
    </w:p>
    <w:p>
      <w:pPr>
        <w:pStyle w:val="TextBody"/>
        <w:bidi w:val="0"/>
        <w:spacing w:before="100" w:after="283"/>
        <w:jc w:val="both"/>
        <w:rPr>
          <w:rFonts w:ascii="Times New Roman" w:hAnsi="Times New Roman"/>
          <w:sz w:val="20"/>
        </w:rPr>
      </w:pPr>
      <w:r>
        <w:rPr>
          <w:rFonts w:ascii="Clario;sans-serif" w:hAnsi="Clario;sans-serif"/>
          <w:b/>
          <w:color w:val="404040"/>
          <w:sz w:val="18"/>
        </w:rPr>
        <w:t>Summary of consolidated statement of cash flow</w:t>
      </w:r>
      <w:r>
        <w:rPr>
          <w:rFonts w:ascii="Times New Roman" w:hAnsi="Times New Roman"/>
          <w:color w:val="40404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96"/>
        <w:gridCol w:w="146"/>
        <w:gridCol w:w="610"/>
        <w:gridCol w:w="146"/>
        <w:gridCol w:w="781"/>
        <w:gridCol w:w="146"/>
        <w:gridCol w:w="976"/>
        <w:gridCol w:w="146"/>
        <w:gridCol w:w="661"/>
        <w:gridCol w:w="146"/>
        <w:gridCol w:w="781"/>
        <w:gridCol w:w="146"/>
        <w:gridCol w:w="1024"/>
      </w:tblGrid>
      <w:tr>
        <w:trPr/>
        <w:tc>
          <w:tcPr>
            <w:tcW w:w="4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9"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44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 Change</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 Change</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234</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365</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778</w:t>
            </w:r>
          </w:p>
        </w:tc>
      </w:tr>
      <w:tr>
        <w:trPr/>
        <w:tc>
          <w:tcPr>
            <w:tcW w:w="44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Translation adjustments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44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1,370</w:t>
            </w:r>
          </w:p>
        </w:tc>
      </w:tr>
      <w:tr>
        <w:trPr/>
        <w:tc>
          <w:tcPr>
            <w:tcW w:w="44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Cash and cash equivalents at beginning of period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1,371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(971)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(1,457)</w:t>
            </w:r>
          </w:p>
        </w:tc>
      </w:tr>
      <w:tr>
        <w:trPr/>
        <w:tc>
          <w:tcPr>
            <w:tcW w:w="44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Cash and cash equivalents at end of period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w:t>
            </w:r>
          </w:p>
        </w:tc>
      </w:tr>
      <w:tr>
        <w:trPr/>
        <w:tc>
          <w:tcPr>
            <w:tcW w:w="4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Non-IFRS Financial Measure</w:t>
            </w:r>
            <w:r>
              <w:rPr>
                <w:rFonts w:ascii="Clario;sans-serif" w:hAnsi="Clario;sans-serif"/>
                <w:b/>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Free cash flow</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1,059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216</w:t>
            </w:r>
          </w:p>
        </w:tc>
      </w:tr>
    </w:tbl>
    <w:p>
      <w:pPr>
        <w:pStyle w:val="TextBody"/>
        <w:bidi w:val="0"/>
        <w:jc w:val="both"/>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Refer to Appendices A and B of this management’s discussion and analysis for additional information and reconciliations of our non-IFRS financial measures to the most directly comparable IFRS financial measures.</w:t>
      </w:r>
    </w:p>
    <w:p>
      <w:pPr>
        <w:pStyle w:val="TextBody"/>
        <w:bidi w:val="0"/>
        <w:spacing w:before="120" w:after="120"/>
        <w:jc w:val="left"/>
        <w:rPr>
          <w:rFonts w:ascii="Times New Roman" w:hAnsi="Times New Roman"/>
          <w:sz w:val="20"/>
        </w:rPr>
      </w:pPr>
      <w:r>
        <w:rPr>
          <w:rFonts w:ascii="Clario;sans-serif" w:hAnsi="Clario;sans-serif"/>
          <w:b/>
          <w:color w:val="404040"/>
          <w:sz w:val="18"/>
        </w:rPr>
        <w:t xml:space="preserve">Operating activities. </w:t>
      </w:r>
      <w:r>
        <w:rPr>
          <w:rFonts w:ascii="Clario;sans-serif" w:hAnsi="Clario;sans-serif"/>
          <w:color w:val="404040"/>
          <w:sz w:val="18"/>
        </w:rPr>
        <w:t>Net cash provided by operating activities increased by $174 million and $234 million in the second quarter and six-month period, respectively, primarily due to higher cash benefits from the net impact of higher revenues and operating expenses, as well as certain favorable changes in working capital.</w:t>
      </w:r>
    </w:p>
    <w:p>
      <w:pPr>
        <w:pStyle w:val="TextBody"/>
        <w:bidi w:val="0"/>
        <w:jc w:val="left"/>
        <w:rPr>
          <w:rFonts w:ascii="Times New Roman" w:hAnsi="Times New Roman"/>
          <w:sz w:val="20"/>
        </w:rPr>
      </w:pPr>
      <w:r>
        <w:rPr>
          <w:rFonts w:ascii="Clario;sans-serif" w:hAnsi="Clario;sans-serif"/>
          <w:b/>
          <w:color w:val="404040"/>
          <w:sz w:val="18"/>
        </w:rPr>
        <w:t xml:space="preserve">Investing activities. </w:t>
      </w:r>
      <w:r>
        <w:rPr>
          <w:rFonts w:ascii="Clario;sans-serif" w:hAnsi="Clario;sans-serif"/>
          <w:color w:val="404040"/>
          <w:sz w:val="18"/>
        </w:rPr>
        <w:t>Net cash used in investing activities of $206 million and $573 million in the second quarter and six-month period of 2026, respectively, included $36 million and $248 million of acquisition spend and $177 million and $333 million of capital expenditures, respectively. In the six-month period, acquisition spend primarily included our acquisition of Noetica in the first quarter.</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Net cash used in investing activities of $182 million and $938 million in the second quarter and six-month period of 2025, respectively, included $163 million and $314 million of capital expenditures, respectively. The six-month period also included $630 million of acquisition spend, which was predominantly our SafeSend acquisition.</w:t>
      </w:r>
    </w:p>
    <w:p>
      <w:pPr>
        <w:pStyle w:val="TextBody"/>
        <w:bidi w:val="0"/>
        <w:spacing w:before="100" w:after="283"/>
        <w:jc w:val="left"/>
        <w:rPr>
          <w:rFonts w:ascii="Times New Roman" w:hAnsi="Times New Roman"/>
          <w:sz w:val="20"/>
        </w:rPr>
      </w:pPr>
      <w:r>
        <w:rPr>
          <w:rFonts w:ascii="Clario;sans-serif" w:hAnsi="Clario;sans-serif"/>
          <w:b/>
          <w:color w:val="404040"/>
          <w:sz w:val="18"/>
        </w:rPr>
        <w:t>Financing activities.</w:t>
      </w:r>
      <w:r>
        <w:rPr>
          <w:rFonts w:ascii="Times New Roman" w:hAnsi="Times New Roman"/>
          <w:color w:val="404040"/>
          <w:sz w:val="20"/>
        </w:rPr>
        <w:t xml:space="preserve"> </w:t>
      </w:r>
      <w:r>
        <w:rPr>
          <w:rFonts w:ascii="Clario;sans-serif" w:hAnsi="Clario;sans-serif"/>
          <w:color w:val="404040"/>
          <w:sz w:val="18"/>
        </w:rPr>
        <w:t>Net cash used in financing activities was $537 million and $785 million in the second quarter and six-month period of 2026, respectively. Both periods reflected the repayment of our $500 million 3.35% notes and $605 million return of capital and share consolidation transactions. Additionally, the second quarter and six-month period included $100 million and $362 million of share repurchases and $275 million and $555 million of dividend payments to our common shareholders, respectively. These outflows were partly offset by $983 million and $1,305 million of net borrowings under our commercial paper program in the second quarter and six-month period, respectively.</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Net cash used in financing activities of $1,275 million and $1,563 million in the second quarter and six-month period of 2025 reflected the repayment of our C$1.4 billion (U.S. $999 million) 2.239% notes upon maturity. Additionally, the second quarter and six-month period included $260 million and $519 million of dividend payments to our common shareholders, respectively.</w:t>
      </w:r>
    </w:p>
    <w:p>
      <w:pPr>
        <w:pStyle w:val="TextBody"/>
        <w:bidi w:val="0"/>
        <w:spacing w:before="100" w:after="283"/>
        <w:jc w:val="left"/>
        <w:rPr>
          <w:rFonts w:ascii="Times New Roman" w:hAnsi="Times New Roman"/>
          <w:sz w:val="20"/>
        </w:rPr>
      </w:pPr>
      <w:r>
        <w:rPr>
          <w:rFonts w:ascii="Clario;sans-serif" w:hAnsi="Clario;sans-serif"/>
          <w:color w:val="404040"/>
          <w:sz w:val="18"/>
        </w:rPr>
        <w:t>Refer to the “Commercial paper program”, “Dividends”, “Share repurchases– NCIB” and "Return of capital and share consolidation transactions" subsections below for additional information.</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color w:val="404040"/>
          <w:sz w:val="18"/>
        </w:rPr>
        <w:t xml:space="preserve">Cash and cash equivalents. </w:t>
      </w:r>
      <w:r>
        <w:rPr>
          <w:rFonts w:ascii="Clario;sans-serif" w:hAnsi="Clario;sans-serif"/>
          <w:color w:val="404040"/>
          <w:sz w:val="18"/>
        </w:rPr>
        <w:t>Cash and cash equivalents were $577 million as of June 30, 2026 and $511 million as of December 31, 2025.</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Of total cash and cash equivalents, $126 million and $140 million as of June 30, 2026 and December 31, 2025, respectively, were held in subsidiaries which have regulatory restrictions, contractual restrictions or operate in countries where exchange controls and other legal restrictions apply and were therefore not available for general use by our company.</w:t>
      </w:r>
    </w:p>
    <w:p>
      <w:pPr>
        <w:pStyle w:val="TextBody"/>
        <w:bidi w:val="0"/>
        <w:spacing w:before="100" w:after="283"/>
        <w:jc w:val="left"/>
        <w:rPr>
          <w:rFonts w:ascii="Times New Roman" w:hAnsi="Times New Roman"/>
          <w:sz w:val="20"/>
        </w:rPr>
      </w:pPr>
      <w:r>
        <w:rPr>
          <w:rFonts w:ascii="Clario;sans-serif" w:hAnsi="Clario;sans-serif"/>
          <w:b/>
          <w:color w:val="404040"/>
          <w:sz w:val="18"/>
        </w:rPr>
        <w:t>Free cash flow.</w:t>
      </w:r>
      <w:r>
        <w:rPr>
          <w:rFonts w:ascii="Times New Roman" w:hAnsi="Times New Roman"/>
          <w:color w:val="404040"/>
          <w:sz w:val="20"/>
        </w:rPr>
        <w:t xml:space="preserve"> </w:t>
      </w:r>
      <w:r>
        <w:rPr>
          <w:rFonts w:ascii="Clario;sans-serif" w:hAnsi="Clario;sans-serif"/>
          <w:color w:val="404040"/>
          <w:sz w:val="18"/>
        </w:rPr>
        <w:t>Free cash flow increased by $161 million in the second quarter and $216 million in the six-month period primarily due to higher net cash provided by operating activities, partly offset by higher capital expenditures.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Additional information about our debt and credit arrangements, dividends and share repurchases is as follows:</w:t>
      </w:r>
    </w:p>
    <w:p>
      <w:pPr>
        <w:pStyle w:val="TextBody"/>
        <w:bidi w:val="0"/>
        <w:spacing w:before="120" w:after="283"/>
        <w:jc w:val="left"/>
        <w:rPr>
          <w:color w:val="404040"/>
        </w:rPr>
      </w:pPr>
      <w:r>
        <w:rPr>
          <w:color w:val="404040"/>
        </w:rPr>
        <w:t>•</w:t>
      </w:r>
    </w:p>
    <w:p>
      <w:pPr>
        <w:pStyle w:val="TextBody"/>
        <w:bidi w:val="0"/>
        <w:spacing w:before="120" w:after="283"/>
        <w:jc w:val="left"/>
        <w:rPr/>
      </w:pPr>
      <w:r>
        <w:rPr>
          <w:rFonts w:ascii="Clario;sans-serif" w:hAnsi="Clario;sans-serif"/>
          <w:b/>
          <w:color w:val="404040"/>
          <w:sz w:val="18"/>
        </w:rPr>
        <w:t xml:space="preserve">Commercial paper program. </w:t>
      </w:r>
      <w:r>
        <w:rPr>
          <w:rFonts w:ascii="Clario;sans-serif" w:hAnsi="Clario;sans-serif"/>
          <w:color w:val="404040"/>
          <w:sz w:val="18"/>
        </w:rPr>
        <w:t>Our $2.0 billion commercial paper program provides cost-effective and flexible short-term funding. The carrying amount of outstanding commercial paper of $1,618 million is included in “Current indebtedness” within the consolidated statement of financial position as of June 30, 2026 (December 31, 2025 - $295 million). Issuances of outstanding commercial paper reached a peak of $1,780 million during the first six months of 2026.</w:t>
      </w:r>
    </w:p>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12</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0" w:after="0"/>
        <w:jc w:val="left"/>
        <w:rPr>
          <w:color w:val="404040"/>
        </w:rPr>
      </w:pPr>
      <w:r>
        <w:rPr>
          <w:color w:val="404040"/>
        </w:rPr>
        <w:t>•</w:t>
      </w:r>
    </w:p>
    <w:p>
      <w:pPr>
        <w:pStyle w:val="TextBody"/>
        <w:bidi w:val="0"/>
        <w:jc w:val="left"/>
        <w:rPr/>
      </w:pPr>
      <w:r>
        <w:rPr>
          <w:rFonts w:ascii="Clario;sans-serif" w:hAnsi="Clario;sans-serif"/>
          <w:b/>
          <w:color w:val="404040"/>
          <w:sz w:val="18"/>
        </w:rPr>
        <w:t>Credit facility.</w:t>
      </w:r>
      <w:r>
        <w:rPr>
          <w:color w:val="404040"/>
        </w:rPr>
        <w:t xml:space="preserve"> </w:t>
      </w:r>
      <w:r>
        <w:rPr>
          <w:rFonts w:ascii="Clario;sans-serif" w:hAnsi="Clario;sans-serif"/>
          <w:color w:val="404040"/>
          <w:sz w:val="18"/>
        </w:rPr>
        <w:t xml:space="preserve">We have a $2.0 billion syndicated credit facility agreement which matures in November 2030 and may be used to provide liquidity for general corporate purposes (including acquisitions or support for our commercial paper program). There were no outstanding borrowings under the credit facility as of June 30, 2026 and December 31, 2025. Based on our current credit ratings, the cost of borrowing under the facility is priced at the Term Secured Overnight Financing Rate (SOFR)/Euro Interbank Offered Rate (EURiBOR)/Simple Sterling Overnight Index Average (SONIA) plus 92 basis points. We have the option to request an increase, subject to approval by applicable lenders, in the lenders’ commitments in an aggregate amount of $600 million for a maximum credit facility commitment of $2.6 billion. If our debt rating is downgraded by any two of Moody’s, S&amp;P or Fitch, our facility fees and borrowing costs would increase, although availability would be unaffected. Conversely, an upgrade in our ratings may reduce our facility fees and borrowing costs. We also monitor the lenders that are party to our facility and believe they continue to be able to lend to us. </w:t>
      </w:r>
    </w:p>
    <w:p>
      <w:pPr>
        <w:pStyle w:val="TextBody"/>
        <w:bidi w:val="0"/>
        <w:spacing w:before="100" w:after="120"/>
        <w:ind w:left="360" w:right="0" w:hanging="0"/>
        <w:jc w:val="left"/>
        <w:rPr>
          <w:rFonts w:ascii="Times New Roman" w:hAnsi="Times New Roman"/>
          <w:sz w:val="20"/>
        </w:rPr>
      </w:pPr>
      <w:r>
        <w:rPr>
          <w:rFonts w:ascii="Clario;sans-serif" w:hAnsi="Clario;sans-serif"/>
          <w:color w:val="404040"/>
          <w:sz w:val="18"/>
        </w:rPr>
        <w:t>We guarantee borrowings by our subsidiaries under the credit facility. We must also maintain a ratio of net debt as defined in the credit agreement (total debt plus hedging agreements,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we complete an acquisition with a purchase price of over $500 million, we may elect, subject to notification, to temporarily increase the ratio of net debt to EBITDA to 5.0:1 at the end of the quarter within which the transaction closed and for each of the three immediately following fiscal quarters. At the end of that period, the ratio would revert to 4.5:1. As of June 30, 2026, we complied with this covenant as our ratio of net debt to EBITDA, as calculated under the terms of our syndicated credit facility, was 0.8:1.</w:t>
      </w:r>
      <w:r>
        <w:rPr>
          <w:rFonts w:ascii="Times New Roman" w:hAnsi="Times New Roman"/>
          <w:color w:val="404040"/>
          <w:sz w:val="20"/>
        </w:rPr>
        <w:t xml:space="preserve"> </w:t>
      </w:r>
    </w:p>
    <w:p>
      <w:pPr>
        <w:pStyle w:val="TextBody"/>
        <w:bidi w:val="0"/>
        <w:spacing w:before="0" w:after="0"/>
        <w:jc w:val="left"/>
        <w:rPr>
          <w:color w:val="404040"/>
        </w:rPr>
      </w:pPr>
      <w:r>
        <w:rPr>
          <w:color w:val="404040"/>
        </w:rPr>
        <w:t>•</w:t>
      </w:r>
    </w:p>
    <w:p>
      <w:pPr>
        <w:pStyle w:val="TextBody"/>
        <w:bidi w:val="0"/>
        <w:jc w:val="left"/>
        <w:rPr/>
      </w:pPr>
      <w:r>
        <w:rPr>
          <w:rFonts w:ascii="Clario;sans-serif" w:hAnsi="Clario;sans-serif"/>
          <w:b/>
          <w:color w:val="404040"/>
          <w:sz w:val="18"/>
        </w:rPr>
        <w:t>Long-term debt.</w:t>
      </w:r>
      <w:r>
        <w:rPr>
          <w:color w:val="404040"/>
        </w:rPr>
        <w:t xml:space="preserve"> </w:t>
      </w:r>
      <w:r>
        <w:rPr>
          <w:rFonts w:ascii="Clario;sans-serif" w:hAnsi="Clario;sans-serif"/>
          <w:color w:val="404040"/>
          <w:sz w:val="18"/>
        </w:rPr>
        <w:t xml:space="preserve">In May 2026, we repaid our $500 million 3.35% notes upon maturity with cash on hand and commercial paper borrowings. </w:t>
      </w:r>
    </w:p>
    <w:p>
      <w:pPr>
        <w:pStyle w:val="TextBody"/>
        <w:bidi w:val="0"/>
        <w:spacing w:before="100" w:after="120"/>
        <w:ind w:left="360" w:right="0" w:hanging="0"/>
        <w:jc w:val="left"/>
        <w:rPr>
          <w:rFonts w:ascii="Times New Roman" w:hAnsi="Times New Roman"/>
          <w:sz w:val="20"/>
        </w:rPr>
      </w:pPr>
      <w:r>
        <w:rPr>
          <w:rFonts w:ascii="Clario;sans-serif" w:hAnsi="Clario;sans-serif"/>
          <w:color w:val="404040"/>
          <w:sz w:val="18"/>
        </w:rPr>
        <w:t>We did not issue notes of term debt in the six months ended June 30, 2026. Thomson Reuters Corporation (TRC) and one of its U.S. subsidiaries, TR Finance LLC (TR Finance), may collectively issue up to $3.0 billion of unsecured debt securities from time to time through April 2027 under a base shelf prospectus. Any debt securities issued by TR Finance will be fully and unconditionally guaranteed on an unsecured basis by TRC and West Publishing Corporation, Thomson Reuters Applications Inc. and Thomson Reuters (Tax &amp; Accounting) Inc., each of which is an indirect 100% owned U.S. and consolidated subsidiary of TRC. Any debt securities issued by TRC will also be guaranteed by the three U.S. subsidiary guarantors on the same basis as the TR Finance debt securities. Except for TR Finance and the subsidiary guarantors, none of TRC’s other subsidiaries have guaranteed or would otherwise become obligated with respect to any issued TR Finance or TRC debt securities. Neither TRC nor TR Finance has issued any debt securities under the prospectus. Please refer to Appendix D of this management’s discussion and analysis for condensed consolidating financial information of the Company, including TR Finance and the subsidiary guarantors.</w:t>
      </w:r>
      <w:r>
        <w:rPr>
          <w:rFonts w:ascii="Times New Roman" w:hAnsi="Times New Roman"/>
          <w:color w:val="404040"/>
          <w:sz w:val="20"/>
        </w:rPr>
        <w:t xml:space="preserve"> </w:t>
      </w:r>
    </w:p>
    <w:p>
      <w:pPr>
        <w:pStyle w:val="TextBody"/>
        <w:bidi w:val="0"/>
        <w:spacing w:before="0" w:after="120"/>
        <w:jc w:val="left"/>
        <w:rPr>
          <w:color w:val="404040"/>
        </w:rPr>
      </w:pPr>
      <w:r>
        <w:rPr>
          <w:color w:val="404040"/>
        </w:rPr>
        <w:t>•</w:t>
      </w:r>
    </w:p>
    <w:p>
      <w:pPr>
        <w:pStyle w:val="TextBody"/>
        <w:bidi w:val="0"/>
        <w:spacing w:before="0" w:after="120"/>
        <w:jc w:val="left"/>
        <w:rPr/>
      </w:pPr>
      <w:r>
        <w:rPr>
          <w:rFonts w:ascii="Clario;sans-serif" w:hAnsi="Clario;sans-serif"/>
          <w:b/>
          <w:color w:val="404040"/>
          <w:sz w:val="18"/>
        </w:rPr>
        <w:t>Fixed-to-floating interest rate swaps.</w:t>
      </w:r>
      <w:r>
        <w:rPr>
          <w:color w:val="404040"/>
        </w:rPr>
        <w:t xml:space="preserve"> </w:t>
      </w:r>
      <w:r>
        <w:rPr>
          <w:rFonts w:ascii="Clario;sans-serif" w:hAnsi="Clario;sans-serif"/>
          <w:color w:val="404040"/>
          <w:sz w:val="18"/>
        </w:rPr>
        <w:t xml:space="preserve">As of June 30, 2026, we entered into fixed-to-floating interest rate swaps totaling $635 million in notional amount, $225 million of which were entered into during the six months ended June 30, 2026 and $410 million in September 2025. Under these arrangements, we receive a fixed rate of interest and pay a floating rate based on SOFR plus a spread. These swaps are designated as fair value hedges for a portion of each of our $500 million principal amount of 5.85% notes due April 2040 ($225 million hedged), $119 million principal amount of 4.50% notes due May 2043 ($80 million hedged) and $350 million principal amount of 5.65% notes due November 2043 ($330 million hedged), covering the remaining term to debt maturity. The swaps were entered into as part of our strategy to manage interest rate risk. </w:t>
      </w:r>
    </w:p>
    <w:p>
      <w:pPr>
        <w:pStyle w:val="TextBody"/>
        <w:bidi w:val="0"/>
        <w:spacing w:before="0" w:after="120"/>
        <w:ind w:left="360" w:right="0" w:hanging="0"/>
        <w:jc w:val="left"/>
        <w:rPr>
          <w:rFonts w:ascii="Clario;sans-serif" w:hAnsi="Clario;sans-serif"/>
          <w:color w:val="404040"/>
          <w:sz w:val="18"/>
        </w:rPr>
      </w:pPr>
      <w:r>
        <w:rPr>
          <w:rFonts w:ascii="Clario;sans-serif" w:hAnsi="Clario;sans-serif"/>
          <w:color w:val="404040"/>
          <w:sz w:val="18"/>
        </w:rPr>
        <w:t>In addition, we have credit support agreements with our counterparties under which one party may call on the other party to post cash collateral when the market value of the swaps exceeds specific thresholds, thus limiting credit exposure. As of June 30, 2026, we had a cash collateral receivable of $25 million (December 31, 2025 - $7 million) related to our fixed-to-floating interest rate swaps. Cash flows associated with collateral movements were classified as financing activities in the consolidated statement of cash flow.</w:t>
      </w:r>
    </w:p>
    <w:p>
      <w:pPr>
        <w:pStyle w:val="TextBody"/>
        <w:bidi w:val="0"/>
        <w:spacing w:before="0" w:after="0"/>
        <w:jc w:val="left"/>
        <w:rPr>
          <w:color w:val="404040"/>
        </w:rPr>
      </w:pPr>
      <w:r>
        <w:rPr>
          <w:color w:val="404040"/>
        </w:rPr>
        <w:t>•</w:t>
      </w:r>
    </w:p>
    <w:p>
      <w:pPr>
        <w:pStyle w:val="TextBody"/>
        <w:bidi w:val="0"/>
        <w:jc w:val="left"/>
        <w:rPr/>
      </w:pPr>
      <w:r>
        <w:rPr>
          <w:rFonts w:ascii="Clario;sans-serif" w:hAnsi="Clario;sans-serif"/>
          <w:b/>
          <w:color w:val="404040"/>
          <w:sz w:val="18"/>
        </w:rPr>
        <w:t>Credit ratings.</w:t>
      </w:r>
      <w:r>
        <w:rPr>
          <w:color w:val="404040"/>
        </w:rPr>
        <w:t xml:space="preserve"> </w:t>
      </w:r>
      <w:r>
        <w:rPr>
          <w:rFonts w:ascii="Clario;sans-serif" w:hAnsi="Clario;sans-serif"/>
          <w:color w:val="404040"/>
          <w:sz w:val="18"/>
        </w:rPr>
        <w:t xml:space="preserve">Our access to financing depends on, among other things, suitable market conditions and the maintenance of suitable long-term credit ratings. Our credit ratings may be adversely affected by various factors, including increased debt levels, decreased earnings, declines in customer demand, increased competition, a deterioration in general economic and business conditions and adverse publicity. Downgrades in our credit ratings may impede our access to the debt markets or result in higher borrowing rates. </w:t>
      </w:r>
    </w:p>
    <w:p>
      <w:pPr>
        <w:pStyle w:val="TextBody"/>
        <w:bidi w:val="0"/>
        <w:spacing w:before="100" w:after="283"/>
        <w:ind w:left="360" w:right="0" w:hanging="0"/>
        <w:jc w:val="left"/>
        <w:rPr>
          <w:rFonts w:ascii="Clario;sans-serif" w:hAnsi="Clario;sans-serif"/>
          <w:color w:val="404040"/>
          <w:sz w:val="18"/>
        </w:rPr>
      </w:pPr>
      <w:r>
        <w:rPr>
          <w:rFonts w:ascii="Clario;sans-serif" w:hAnsi="Clario;sans-serif"/>
          <w:color w:val="404040"/>
          <w:sz w:val="18"/>
        </w:rPr>
        <w:t>The following table sets forth the credit ratings from rating agencies in respect of TRC and TR Finance's outstanding securities as of the date of this management's discussion and analysis:</w:t>
      </w:r>
    </w:p>
    <w:p>
      <w:pPr>
        <w:pStyle w:val="TextBody"/>
        <w:bidi w:val="0"/>
        <w:ind w:left="360" w:right="0" w:hanging="0"/>
        <w:jc w:val="left"/>
        <w:rPr/>
      </w:pPr>
      <w:r>
        <w:rPr/>
        <w:t> </w:t>
      </w:r>
    </w:p>
    <w:tbl>
      <w:tblPr>
        <w:tblW w:w="9480" w:type="dxa"/>
        <w:jc w:val="left"/>
        <w:tblInd w:w="0" w:type="dxa"/>
        <w:tblLayout w:type="fixed"/>
        <w:tblCellMar>
          <w:top w:w="28" w:type="dxa"/>
          <w:left w:w="28" w:type="dxa"/>
          <w:bottom w:w="28" w:type="dxa"/>
          <w:right w:w="28" w:type="dxa"/>
        </w:tblCellMar>
      </w:tblPr>
      <w:tblGrid>
        <w:gridCol w:w="2701"/>
        <w:gridCol w:w="1681"/>
        <w:gridCol w:w="2791"/>
        <w:gridCol w:w="1396"/>
        <w:gridCol w:w="911"/>
      </w:tblGrid>
      <w:tr>
        <w:trPr/>
        <w:tc>
          <w:tcPr>
            <w:tcW w:w="270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70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pPr>
            <w:r>
              <w:rPr/>
              <w:t> </w:t>
            </w:r>
          </w:p>
        </w:tc>
        <w:tc>
          <w:tcPr>
            <w:tcW w:w="168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rFonts w:ascii="Clario;sans-serif" w:hAnsi="Clario;sans-serif"/>
                <w:b/>
                <w:color w:val="FFFFFF"/>
                <w:sz w:val="18"/>
              </w:rPr>
            </w:pPr>
            <w:r>
              <w:rPr>
                <w:rFonts w:ascii="Clario;sans-serif" w:hAnsi="Clario;sans-serif"/>
                <w:b/>
                <w:color w:val="FFFFFF"/>
                <w:sz w:val="18"/>
              </w:rPr>
              <w:t>Moody’s</w:t>
            </w:r>
          </w:p>
        </w:tc>
        <w:tc>
          <w:tcPr>
            <w:tcW w:w="279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rFonts w:ascii="Clario;sans-serif" w:hAnsi="Clario;sans-serif"/>
                <w:b/>
                <w:color w:val="FFFFFF"/>
                <w:sz w:val="18"/>
              </w:rPr>
            </w:pPr>
            <w:r>
              <w:rPr>
                <w:rFonts w:ascii="Clario;sans-serif" w:hAnsi="Clario;sans-serif"/>
                <w:b/>
                <w:color w:val="FFFFFF"/>
                <w:sz w:val="18"/>
              </w:rPr>
              <w:t>S&amp;P Global Ratings</w:t>
            </w:r>
          </w:p>
        </w:tc>
        <w:tc>
          <w:tcPr>
            <w:tcW w:w="1396"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rFonts w:ascii="Clario;sans-serif" w:hAnsi="Clario;sans-serif"/>
                <w:b/>
                <w:color w:val="FFFFFF"/>
                <w:sz w:val="18"/>
              </w:rPr>
            </w:pPr>
            <w:r>
              <w:rPr>
                <w:rFonts w:ascii="Clario;sans-serif" w:hAnsi="Clario;sans-serif"/>
                <w:b/>
                <w:color w:val="FFFFFF"/>
                <w:sz w:val="18"/>
              </w:rPr>
              <w:t>Fitch</w:t>
            </w:r>
          </w:p>
        </w:tc>
        <w:tc>
          <w:tcPr>
            <w:tcW w:w="91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720" w:right="0" w:firstLine="720"/>
              <w:jc w:val="left"/>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b/>
                <w:color w:val="404040"/>
                <w:sz w:val="18"/>
              </w:rPr>
            </w:pPr>
            <w:r>
              <w:rPr>
                <w:rFonts w:ascii="Clario;sans-serif" w:hAnsi="Clario;sans-serif"/>
                <w:b/>
                <w:color w:val="404040"/>
                <w:sz w:val="18"/>
              </w:rPr>
              <w:t>Long-term debt</w:t>
            </w:r>
          </w:p>
        </w:tc>
        <w:tc>
          <w:tcPr>
            <w:tcW w:w="16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Baa1</w:t>
            </w:r>
          </w:p>
        </w:tc>
        <w:tc>
          <w:tcPr>
            <w:tcW w:w="27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A-</w:t>
            </w:r>
          </w:p>
        </w:tc>
        <w:tc>
          <w:tcPr>
            <w:tcW w:w="13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A-</w:t>
            </w:r>
          </w:p>
        </w:tc>
        <w:tc>
          <w:tcPr>
            <w:tcW w:w="911" w:type="dxa"/>
            <w:tcBorders/>
            <w:tcMar>
              <w:top w:w="0" w:type="dxa"/>
              <w:left w:w="0" w:type="dxa"/>
              <w:bottom w:w="0" w:type="dxa"/>
              <w:right w:w="0" w:type="dxa"/>
            </w:tcMar>
            <w:vAlign w:val="center"/>
          </w:tcPr>
          <w:p>
            <w:pPr>
              <w:pStyle w:val="TableContents"/>
              <w:bidi w:val="0"/>
              <w:spacing w:before="0" w:after="283"/>
              <w:ind w:left="720" w:right="0" w:firstLine="720"/>
              <w:jc w:val="left"/>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b/>
                <w:color w:val="404040"/>
                <w:sz w:val="18"/>
              </w:rPr>
            </w:pPr>
            <w:r>
              <w:rPr>
                <w:rFonts w:ascii="Clario;sans-serif" w:hAnsi="Clario;sans-serif"/>
                <w:b/>
                <w:color w:val="404040"/>
                <w:sz w:val="18"/>
              </w:rPr>
              <w:t>Commercial paper</w:t>
            </w:r>
          </w:p>
        </w:tc>
        <w:tc>
          <w:tcPr>
            <w:tcW w:w="16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P-2</w:t>
            </w:r>
          </w:p>
        </w:tc>
        <w:tc>
          <w:tcPr>
            <w:tcW w:w="27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A-2</w:t>
            </w:r>
          </w:p>
        </w:tc>
        <w:tc>
          <w:tcPr>
            <w:tcW w:w="13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F1</w:t>
            </w:r>
          </w:p>
        </w:tc>
        <w:tc>
          <w:tcPr>
            <w:tcW w:w="911" w:type="dxa"/>
            <w:tcBorders/>
            <w:tcMar>
              <w:top w:w="0" w:type="dxa"/>
              <w:left w:w="0" w:type="dxa"/>
              <w:bottom w:w="0" w:type="dxa"/>
              <w:right w:w="0" w:type="dxa"/>
            </w:tcMar>
            <w:vAlign w:val="center"/>
          </w:tcPr>
          <w:p>
            <w:pPr>
              <w:pStyle w:val="TableContents"/>
              <w:bidi w:val="0"/>
              <w:spacing w:before="0" w:after="283"/>
              <w:ind w:left="720" w:right="0" w:firstLine="720"/>
              <w:jc w:val="left"/>
              <w:rPr/>
            </w:pPr>
            <w:r>
              <w:rPr/>
              <w:t> </w:t>
            </w:r>
          </w:p>
        </w:tc>
      </w:tr>
      <w:tr>
        <w:trPr/>
        <w:tc>
          <w:tcPr>
            <w:tcW w:w="2701"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b/>
                <w:color w:val="404040"/>
                <w:sz w:val="18"/>
              </w:rPr>
            </w:pPr>
            <w:r>
              <w:rPr>
                <w:rFonts w:ascii="Clario;sans-serif" w:hAnsi="Clario;sans-serif"/>
                <w:b/>
                <w:color w:val="404040"/>
                <w:sz w:val="18"/>
              </w:rPr>
              <w:t>Trend/Outlook</w:t>
            </w:r>
          </w:p>
        </w:tc>
        <w:tc>
          <w:tcPr>
            <w:tcW w:w="1681"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Positive</w:t>
            </w:r>
          </w:p>
        </w:tc>
        <w:tc>
          <w:tcPr>
            <w:tcW w:w="2791"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Stable</w:t>
            </w:r>
          </w:p>
        </w:tc>
        <w:tc>
          <w:tcPr>
            <w:tcW w:w="1396"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Stable</w:t>
            </w:r>
          </w:p>
        </w:tc>
        <w:tc>
          <w:tcPr>
            <w:tcW w:w="911" w:type="dxa"/>
            <w:tcBorders>
              <w:bottom w:val="single" w:sz="12" w:space="0" w:color="AFAFAF"/>
            </w:tcBorders>
            <w:tcMar>
              <w:top w:w="0" w:type="dxa"/>
              <w:left w:w="0" w:type="dxa"/>
              <w:right w:w="0" w:type="dxa"/>
            </w:tcMar>
            <w:vAlign w:val="center"/>
          </w:tcPr>
          <w:p>
            <w:pPr>
              <w:pStyle w:val="TableContents"/>
              <w:bidi w:val="0"/>
              <w:spacing w:before="0" w:after="283"/>
              <w:ind w:left="720" w:right="0" w:firstLine="720"/>
              <w:jc w:val="left"/>
              <w:rPr/>
            </w:pPr>
            <w:r>
              <w:rPr/>
              <w:t> </w:t>
            </w:r>
          </w:p>
        </w:tc>
      </w:tr>
    </w:tbl>
    <w:p>
      <w:pPr>
        <w:pStyle w:val="TextBody"/>
        <w:bidi w:val="0"/>
        <w:ind w:left="360" w:right="0" w:hanging="0"/>
        <w:jc w:val="left"/>
        <w:rPr/>
      </w:pPr>
      <w:r>
        <w:rP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13</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ind w:left="360" w:right="0" w:hanging="0"/>
        <w:jc w:val="left"/>
        <w:rPr>
          <w:rFonts w:ascii="Times New Roman" w:hAnsi="Times New Roman"/>
          <w:sz w:val="20"/>
        </w:rPr>
      </w:pPr>
      <w:r>
        <w:rPr>
          <w:rFonts w:ascii="Clario;sans-serif" w:hAnsi="Clario;sans-serif"/>
          <w:color w:val="404040"/>
          <w:sz w:val="18"/>
        </w:rPr>
        <w:t>These credit ratings are not recommendations to purchase, hold, or sell securities and do not address the market price or suitability of a specific security for a particular investor. Credit ratings may not reflect the potential impact of all risks on the value of securities. We cannot ensure that our credit ratings will not be lowered in the future or that rating agencies will not issue adverse commentaries regarding our securities.</w:t>
      </w:r>
      <w:r>
        <w:rPr>
          <w:rFonts w:ascii="Times New Roman" w:hAnsi="Times New Roman"/>
          <w:color w:val="404040"/>
          <w:sz w:val="20"/>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pPr>
      <w:r>
        <w:rPr>
          <w:rFonts w:ascii="Clario;sans-serif" w:hAnsi="Clario;sans-serif"/>
          <w:b/>
          <w:color w:val="404040"/>
          <w:sz w:val="18"/>
        </w:rPr>
        <w:t>Dividends.</w:t>
      </w:r>
      <w:r>
        <w:rPr>
          <w:color w:val="404040"/>
        </w:rPr>
        <w:t xml:space="preserve"> </w:t>
      </w:r>
      <w:r>
        <w:rPr>
          <w:rFonts w:ascii="Clario;sans-serif" w:hAnsi="Clario;sans-serif"/>
          <w:color w:val="404040"/>
          <w:sz w:val="18"/>
        </w:rPr>
        <w:t xml:space="preserve">Dividends on our common shares are declared in U.S. dollars. In February 2026, we announced a 10% or $0.24 per share increase in the annualized dividend rate to $2.62 per common share (beginning with the common share dividend that we paid in March 2026). In our consolidated statement of cash flow, dividends paid on common shares are shown net of amounts reinvested in our company under our dividend reinvestment plan (DRIP). Registered holders of common shares may participate in our DRIP, under which cash dividends are automatically reinvested in new common shares. Common shares are valued at the weighted-average price at which the shares traded on the TSX during the five trading days immediately preceding the record date for the dividend. </w:t>
      </w:r>
    </w:p>
    <w:p>
      <w:pPr>
        <w:pStyle w:val="TextBody"/>
        <w:pBdr/>
        <w:bidi w:val="0"/>
        <w:spacing w:before="100" w:after="283"/>
        <w:ind w:left="360" w:right="0" w:hanging="360"/>
        <w:jc w:val="left"/>
        <w:rPr>
          <w:rFonts w:ascii="Clario;sans-serif" w:hAnsi="Clario;sans-serif"/>
          <w:color w:val="404040"/>
          <w:sz w:val="18"/>
        </w:rPr>
      </w:pPr>
      <w:r>
        <w:rPr>
          <w:rFonts w:ascii="Clario;sans-serif" w:hAnsi="Clario;sans-serif"/>
          <w:color w:val="404040"/>
          <w:sz w:val="18"/>
        </w:rPr>
        <w:t>Details of dividends declared per common share and dividends paid on common shares are as follows:</w:t>
      </w:r>
    </w:p>
    <w:p>
      <w:pPr>
        <w:pStyle w:val="TextBody"/>
        <w:bidi w:val="0"/>
        <w:jc w:val="left"/>
        <w:rPr/>
      </w:pPr>
      <w:r>
        <w:rPr/>
        <w:t> </w:t>
      </w:r>
    </w:p>
    <w:tbl>
      <w:tblPr>
        <w:tblW w:w="9776" w:type="dxa"/>
        <w:jc w:val="left"/>
        <w:tblInd w:w="0" w:type="dxa"/>
        <w:tblLayout w:type="fixed"/>
        <w:tblCellMar>
          <w:top w:w="28" w:type="dxa"/>
          <w:left w:w="28" w:type="dxa"/>
          <w:bottom w:w="28" w:type="dxa"/>
          <w:right w:w="28" w:type="dxa"/>
        </w:tblCellMar>
      </w:tblPr>
      <w:tblGrid>
        <w:gridCol w:w="5176"/>
        <w:gridCol w:w="209"/>
        <w:gridCol w:w="1128"/>
        <w:gridCol w:w="1107"/>
        <w:gridCol w:w="146"/>
        <w:gridCol w:w="983"/>
        <w:gridCol w:w="1027"/>
      </w:tblGrid>
      <w:tr>
        <w:trPr/>
        <w:tc>
          <w:tcPr>
            <w:tcW w:w="517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2010"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5385" w:type="dxa"/>
            <w:gridSpan w:val="2"/>
            <w:tcBorders>
              <w:bottom w:val="single" w:sz="4" w:space="0" w:color="4D4D4D"/>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128"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107"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98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027"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 per common share</w:t>
            </w:r>
          </w:p>
        </w:tc>
        <w:tc>
          <w:tcPr>
            <w:tcW w:w="2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1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$0.655</w:t>
            </w:r>
          </w:p>
        </w:tc>
        <w:tc>
          <w:tcPr>
            <w:tcW w:w="11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$0.595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$1.31</w:t>
            </w:r>
          </w:p>
        </w:tc>
        <w:tc>
          <w:tcPr>
            <w:tcW w:w="10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284</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576</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536</w:t>
            </w:r>
          </w:p>
        </w:tc>
      </w:tr>
      <w:tr>
        <w:trPr/>
        <w:tc>
          <w:tcPr>
            <w:tcW w:w="5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reinvested</w:t>
            </w:r>
          </w:p>
        </w:tc>
        <w:tc>
          <w:tcPr>
            <w:tcW w:w="2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1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11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0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r>
      <w:tr>
        <w:trPr/>
        <w:tc>
          <w:tcPr>
            <w:tcW w:w="51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w:t>
            </w:r>
          </w:p>
        </w:tc>
        <w:tc>
          <w:tcPr>
            <w:tcW w:w="2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1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275</w:t>
            </w:r>
          </w:p>
        </w:tc>
        <w:tc>
          <w:tcPr>
            <w:tcW w:w="11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555</w:t>
            </w:r>
          </w:p>
        </w:tc>
        <w:tc>
          <w:tcPr>
            <w:tcW w:w="10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519</w:t>
            </w:r>
          </w:p>
        </w:tc>
      </w:tr>
    </w:tbl>
    <w:p>
      <w:pPr>
        <w:pStyle w:val="TextBody"/>
        <w:bidi w:val="0"/>
        <w:jc w:val="left"/>
        <w:rPr/>
      </w:pPr>
      <w:r>
        <w:rPr/>
        <w:t> </w:t>
      </w:r>
    </w:p>
    <w:p>
      <w:pPr>
        <w:pStyle w:val="TextBody"/>
        <w:bidi w:val="0"/>
        <w:jc w:val="left"/>
        <w:rPr/>
      </w:pPr>
      <w:r>
        <w:rPr/>
        <w:t> </w:t>
      </w:r>
    </w:p>
    <w:p>
      <w:pPr>
        <w:pStyle w:val="TextBody"/>
        <w:bidi w:val="0"/>
        <w:spacing w:before="0" w:after="0"/>
        <w:jc w:val="left"/>
        <w:rPr>
          <w:color w:val="404040"/>
        </w:rPr>
      </w:pPr>
      <w:r>
        <w:rPr>
          <w:color w:val="404040"/>
        </w:rPr>
        <w:t>•</w:t>
      </w:r>
    </w:p>
    <w:p>
      <w:pPr>
        <w:pStyle w:val="TextBody"/>
        <w:bidi w:val="0"/>
        <w:jc w:val="left"/>
        <w:rPr/>
      </w:pPr>
      <w:r>
        <w:rPr>
          <w:rFonts w:ascii="Clario;sans-serif" w:hAnsi="Clario;sans-serif"/>
          <w:b/>
          <w:color w:val="404040"/>
          <w:sz w:val="18"/>
        </w:rPr>
        <w:t xml:space="preserve">Share repurchases – NCIB. </w:t>
      </w:r>
      <w:r>
        <w:rPr>
          <w:rFonts w:ascii="Clario;sans-serif" w:hAnsi="Clario;sans-serif"/>
          <w:color w:val="404040"/>
          <w:sz w:val="18"/>
        </w:rPr>
        <w:t xml:space="preserve">We buy back shares (and subsequently cancel them) from time to time as part of our capital strategy. Share repurchases are typically executed under a NCIB program, which is approved by the TSX. The current NCIB program, as amended in February 2026, allows us to repurchase up to 16 million common shares between August 19, 2025 and August 18, 2026, of which 6.0 million common shares were repurchased from August through October of 2025. In February 2026, we announced our plan to repurchase up to $600 million of our common shares. </w:t>
      </w:r>
    </w:p>
    <w:p>
      <w:pPr>
        <w:pStyle w:val="TextBody"/>
        <w:bidi w:val="0"/>
        <w:jc w:val="left"/>
        <w:rPr/>
      </w:pPr>
      <w:r>
        <w:rPr/>
        <w:t> </w:t>
      </w:r>
    </w:p>
    <w:p>
      <w:pPr>
        <w:pStyle w:val="TextBody"/>
        <w:bidi w:val="0"/>
        <w:ind w:left="360" w:right="0" w:hanging="0"/>
        <w:jc w:val="left"/>
        <w:rPr>
          <w:rFonts w:ascii="Clario;sans-serif" w:hAnsi="Clario;sans-serif"/>
          <w:color w:val="404040"/>
          <w:sz w:val="18"/>
        </w:rPr>
      </w:pPr>
      <w:r>
        <w:rPr>
          <w:rFonts w:ascii="Clario;sans-serif" w:hAnsi="Clario;sans-serif"/>
          <w:color w:val="404040"/>
          <w:sz w:val="18"/>
        </w:rPr>
        <w:t>We may repurchase common shares in open market transactions on the TSX, Nasdaq and/or other exchanges and alternative trading systems, if eligible, or by such other means as may be permitted by the TSX and/or Nasdaq or under applicable law, including private agreement purchases or share purchase program agreement purchases if we receive, if applicable, an issuer bid exemption order in the future from applicable securities regulatory authorities in Canada for such purchases. The price that we will pay for common shares in open market transactions will be the market price at the time of purchase or such other price as may be permitted by the TSX.</w:t>
      </w:r>
    </w:p>
    <w:p>
      <w:pPr>
        <w:pStyle w:val="TextBody"/>
        <w:bidi w:val="0"/>
        <w:spacing w:before="100" w:after="283"/>
        <w:ind w:left="360" w:right="0" w:hanging="0"/>
        <w:jc w:val="left"/>
        <w:rPr>
          <w:rFonts w:ascii="Clario;sans-serif" w:hAnsi="Clario;sans-serif"/>
          <w:color w:val="404040"/>
          <w:sz w:val="18"/>
        </w:rPr>
      </w:pPr>
      <w:r>
        <w:rPr>
          <w:rFonts w:ascii="Clario;sans-serif" w:hAnsi="Clario;sans-serif"/>
          <w:color w:val="404040"/>
          <w:sz w:val="18"/>
        </w:rPr>
        <w:t>Details of share repurchases are as follows:</w:t>
      </w:r>
    </w:p>
    <w:tbl>
      <w:tblPr>
        <w:tblW w:w="8532" w:type="dxa"/>
        <w:jc w:val="left"/>
        <w:tblInd w:w="0" w:type="dxa"/>
        <w:tblLayout w:type="fixed"/>
        <w:tblCellMar>
          <w:top w:w="28" w:type="dxa"/>
          <w:left w:w="28" w:type="dxa"/>
          <w:bottom w:w="28" w:type="dxa"/>
          <w:right w:w="28" w:type="dxa"/>
        </w:tblCellMar>
      </w:tblPr>
      <w:tblGrid>
        <w:gridCol w:w="4141"/>
        <w:gridCol w:w="352"/>
        <w:gridCol w:w="1883"/>
        <w:gridCol w:w="146"/>
        <w:gridCol w:w="268"/>
        <w:gridCol w:w="1742"/>
      </w:tblGrid>
      <w:tr>
        <w:trPr/>
        <w:tc>
          <w:tcPr>
            <w:tcW w:w="41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2010"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Six months ended</w:t>
              <w:br/>
              <w:t>June 30,</w:t>
            </w:r>
          </w:p>
        </w:tc>
      </w:tr>
      <w:tr>
        <w:trPr/>
        <w:tc>
          <w:tcPr>
            <w:tcW w:w="4141"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188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268"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1742"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repurchases (millions of U.S. dollars)</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362</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Shares repurchased (number in millions)</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r>
      <w:tr>
        <w:trPr/>
        <w:tc>
          <w:tcPr>
            <w:tcW w:w="4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repurchases - average price per share</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$100.97</w:t>
            </w:r>
          </w:p>
        </w:tc>
      </w:tr>
    </w:tbl>
    <w:p>
      <w:pPr>
        <w:pStyle w:val="TextBody"/>
        <w:bidi w:val="0"/>
        <w:jc w:val="left"/>
        <w:rPr/>
      </w:pPr>
      <w:r>
        <w:rPr/>
        <w:t> </w:t>
      </w:r>
    </w:p>
    <w:p>
      <w:pPr>
        <w:pStyle w:val="TextBody"/>
        <w:bidi w:val="0"/>
        <w:ind w:left="360" w:right="0" w:hanging="0"/>
        <w:jc w:val="left"/>
        <w:rPr>
          <w:rFonts w:ascii="Clario;sans-serif" w:hAnsi="Clario;sans-serif"/>
          <w:color w:val="404040"/>
          <w:sz w:val="18"/>
        </w:rPr>
      </w:pPr>
      <w:r>
        <w:rPr>
          <w:rFonts w:ascii="Clario;sans-serif" w:hAnsi="Clario;sans-serif"/>
          <w:color w:val="404040"/>
          <w:sz w:val="18"/>
        </w:rPr>
        <w:t>There were no share repurchases in the three and six months ended June 30, 2025.</w:t>
      </w:r>
    </w:p>
    <w:p>
      <w:pPr>
        <w:pStyle w:val="TextBody"/>
        <w:bidi w:val="0"/>
        <w:spacing w:before="100" w:after="283"/>
        <w:ind w:left="360" w:right="0" w:hanging="0"/>
        <w:jc w:val="left"/>
        <w:rPr>
          <w:rFonts w:ascii="Clario;sans-serif" w:hAnsi="Clario;sans-serif"/>
          <w:color w:val="404040"/>
          <w:sz w:val="18"/>
        </w:rPr>
      </w:pPr>
      <w:r>
        <w:rPr>
          <w:rFonts w:ascii="Clario;sans-serif" w:hAnsi="Clario;sans-serif"/>
          <w:color w:val="404040"/>
          <w:sz w:val="18"/>
        </w:rPr>
        <w:t>Decisions regarding any future repurchases will depend on certain factors, such as market conditions, share price and other opportunities to invest capital for growth. We may elect to suspend or discontinue share repurchases at any time, in accordance with applicable laws. From time to time when we do not possess material nonpublic information about ourselves or our securities, we may enter into a pre-defined plan with our broker to allow for the repurchase of shares at times when we ordinarily would not be active in the market due to our own internal trading blackout periods, insider trading rules or otherwise. Any such plans entered into with our broker will be adopted in accordance with applicable Canadian securities laws and the requirements of Rule 10b5-1 under the U.S. Securities Exchange Act of 1934, as amended. We entered into such a plan with our broker on March 2, 2026. In July 2026, we completed our $600 million share repurchase program by repurchasing an additional 2.6 million common shares totaling $238 million (see the "Subsequent Events" section of this management’s discussion and analysis for additional information).</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14</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20" w:after="283"/>
        <w:jc w:val="left"/>
        <w:rPr>
          <w:color w:val="404040"/>
        </w:rPr>
      </w:pPr>
      <w:r>
        <w:rPr>
          <w:color w:val="404040"/>
        </w:rPr>
        <w:t>•</w:t>
      </w:r>
    </w:p>
    <w:p>
      <w:pPr>
        <w:pStyle w:val="TextBody"/>
        <w:bidi w:val="0"/>
        <w:spacing w:before="120" w:after="283"/>
        <w:jc w:val="left"/>
        <w:rPr/>
      </w:pPr>
      <w:r>
        <w:rPr>
          <w:rFonts w:ascii="Clario;sans-serif" w:hAnsi="Clario;sans-serif"/>
          <w:b/>
          <w:color w:val="404040"/>
          <w:sz w:val="18"/>
        </w:rPr>
        <w:t xml:space="preserve">Return of capital and share consolidation transactions. </w:t>
      </w:r>
      <w:r>
        <w:rPr>
          <w:rFonts w:ascii="Clario;sans-serif" w:hAnsi="Clario;sans-serif"/>
          <w:color w:val="404040"/>
          <w:sz w:val="18"/>
        </w:rPr>
        <w:t xml:space="preserve">On May 4, 2026, we returned $605 million to our shareholders and reduced our common shares outstanding by approximately 6.5 million shares through return of capital and share consolidation transactions, which was derived from the May 2024 sales of LSEG shares. The transactions consisted of a special cash distribution of $1.435518 per participating common share and a share consolidation, or “reverse stock split”, which reduced the number of outstanding common shares at a ratio of 1 pre-consolidated share for 0.984560 post-consolidated shares. Shareholders who were subject to income tax in a jurisdiction other than Canada were given the opportunity to opt-out of the return of capital. The share consolidation was proportional to the special cash distribution, and the share consolidation ratio was based on the volume weighted-average trading price of our company's common shares on the Nasdaq for the five-trading day period immediately preceding the May 4, 2026 effective date. Woodbridge, the Company's principal shareholder, participated in this transaction.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Financial position</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Our net assets, defined as total assets less total liabilities, were $11.1 billion as of June 30, 2026 compared to $11.9 billion as of December 31, 2025. The change during the six-month period was due to an increase in our current indebtedness.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of June 30, 2026, our current liabilities exceeded our current assets by $2.2 billion primarily because our current liabilities included $1.3 billion of deferred revenue. We also had $1.6 billion of current indebtedness, which represent our commercial paper borrowings outstanding.</w:t>
      </w:r>
    </w:p>
    <w:p>
      <w:pPr>
        <w:pStyle w:val="TextBody"/>
        <w:bidi w:val="0"/>
        <w:spacing w:before="100" w:after="283"/>
        <w:jc w:val="left"/>
        <w:rPr>
          <w:rFonts w:ascii="Times New Roman" w:hAnsi="Times New Roman"/>
          <w:sz w:val="20"/>
        </w:rPr>
      </w:pPr>
      <w:r>
        <w:rPr>
          <w:rFonts w:ascii="Clario;sans-serif" w:hAnsi="Clario;sans-serif"/>
          <w:color w:val="404040"/>
          <w:sz w:val="18"/>
        </w:rPr>
        <w:t>Deferred revenue arises from the sale of subscription-based products and services that many customers pay for in advance. The cash received from these advance payments is used to currently fund the operating, investing and financing activities of our business. However, for accounting purposes, these advance payments must be deferred and recognized over the term of the subscription. As such, we may reflect a negative working capital position in our consolidated statement of financial position. In the ordinary course of business, deferred revenue does not represent a cash obligation, but rather an obligation to perform services or deliver products, and therefore when we are in that situation, we do not believe it is indicative of a liquidity issue, but rather an outcome of the required accounting for our business model.</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With respect to current indebtedness, we believe we can refinance these amounts at any time, given our credit facility and access to long-term debt markets, both of which are supported by our strong investment grade credit ratings. Additionally, the cash generated from our operating activities is a significant source of liquidity, which could be used to repay a portion of the amounts outstanding.</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Net debt and leverage ratio of net debt to adjusted EBITDA</w:t>
      </w:r>
    </w:p>
    <w:p>
      <w:pPr>
        <w:pStyle w:val="TextBody"/>
        <w:bidi w:val="0"/>
        <w:jc w:val="left"/>
        <w:rPr/>
      </w:pPr>
      <w:r>
        <w:rPr/>
        <w:t> </w:t>
      </w:r>
    </w:p>
    <w:tbl>
      <w:tblPr>
        <w:tblW w:w="7770" w:type="dxa"/>
        <w:jc w:val="left"/>
        <w:tblInd w:w="0" w:type="dxa"/>
        <w:tblLayout w:type="fixed"/>
        <w:tblCellMar>
          <w:top w:w="28" w:type="dxa"/>
          <w:left w:w="28" w:type="dxa"/>
          <w:bottom w:w="28" w:type="dxa"/>
          <w:right w:w="28" w:type="dxa"/>
        </w:tblCellMar>
      </w:tblPr>
      <w:tblGrid>
        <w:gridCol w:w="4816"/>
        <w:gridCol w:w="146"/>
        <w:gridCol w:w="168"/>
        <w:gridCol w:w="762"/>
        <w:gridCol w:w="146"/>
        <w:gridCol w:w="146"/>
        <w:gridCol w:w="256"/>
        <w:gridCol w:w="1139"/>
        <w:gridCol w:w="1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Net debt</w:t>
            </w:r>
            <w:r>
              <w:rPr>
                <w:rFonts w:ascii="Clario;sans-serif" w:hAnsi="Clario;sans-serif"/>
                <w:b/>
                <w:color w:val="404040"/>
                <w:sz w:val="12"/>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2,628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1,896</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Leverage ratio of net debt to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Adjusted EBITDA</w:t>
            </w:r>
            <w:r>
              <w:rPr>
                <w:rFonts w:ascii="Clario;sans-serif" w:hAnsi="Clario;sans-serif"/>
                <w:b/>
                <w:color w:val="40404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Net debt / adjusted EBITDA</w:t>
            </w:r>
            <w:r>
              <w:rPr>
                <w:rFonts w:ascii="Clario;sans-serif" w:hAnsi="Clario;sans-serif"/>
                <w:b/>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0.9:1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0.6:1</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 xml:space="preserve">Represent non-IFRS financial measures. Refer to Appendices A and B of this management’s discussion and analysis for additional information and reconciliations of our non-IFRS financial measures to the most directly comparable IFRS financial measures. </w:t>
      </w:r>
    </w:p>
    <w:p>
      <w:pPr>
        <w:pStyle w:val="TextBody"/>
        <w:bidi w:val="0"/>
        <w:spacing w:before="100" w:after="120"/>
        <w:jc w:val="left"/>
        <w:rPr>
          <w:rFonts w:ascii="Times New Roman" w:hAnsi="Times New Roman"/>
          <w:sz w:val="20"/>
        </w:rPr>
      </w:pPr>
      <w:r>
        <w:rPr>
          <w:rFonts w:ascii="Clario;sans-serif" w:hAnsi="Clario;sans-serif"/>
          <w:color w:val="404040"/>
          <w:sz w:val="18"/>
        </w:rPr>
        <w:t>For additional information about our liquidity, we provide our leverage ratio of net debt to adjusted EBITDA for the previous twelve-month period ending with the current fiscal quarter. Our leverage ratio of net debt to adjusted EBITDA was below our target leverage ratio of 2.5:1. Net debt increased during the first six months of 2026 primarily due to higher commercial paper borrowings outstanding (refer to the “Cash Flow” section of this management’s discussion and analysis for additional information).</w:t>
      </w:r>
      <w:r>
        <w:rPr>
          <w:rFonts w:ascii="Times New Roman" w:hAnsi="Times New Roman"/>
          <w:color w:val="404040"/>
          <w:sz w:val="20"/>
        </w:rPr>
        <w:t xml:space="preserve"> </w:t>
      </w:r>
    </w:p>
    <w:p>
      <w:pPr>
        <w:pStyle w:val="TextBody"/>
        <w:bidi w:val="0"/>
        <w:jc w:val="left"/>
        <w:rPr>
          <w:rFonts w:ascii="Clario;sans-serif" w:hAnsi="Clario;sans-serif"/>
          <w:color w:val="404040"/>
          <w:sz w:val="18"/>
        </w:rPr>
      </w:pPr>
      <w:r>
        <w:rPr>
          <w:rFonts w:ascii="Clario;sans-serif" w:hAnsi="Clario;sans-serif"/>
          <w:color w:val="404040"/>
          <w:sz w:val="18"/>
        </w:rPr>
        <w:t>As of June 30, 2026, our total debt position (excluding the associated unamortized transaction costs and premiums or discounts) was $3.0 billion. The maturity dates for our term debt are well balanced with no significant concentration in any one year and are scheduled to mature in 2035, 2040 and 2043. As of June 30, 2026, the average maturity of our term debt was approximately 14 years at a weighted-average interest rate of slightly less than 6%, including the impact of interest rate swaps based on the June 30, 2026 SOFR.</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Off-balance sheet arrangements, commitments and contractual obligations</w:t>
      </w:r>
    </w:p>
    <w:p>
      <w:pPr>
        <w:pStyle w:val="TextBody"/>
        <w:bidi w:val="0"/>
        <w:spacing w:before="100" w:after="120"/>
        <w:jc w:val="left"/>
        <w:rPr>
          <w:rFonts w:ascii="Clario;sans-serif" w:hAnsi="Clario;sans-serif"/>
          <w:color w:val="404040"/>
          <w:sz w:val="18"/>
        </w:rPr>
      </w:pPr>
      <w:r>
        <w:rPr>
          <w:rFonts w:ascii="Clario;sans-serif" w:hAnsi="Clario;sans-serif"/>
          <w:color w:val="404040"/>
          <w:sz w:val="18"/>
        </w:rPr>
        <w:t>See the “Guarantees” section of this management’s discussion and analysis below for information on guarantees and other credit support provided by our company to 3 Times Square Associates LLC (3XSQ Associates) in connection with an amended and restated loan facility 3XSQ Associates obtained in May 2025. For a summary of our other off-balance sheet arrangements, commitments and contractual obligations please see our 2025 annual management’s discussion and analysis. There were no material changes to these arrangements, commitments and contractual obligations during the six months ended June 30, 2026.</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15</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Contingencies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Lawsuits and legal claims</w:t>
      </w:r>
    </w:p>
    <w:p>
      <w:pPr>
        <w:pStyle w:val="TextBody"/>
        <w:bidi w:val="0"/>
        <w:spacing w:before="100" w:after="283"/>
        <w:jc w:val="left"/>
        <w:rPr>
          <w:rFonts w:ascii="Times New Roman" w:hAnsi="Times New Roman"/>
          <w:sz w:val="20"/>
        </w:rPr>
      </w:pPr>
      <w:r>
        <w:rPr>
          <w:rFonts w:ascii="Clario;sans-serif" w:hAnsi="Clario;sans-serif"/>
          <w:color w:val="404040"/>
          <w:sz w:val="18"/>
        </w:rPr>
        <w:t>We are engaged in various legal proceedings, claims, audits and investigations that have arisen in the ordinary course of business. These matters include, but are not limited to, employment matters, commercial matters, privacy and data protection matters, defamation matters and intellectual property infringement matters. The outcome of all the matters against us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 Based on information currently known to us and after consultation with outside legal counsel, management believes that the ultimate resolution of any such matters, individually or in the aggregate, will not have a material adverse impact on our financial condition taken as a whole.</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Uncertain tax positions</w:t>
      </w:r>
    </w:p>
    <w:p>
      <w:pPr>
        <w:pStyle w:val="TextBody"/>
        <w:bidi w:val="0"/>
        <w:spacing w:before="100" w:after="283"/>
        <w:jc w:val="left"/>
        <w:rPr>
          <w:rFonts w:ascii="Times New Roman" w:hAnsi="Times New Roman"/>
          <w:sz w:val="20"/>
        </w:rPr>
      </w:pPr>
      <w:r>
        <w:rPr>
          <w:rFonts w:ascii="Clario;sans-serif" w:hAnsi="Clario;sans-serif"/>
          <w:color w:val="404040"/>
          <w:sz w:val="18"/>
        </w:rPr>
        <w:t>We are subject to taxation in numerous jurisdictions and we are routinely under audit by many different taxing authorities in the ordinary course of business. There are many transactions and calculations during the course of business for which the ultimate tax determination is uncertain, as taxing authorities may challenge some of our positions and propose adjustments or changes to our tax filings.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As a result, we maintain provisions for uncertain tax positions that we believe appropriately reflect our risk. These provisions are made using our best estimates of the amount expected to be paid based on a qualitative assessment of all relevant factors. When appropriate, we perform an expected value calculation to determine our provisions. We review the adequacy of these provisions at the end of each reporting period and adjust them based on changing facts and circumstances.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Prior to December 31, 2023, we paid $430 million of tax as required under notices of assessment issued by the U.K. tax authority, HM Revenue &amp; Customs (HMRC), under the Diverted Profits Tax (DPT) regime that collectively related to the 2015, 2016, 2017 and 2018 taxation years of certain of our current and former U.K. affiliates. We do not believe these current and former U.K. affiliates fall within the scope of the DPT regime. Because we believe our position is supported by the weight of law, we intend to vigorously defend our position and will continue contesting these assessments through all available administrative and judicial remedies. As the assessments largely relate to businesses that we have sold, the majority are subject to indemnity arrangements under which we have been required to pay additional taxes to HMRC or the indemnity counterparty. Payments made by us are not a reflection of our view on the merits of the case. As we expect to receive refunds of substantially all of the amounts paid pursuant to these notices of assessment, we have recorded substantially all of these payments as non-current receivables from HMRC or the indemnity counterparty, in our financial statements.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Due to the uncertainty associated with tax audits, it is possible that at some future date, liabilities resulting from such audits or related litigation could vary significantly from our provisions. However, based on currently enacted legislation, information currently known to us and after consultation with outside tax advisors, management believes that the ultimate resolution of any such matters, individually or in the aggregate, will not have a material adverse impact on our financial condition taken as a whole.</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Guarantees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We have an investment in 3XSQ Associates, an entity jointly owned by a subsidiary of our company and Rudin Times Square Associates LLC (Rudin), that owns and operates the 3 Times Square office building (the building) in New York, New York. In May 2025, 3XSQ Associates extended the maturity of its 3-year term loan facility from June 2025 for an additional 2 years to June 2027 and reduced the facility to $385 million from $415 million. The facility was obtained in 2022 to refinance existing debt, fund the building’s redevelopment, and cover interest and operating costs during the redevelopment period. The building is pledged as loan collateral. We and Rudin each guarantee 50% of (i) certain principal loan amounts and (ii) interest and operating costs. We and Rudin also jointly and severally guarantee (i) completion of commenced works and (ii) lender losses arising from disallowed acts, environmental or otherwise. To minimize economic exposure to 50% for the joint and several obligations, we and a parent entity of Rudin entered into a cross-indemnification arrangement. We believe the value of the building is expected to be sufficient to cover obligations that could arise from the guarantees. The guarantees do not impact our ability to borrow funds under our $2.0 billion syndicated credit facility or the related covenant calculation.</w:t>
      </w:r>
    </w:p>
    <w:p>
      <w:pPr>
        <w:pStyle w:val="TextBody"/>
        <w:bidi w:val="0"/>
        <w:spacing w:before="100" w:after="283"/>
        <w:jc w:val="left"/>
        <w:rPr>
          <w:rFonts w:ascii="Times New Roman" w:hAnsi="Times New Roman"/>
          <w:sz w:val="20"/>
        </w:rPr>
      </w:pPr>
      <w:r>
        <w:rPr>
          <w:rFonts w:ascii="Clario;sans-serif" w:hAnsi="Clario;sans-serif"/>
          <w:i/>
          <w:color w:val="404040"/>
          <w:sz w:val="18"/>
        </w:rPr>
        <w:t>For additional information, please see the “Risk Factors” section of our 2025 annual report, which contains further information on risks related to legal and tax matters.</w:t>
      </w:r>
      <w:r>
        <w:rPr>
          <w:rFonts w:ascii="Times New Roman" w:hAnsi="Times New Roman"/>
          <w:color w:val="404040"/>
          <w:sz w:val="20"/>
        </w:rPr>
        <w:t xml:space="preserve"> </w:t>
      </w:r>
    </w:p>
    <w:p>
      <w:pPr>
        <w:pStyle w:val="TextBody"/>
        <w:bidi w:val="0"/>
        <w:spacing w:before="100" w:after="283"/>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16</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00" w:after="283"/>
        <w:jc w:val="left"/>
        <w:rPr>
          <w:rFonts w:ascii="Times New Roman" w:hAnsi="Times New Roman"/>
          <w:sz w:val="20"/>
        </w:rPr>
      </w:pPr>
      <w:r>
        <w:rPr>
          <w:rFonts w:ascii="Clario;sans-serif" w:hAnsi="Clario;sans-serif"/>
          <w:b/>
          <w:color w:val="404040"/>
          <w:sz w:val="24"/>
        </w:rPr>
        <w:t>Outlook</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i/>
          <w:color w:val="404040"/>
          <w:sz w:val="18"/>
        </w:rPr>
        <w:t>The information in this section is forward-looking and should be read in conjunction with the section entitled “Additional Information - Cautionary Note Concerning Factors That May Affect Future Results”.</w:t>
      </w:r>
      <w:r>
        <w:rPr>
          <w:rFonts w:ascii="Times New Roman" w:hAnsi="Times New Roman"/>
          <w:color w:val="404040"/>
          <w:sz w:val="20"/>
        </w:rPr>
        <w:t xml:space="preserve"> </w:t>
      </w:r>
    </w:p>
    <w:p>
      <w:pPr>
        <w:pStyle w:val="TextBody"/>
        <w:bidi w:val="0"/>
        <w:jc w:val="left"/>
        <w:rPr/>
      </w:pPr>
      <w:r>
        <w:rPr/>
        <w:t> </w:t>
      </w:r>
    </w:p>
    <w:p>
      <w:pPr>
        <w:pStyle w:val="TextBody"/>
        <w:bidi w:val="0"/>
        <w:spacing w:before="30" w:after="120"/>
        <w:jc w:val="left"/>
        <w:rPr>
          <w:rFonts w:ascii="Times New Roman" w:hAnsi="Times New Roman"/>
          <w:sz w:val="20"/>
        </w:rPr>
      </w:pPr>
      <w:r>
        <w:rPr>
          <w:rFonts w:ascii="Clario;sans-serif" w:hAnsi="Clario;sans-serif"/>
          <w:color w:val="404040"/>
          <w:sz w:val="18"/>
        </w:rPr>
        <w:t>In August 2026, we raised our 2026 full-year outlook for total and organic revenue growth to reflect the performance of our businesses during the first six months of the year. Our total and organic revenue growth outlooks for our total company were raised to approximately 8.0%, compared to a revenue growth range of 7.5% to 8.0% previously communicated on May 5, 2026. We also raised the total and organic revenue growth outlooks for our "Big 3" segments to a range of 9.5% to 10.0%, compared to our previous guidance of approximately 9.5%. All other metrics in our August 5, 2026 full-year outlook are unchanged from the previous guidance.</w:t>
      </w:r>
      <w:r>
        <w:rPr>
          <w:rFonts w:ascii="Times New Roman" w:hAnsi="Times New Roman"/>
          <w:color w:val="404040"/>
          <w:sz w:val="20"/>
        </w:rPr>
        <w:t xml:space="preserve"> </w:t>
      </w:r>
    </w:p>
    <w:p>
      <w:pPr>
        <w:pStyle w:val="TextBody"/>
        <w:bidi w:val="0"/>
        <w:spacing w:before="0" w:after="120"/>
        <w:jc w:val="left"/>
        <w:rPr>
          <w:rFonts w:ascii="Times New Roman" w:hAnsi="Times New Roman"/>
          <w:sz w:val="20"/>
        </w:rPr>
      </w:pPr>
      <w:r>
        <w:rPr>
          <w:rFonts w:ascii="Clario;sans-serif" w:hAnsi="Clario;sans-serif"/>
          <w:color w:val="404040"/>
          <w:sz w:val="18"/>
        </w:rPr>
        <w:t>The following table sets forth our full-year 2026 outlook and our full-year 2025 actual results, which include non-IFRS financial measures. Our outlook assumes constant currency rates relative to 2025 and incorporates the February 2026 Noetica acquisition, but does not factor in the impact of any future acquisitions or dispositions that may occur during the remainder of the year. We believe this type of guidance provides useful insight into the anticipated performance of our businesses.</w:t>
      </w:r>
      <w:r>
        <w:rPr>
          <w:rFonts w:ascii="Times New Roman" w:hAnsi="Times New Roman"/>
          <w:color w:val="404040"/>
          <w:sz w:val="20"/>
        </w:rPr>
        <w:t xml:space="preserve"> </w:t>
      </w:r>
    </w:p>
    <w:p>
      <w:pPr>
        <w:pStyle w:val="TextBody"/>
        <w:bidi w:val="0"/>
        <w:jc w:val="left"/>
        <w:rPr>
          <w:rFonts w:ascii="Clario;sans-serif" w:hAnsi="Clario;sans-serif"/>
          <w:color w:val="404040"/>
          <w:sz w:val="18"/>
        </w:rPr>
      </w:pPr>
      <w:r>
        <w:rPr>
          <w:rFonts w:ascii="Clario;sans-serif" w:hAnsi="Clario;sans-serif"/>
          <w:color w:val="404040"/>
          <w:sz w:val="18"/>
        </w:rPr>
        <w:t>Our company signed a definitive agreement to enter into a joint venture with KKR. As part of the transaction, we will sell a 51% stake in our Global Print business to capital accounts advised by KKR. Our company will receive approximately $500 million in gross proceeds at closing. The transaction is expected to close in the fourth quarter of 2026, subject to specified regulatory approvals and customary closing conditions. Our full-year 2026 outlook includes the forecasted results of the Global Print segment, consistent with our prior 2026 full-year outlooks. We will report our Global Print business as a discontinued operation when we release our third quarter results and plan to provide an updated full-year 2026 outlook at that time. See the "Global Print Transaction" section within the "Executive Summary" of this management’s discussion and analysis for further information.</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We continue to operate in an uncertain macroeconomic environment, reflecting ongoing geopolitical risk, uneven economic growth and an evolving interest rate and inflationary backdrop. Any worsening of the global economic or business environment, among other factors, could impact our ability to achieve our outlook.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8"/>
        <w:gridCol w:w="1157"/>
        <w:gridCol w:w="146"/>
        <w:gridCol w:w="1646"/>
        <w:gridCol w:w="146"/>
        <w:gridCol w:w="1709"/>
        <w:gridCol w:w="146"/>
        <w:gridCol w:w="1517"/>
      </w:tblGrid>
      <w:tr>
        <w:trPr/>
        <w:tc>
          <w:tcPr>
            <w:tcW w:w="373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738" w:type="dxa"/>
            <w:tcBorders/>
            <w:shd w:fill="666666"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FFFFFF"/>
                <w:sz w:val="18"/>
              </w:rPr>
            </w:pPr>
            <w:r>
              <w:rPr>
                <w:rFonts w:ascii="Clario;sans-serif" w:hAnsi="Clario;sans-serif"/>
                <w:b/>
                <w:color w:val="FFFFFF"/>
                <w:sz w:val="18"/>
              </w:rPr>
              <w:t>Total Thomson Reuters</w:t>
            </w:r>
          </w:p>
        </w:tc>
        <w:tc>
          <w:tcPr>
            <w:tcW w:w="1157"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2025 Actual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2026 Outlook</w:t>
              <w:br/>
              <w:t>2/5/2026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2026 Outlook</w:t>
              <w:br/>
              <w:t>5/5/2026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666666"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b/>
                <w:color w:val="FFFFFF"/>
                <w:sz w:val="18"/>
              </w:rPr>
            </w:pPr>
            <w:r>
              <w:rPr>
                <w:rFonts w:ascii="Clario;sans-serif" w:hAnsi="Clario;sans-serif"/>
                <w:b/>
                <w:color w:val="FFFFFF"/>
                <w:sz w:val="18"/>
              </w:rPr>
              <w:t>2026 Outlook</w:t>
              <w:br/>
              <w:t>8/5/2026</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Revenue growth</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Clario;sans-serif" w:hAnsi="Clario;sans-serif"/>
                <w:color w:val="404040"/>
                <w:sz w:val="18"/>
              </w:rPr>
              <w:t>3%</w:t>
            </w:r>
            <w:r>
              <w:rPr>
                <w:rFonts w:ascii="Clario;sans-serif" w:hAnsi="Clario;sans-serif"/>
                <w:color w:val="40404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7.5% - 8.0%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Clario;sans-serif" w:hAnsi="Clario;sans-serif"/>
                <w:color w:val="404040"/>
                <w:sz w:val="18"/>
              </w:rPr>
            </w:pPr>
            <w:r>
              <w:rPr>
                <w:rFonts w:ascii="Clario;sans-serif" w:hAnsi="Clario;sans-serif"/>
                <w:color w:val="404040"/>
                <w:sz w:val="18"/>
              </w:rPr>
              <w:t>~8.0%</w:t>
            </w:r>
          </w:p>
        </w:tc>
      </w:tr>
      <w:tr>
        <w:trPr/>
        <w:tc>
          <w:tcPr>
            <w:tcW w:w="373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sz w:val="16"/>
              </w:rPr>
            </w:pPr>
            <w:r>
              <w:rPr>
                <w:rFonts w:ascii="Clario;sans-serif" w:hAnsi="Clario;sans-serif"/>
                <w:b/>
                <w:i/>
                <w:color w:val="404040"/>
                <w:sz w:val="16"/>
              </w:rPr>
              <w:t>Organic revenue growth</w:t>
            </w:r>
            <w:r>
              <w:rPr>
                <w:rFonts w:ascii="Clario;sans-serif" w:hAnsi="Clario;sans-serif"/>
                <w:b/>
                <w:i/>
                <w:color w:val="404040"/>
                <w:sz w:val="11"/>
              </w:rPr>
              <w:t>(1)</w:t>
            </w:r>
          </w:p>
        </w:tc>
        <w:tc>
          <w:tcPr>
            <w:tcW w:w="115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7.5% - 8.0%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Unchanged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i/>
                <w:color w:val="404040"/>
                <w:sz w:val="16"/>
              </w:rPr>
            </w:pPr>
            <w:r>
              <w:rPr>
                <w:rFonts w:ascii="Clario;sans-serif" w:hAnsi="Clario;sans-serif"/>
                <w:i/>
                <w:color w:val="404040"/>
                <w:sz w:val="16"/>
              </w:rPr>
              <w:t>~8.0%</w:t>
            </w:r>
          </w:p>
        </w:tc>
      </w:tr>
      <w:tr>
        <w:trPr/>
        <w:tc>
          <w:tcPr>
            <w:tcW w:w="3738"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b/>
                <w:color w:val="404040"/>
                <w:sz w:val="18"/>
              </w:rPr>
              <w:t>Adjusted EBITDA margin</w:t>
            </w:r>
            <w:r>
              <w:rPr>
                <w:rFonts w:ascii="Clario;sans-serif" w:hAnsi="Clario;sans-serif"/>
                <w:b/>
                <w:color w:val="404040"/>
                <w:sz w:val="12"/>
              </w:rPr>
              <w:t>(1)</w:t>
            </w:r>
          </w:p>
        </w:tc>
        <w:tc>
          <w:tcPr>
            <w:tcW w:w="11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39.2%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+100bp vs 2025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373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Corporate costs</w:t>
            </w:r>
          </w:p>
        </w:tc>
        <w:tc>
          <w:tcPr>
            <w:tcW w:w="115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$118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$115 - $125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3738"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b/>
                <w:color w:val="404040"/>
                <w:sz w:val="18"/>
              </w:rPr>
              <w:t>Free cash flow</w:t>
            </w:r>
            <w:r>
              <w:rPr>
                <w:rFonts w:ascii="Clario;sans-serif" w:hAnsi="Clario;sans-serif"/>
                <w:b/>
                <w:color w:val="404040"/>
                <w:sz w:val="12"/>
              </w:rPr>
              <w:t>(1)</w:t>
            </w:r>
          </w:p>
        </w:tc>
        <w:tc>
          <w:tcPr>
            <w:tcW w:w="11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$1.95 billion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~$2.1 billion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r>
      <w:tr>
        <w:trPr/>
        <w:tc>
          <w:tcPr>
            <w:tcW w:w="37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 xml:space="preserve">Accrued capital expenditures as a </w:t>
              <w:br/>
              <w:t>   percentage of revenues</w:t>
            </w:r>
            <w:r>
              <w:rPr>
                <w:rFonts w:ascii="Clario;sans-serif" w:hAnsi="Clario;sans-serif"/>
                <w:b/>
                <w:color w:val="404040"/>
                <w:sz w:val="12"/>
              </w:rPr>
              <w:t>(1)</w:t>
            </w:r>
          </w:p>
        </w:tc>
        <w:tc>
          <w:tcPr>
            <w:tcW w:w="115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r>
      <w:tr>
        <w:trPr/>
        <w:tc>
          <w:tcPr>
            <w:tcW w:w="37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Depreciation and amortization of </w:t>
              <w:br/>
              <w:t>   software</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$832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$890 - $910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373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color w:val="404040"/>
              </w:rPr>
            </w:pPr>
            <w:r>
              <w:rPr>
                <w:color w:val="404040"/>
              </w:rPr>
              <w:t>  </w:t>
            </w:r>
            <w:r>
              <w:rPr>
                <w:rFonts w:ascii="Clario;sans-serif" w:hAnsi="Clario;sans-serif"/>
                <w:b/>
                <w:color w:val="404040"/>
                <w:sz w:val="18"/>
              </w:rPr>
              <w:t>Depreciation and amortization of</w:t>
              <w:br/>
              <w:t>     internally developed software</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$626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$680 - $690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3738"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color w:val="404040"/>
              </w:rPr>
            </w:pPr>
            <w:r>
              <w:rPr>
                <w:color w:val="404040"/>
              </w:rPr>
              <w:t>  </w:t>
            </w:r>
            <w:r>
              <w:rPr>
                <w:rFonts w:ascii="Clario;sans-serif" w:hAnsi="Clario;sans-serif"/>
                <w:b/>
                <w:color w:val="404040"/>
                <w:sz w:val="18"/>
              </w:rPr>
              <w:t>Amortization of acquired software</w:t>
            </w:r>
          </w:p>
        </w:tc>
        <w:tc>
          <w:tcPr>
            <w:tcW w:w="11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$206 million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$210 - $220 million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373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Net interest expense</w:t>
            </w:r>
          </w:p>
        </w:tc>
        <w:tc>
          <w:tcPr>
            <w:tcW w:w="115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$143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$150 - $160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$180 - $190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3738"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b/>
                <w:color w:val="404040"/>
                <w:sz w:val="18"/>
              </w:rPr>
              <w:t>Effective tax rate on adjusted earnings</w:t>
            </w:r>
            <w:r>
              <w:rPr>
                <w:rFonts w:ascii="Clario;sans-serif" w:hAnsi="Clario;sans-serif"/>
                <w:b/>
                <w:color w:val="404040"/>
                <w:sz w:val="12"/>
              </w:rPr>
              <w:t>(1)</w:t>
            </w:r>
          </w:p>
        </w:tc>
        <w:tc>
          <w:tcPr>
            <w:tcW w:w="11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18.5%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r>
    </w:tbl>
    <w:p>
      <w:pPr>
        <w:pStyle w:val="TextBody"/>
        <w:bidi w:val="0"/>
        <w:jc w:val="left"/>
        <w:rPr/>
      </w:pPr>
      <w:r>
        <w:rPr/>
        <w:t> </w:t>
      </w:r>
    </w:p>
    <w:tbl>
      <w:tblPr>
        <w:tblW w:w="9118" w:type="dxa"/>
        <w:jc w:val="left"/>
        <w:tblInd w:w="0" w:type="dxa"/>
        <w:tblLayout w:type="fixed"/>
        <w:tblCellMar>
          <w:top w:w="28" w:type="dxa"/>
          <w:left w:w="28" w:type="dxa"/>
          <w:bottom w:w="28" w:type="dxa"/>
          <w:right w:w="28" w:type="dxa"/>
        </w:tblCellMar>
      </w:tblPr>
      <w:tblGrid>
        <w:gridCol w:w="2711"/>
        <w:gridCol w:w="1291"/>
        <w:gridCol w:w="146"/>
        <w:gridCol w:w="1651"/>
        <w:gridCol w:w="146"/>
        <w:gridCol w:w="1441"/>
        <w:gridCol w:w="146"/>
        <w:gridCol w:w="1586"/>
      </w:tblGrid>
      <w:tr>
        <w:trPr/>
        <w:tc>
          <w:tcPr>
            <w:tcW w:w="27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711" w:type="dxa"/>
            <w:tcBorders/>
            <w:shd w:fill="666666" w:val="clear"/>
            <w:tcMar>
              <w:top w:w="0" w:type="dxa"/>
              <w:left w:w="0" w:type="dxa"/>
              <w:bottom w:w="0" w:type="dxa"/>
              <w:right w:w="0" w:type="dxa"/>
            </w:tcMar>
            <w:vAlign w:val="center"/>
          </w:tcPr>
          <w:p>
            <w:pPr>
              <w:pStyle w:val="TableContents"/>
              <w:bidi w:val="0"/>
              <w:spacing w:before="0" w:after="283"/>
              <w:ind w:left="100" w:right="0" w:firstLine="100"/>
              <w:jc w:val="left"/>
              <w:rPr/>
            </w:pPr>
            <w:r>
              <w:rPr>
                <w:color w:val="FFFFFF"/>
              </w:rPr>
              <w:t>“</w:t>
            </w:r>
            <w:r>
              <w:rPr>
                <w:rFonts w:ascii="Clario;sans-serif" w:hAnsi="Clario;sans-serif"/>
                <w:b/>
                <w:color w:val="FFFFFF"/>
                <w:sz w:val="18"/>
              </w:rPr>
              <w:t>Big 3” Segments</w:t>
            </w:r>
            <w:r>
              <w:rPr>
                <w:rFonts w:ascii="Clario;sans-serif" w:hAnsi="Clario;sans-serif"/>
                <w:b/>
                <w:color w:val="FFFFFF"/>
                <w:sz w:val="12"/>
              </w:rPr>
              <w:t>(1)</w:t>
            </w:r>
          </w:p>
        </w:tc>
        <w:tc>
          <w:tcPr>
            <w:tcW w:w="12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2025 Actual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2026 Outlook</w:t>
              <w:br/>
              <w:t>2/5/2026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2026 Outlook</w:t>
              <w:br/>
              <w:t>5/5/2026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tcBorders/>
            <w:shd w:fill="666666"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b/>
                <w:color w:val="FFFFFF"/>
                <w:sz w:val="18"/>
              </w:rPr>
            </w:pPr>
            <w:r>
              <w:rPr>
                <w:rFonts w:ascii="Clario;sans-serif" w:hAnsi="Clario;sans-serif"/>
                <w:b/>
                <w:color w:val="FFFFFF"/>
                <w:sz w:val="18"/>
              </w:rPr>
              <w:t>2026 Outlook</w:t>
              <w:br/>
              <w:t>8/5/2026</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Revenue growth</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Clario;sans-serif" w:hAnsi="Clario;sans-serif"/>
                <w:color w:val="404040"/>
                <w:sz w:val="18"/>
              </w:rPr>
              <w:t>4%</w:t>
            </w:r>
            <w:r>
              <w:rPr>
                <w:rFonts w:ascii="Clario;sans-serif" w:hAnsi="Clario;sans-serif"/>
                <w:color w:val="40404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Clario;sans-serif" w:hAnsi="Clario;sans-serif"/>
                <w:color w:val="404040"/>
                <w:sz w:val="18"/>
              </w:rPr>
            </w:pPr>
            <w:r>
              <w:rPr>
                <w:rFonts w:ascii="Clario;sans-serif" w:hAnsi="Clario;sans-serif"/>
                <w:color w:val="404040"/>
                <w:sz w:val="18"/>
              </w:rPr>
              <w:t>9.5% - 10.0%</w:t>
            </w:r>
          </w:p>
        </w:tc>
      </w:tr>
      <w:tr>
        <w:trPr/>
        <w:tc>
          <w:tcPr>
            <w:tcW w:w="2711"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b/>
                <w:i/>
                <w:color w:val="404040"/>
                <w:sz w:val="16"/>
              </w:rPr>
            </w:pPr>
            <w:r>
              <w:rPr>
                <w:rFonts w:ascii="Clario;sans-serif" w:hAnsi="Clario;sans-serif"/>
                <w:b/>
                <w:i/>
                <w:color w:val="404040"/>
                <w:sz w:val="16"/>
              </w:rPr>
              <w:t>Organic revenue growth</w:t>
            </w:r>
          </w:p>
        </w:tc>
        <w:tc>
          <w:tcPr>
            <w:tcW w:w="12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~9.5%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Unchanged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58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i/>
                <w:color w:val="404040"/>
                <w:sz w:val="16"/>
              </w:rPr>
            </w:pPr>
            <w:r>
              <w:rPr>
                <w:rFonts w:ascii="Clario;sans-serif" w:hAnsi="Clario;sans-serif"/>
                <w:i/>
                <w:color w:val="404040"/>
                <w:sz w:val="16"/>
              </w:rPr>
              <w:t>9.5% - 10.0%</w:t>
            </w:r>
          </w:p>
        </w:tc>
      </w:tr>
      <w:tr>
        <w:trPr/>
        <w:tc>
          <w:tcPr>
            <w:tcW w:w="2711"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Adjusted EBITDA margin</w:t>
            </w:r>
          </w:p>
        </w:tc>
        <w:tc>
          <w:tcPr>
            <w:tcW w:w="12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43.6%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+100bp vs 2025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Non-IFRS financial measures. Refer to Appendices A and B of this management’s discussion and analysis for additional information and reconciliations of our non-IFRS financial measures to the most directly comparable IFRS financial measures.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 xml:space="preserve">Total revenue growth reflects the impact of the disposals of FindLaw and other non-core businesses in December 2024. </w:t>
      </w:r>
    </w:p>
    <w:p>
      <w:pPr>
        <w:pStyle w:val="TextBody"/>
        <w:bidi w:val="0"/>
        <w:spacing w:before="100" w:after="120"/>
        <w:jc w:val="left"/>
        <w:rPr>
          <w:rFonts w:ascii="Clario;sans-serif" w:hAnsi="Clario;sans-serif"/>
          <w:color w:val="404040"/>
          <w:sz w:val="18"/>
        </w:rPr>
      </w:pPr>
      <w:r>
        <w:rPr>
          <w:rFonts w:ascii="Clario;sans-serif" w:hAnsi="Clario;sans-serif"/>
          <w:color w:val="404040"/>
          <w:sz w:val="18"/>
        </w:rPr>
        <w:t>Our third quarter 2026 outlook includes the forecasted results of the Global Print segment, consistent with our prior 2026 quarterly outlooks. We expect our third-quarter 2026 organic revenue growth to be approximately 8% and our adjusted EBITDA margin to be approximately 36%.</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17</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table summarizes our material assumptions and risks that may cause actual performance to differ from our expectations underlying our 2026 financial outlook.</w:t>
      </w:r>
      <w:r>
        <w:rPr>
          <w:rFonts w:ascii="Times New Roman" w:hAnsi="Times New Roman"/>
          <w:color w:val="40404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33"/>
        <w:gridCol w:w="376"/>
        <w:gridCol w:w="4896"/>
      </w:tblGrid>
      <w:tr>
        <w:trPr/>
        <w:tc>
          <w:tcPr>
            <w:tcW w:w="49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89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r>
      <w:tr>
        <w:trPr/>
        <w:tc>
          <w:tcPr>
            <w:tcW w:w="4933"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4896"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rPr/>
        <w:tc>
          <w:tcPr>
            <w:tcW w:w="4933"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Uncertain macroeconomic and geopolitical conditions will continue to disrupt the economy and cause periods of volatility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Continued need for trusted products and services that help customers navigate evolving and complex legal, tax, audit, accounting, regulatory, geopolitical and commercial changes, developments and environments, and for cloud-based digital tools that drive productivity</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Continued ability to deliver innovative products that meet evolving customer demands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Acquisition of new customers through expanded and improved digital platforms, simplification of the product portfolio and through other sales initiatives</w:t>
            </w:r>
          </w:p>
          <w:p>
            <w:pPr>
              <w:pStyle w:val="TableContents"/>
              <w:bidi w:val="0"/>
              <w:spacing w:before="0" w:after="0"/>
              <w:jc w:val="left"/>
              <w:rPr>
                <w:color w:val="404040"/>
              </w:rPr>
            </w:pPr>
            <w:r>
              <w:rPr>
                <w:color w:val="404040"/>
              </w:rPr>
              <w:t>•</w:t>
            </w:r>
          </w:p>
          <w:p>
            <w:pPr>
              <w:pStyle w:val="TableContents"/>
              <w:bidi w:val="0"/>
              <w:spacing w:before="0" w:after="0"/>
              <w:ind w:left="0" w:right="0" w:firstLine="360"/>
              <w:jc w:val="left"/>
              <w:rPr>
                <w:rFonts w:ascii="Clario;sans-serif" w:hAnsi="Clario;sans-serif"/>
                <w:color w:val="404040"/>
                <w:sz w:val="18"/>
              </w:rPr>
            </w:pPr>
            <w:r>
              <w:rPr>
                <w:rFonts w:ascii="Clario;sans-serif" w:hAnsi="Clario;sans-serif"/>
                <w:color w:val="404040"/>
                <w:sz w:val="18"/>
              </w:rPr>
              <w:t>Improvement in customer retention through commercial simplification efforts and customer service improvements</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rPr/>
            </w:pPr>
            <w:r>
              <w:rPr/>
              <w:t> </w:t>
            </w:r>
          </w:p>
        </w:tc>
        <w:tc>
          <w:tcPr>
            <w:tcW w:w="4896"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Ongoing geopolitical and macroeconomic uncertainty continue to impact the global economy. The severity and duration of this uncertainty could lead to lower demand for our products and services (beyond our assumption that these disruptions will cause periods of volatility)</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Uncertainty in the legal regulatory regime relating to AI. Enacted or potential future legislation may make it harder for us to conduct business using AI, lead to regulatory fines or penalties, require us to change product offerings or business practices, or prevent or limit our use of AI</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Demand for our products and services could be reduced by changes in customer buying patterns, or our inability to execute on key product design or customer support initiatives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Competitive pricing actions and product innovation could impact our revenues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Our sales, commercial simplification and product design initiatives may be insufficient to retain customers or generate new sales</w:t>
            </w:r>
          </w:p>
        </w:tc>
      </w:tr>
      <w:tr>
        <w:trPr/>
        <w:tc>
          <w:tcPr>
            <w:tcW w:w="10205" w:type="dxa"/>
            <w:gridSpan w:val="3"/>
            <w:tcBorders>
              <w:bottom w:val="single" w:sz="8" w:space="0" w:color="AFAFAF"/>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b/>
                <w:color w:val="4D4D4D"/>
                <w:sz w:val="18"/>
              </w:rPr>
            </w:pPr>
            <w:r>
              <w:rPr>
                <w:rFonts w:ascii="Clario;sans-serif" w:hAnsi="Clario;sans-serif"/>
                <w:b/>
                <w:color w:val="4D4D4D"/>
                <w:sz w:val="18"/>
              </w:rPr>
              <w:t>Adjusted EBITDA margin</w:t>
            </w:r>
          </w:p>
        </w:tc>
      </w:tr>
      <w:tr>
        <w:trPr/>
        <w:tc>
          <w:tcPr>
            <w:tcW w:w="4933"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4896"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rPr/>
        <w:tc>
          <w:tcPr>
            <w:tcW w:w="4933"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Our ability to achieve revenue growth targets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Business mix continues to shift to higher-growth product offerings</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Integration expenses associated with recent acquisitions will reduce margins</w:t>
            </w:r>
          </w:p>
          <w:p>
            <w:pPr>
              <w:pStyle w:val="TableContents"/>
              <w:bidi w:val="0"/>
              <w:spacing w:before="0" w:after="283"/>
              <w:ind w:left="0" w:right="0" w:firstLine="360"/>
              <w:jc w:val="left"/>
              <w:rPr/>
            </w:pPr>
            <w:r>
              <w:rPr/>
              <w:t> </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rPr/>
            </w:pPr>
            <w:r>
              <w:rPr/>
              <w:t> </w:t>
            </w:r>
          </w:p>
        </w:tc>
        <w:tc>
          <w:tcPr>
            <w:tcW w:w="4896"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Same as the risks above related to the revenue outlook</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Higher than expected technology costs to deliver innovative solutions to our customers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Higher than expected inflation may lead to greater than anticipated increase in labor costs, third-party supplier costs and costs of print materials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Acquisition and disposal activity may dilute adjusted EBITDA margin </w:t>
            </w:r>
          </w:p>
        </w:tc>
      </w:tr>
      <w:tr>
        <w:trPr/>
        <w:tc>
          <w:tcPr>
            <w:tcW w:w="10205" w:type="dxa"/>
            <w:gridSpan w:val="3"/>
            <w:tcBorders>
              <w:bottom w:val="single" w:sz="8" w:space="0" w:color="AFAFAF"/>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Free Cash Flow</w:t>
            </w:r>
          </w:p>
        </w:tc>
      </w:tr>
      <w:tr>
        <w:trPr/>
        <w:tc>
          <w:tcPr>
            <w:tcW w:w="4933"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4896"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rPr/>
        <w:tc>
          <w:tcPr>
            <w:tcW w:w="4933"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Our ability to achieve our revenue and adjusted EBITDA margin targets </w:t>
            </w:r>
          </w:p>
          <w:p>
            <w:pPr>
              <w:pStyle w:val="TableContents"/>
              <w:bidi w:val="0"/>
              <w:spacing w:before="0" w:after="0"/>
              <w:jc w:val="left"/>
              <w:rPr>
                <w:color w:val="404040"/>
              </w:rPr>
            </w:pPr>
            <w:r>
              <w:rPr>
                <w:color w:val="404040"/>
              </w:rPr>
              <w:t>•</w:t>
            </w:r>
          </w:p>
          <w:p>
            <w:pPr>
              <w:pStyle w:val="TableContents"/>
              <w:bidi w:val="0"/>
              <w:spacing w:before="0" w:after="0"/>
              <w:ind w:left="0" w:right="0" w:firstLine="360"/>
              <w:jc w:val="left"/>
              <w:rPr>
                <w:rFonts w:ascii="Clario;sans-serif" w:hAnsi="Clario;sans-serif"/>
                <w:color w:val="404040"/>
                <w:sz w:val="18"/>
              </w:rPr>
            </w:pPr>
            <w:r>
              <w:rPr>
                <w:rFonts w:ascii="Clario;sans-serif" w:hAnsi="Clario;sans-serif"/>
                <w:color w:val="404040"/>
                <w:sz w:val="18"/>
              </w:rPr>
              <w:t>Accrued capital expenditures expected to approximate 8.0% of revenues in 2026</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rPr/>
            </w:pPr>
            <w:r>
              <w:rPr/>
              <w:t> </w:t>
            </w:r>
          </w:p>
        </w:tc>
        <w:tc>
          <w:tcPr>
            <w:tcW w:w="4896"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Same as the risks above related to the revenue and adjusted EBITDA margin outlook</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A weaker macroeconomic environment could negatively impact working capital performance, including the ability of our customers to pay us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Capital expenditures may be higher than currently expected</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The timing and amount of tax payments to governments may differ from our expectations</w:t>
            </w:r>
          </w:p>
        </w:tc>
      </w:tr>
    </w:tbl>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18</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95"/>
        <w:gridCol w:w="376"/>
        <w:gridCol w:w="5234"/>
      </w:tblGrid>
      <w:tr>
        <w:trPr/>
        <w:tc>
          <w:tcPr>
            <w:tcW w:w="459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23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Effective tax rate on adjusted earnings</w:t>
            </w:r>
          </w:p>
        </w:tc>
      </w:tr>
      <w:tr>
        <w:trPr/>
        <w:tc>
          <w:tcPr>
            <w:tcW w:w="4595"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5234"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rPr/>
        <w:tc>
          <w:tcPr>
            <w:tcW w:w="4595"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Our ability to achieve our adjusted EBITDA target</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The mix of taxing jurisdictions where we recognized pre-tax profit or losses in 2025 does not significantly change in 2026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Minimal changes in currently enacted tax laws and treaties within the jurisdictions where we operate</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No significant charges or benefits from the finalization of prior tax years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Depreciation and amortization of internally developed software of $680 - $690 million in 2026</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Net interest expense of $180 - $190 million in 2026</w:t>
            </w:r>
          </w:p>
          <w:p>
            <w:pPr>
              <w:pStyle w:val="TableContents"/>
              <w:pBdr/>
              <w:bidi w:val="0"/>
              <w:spacing w:before="0" w:after="283"/>
              <w:ind w:left="0" w:right="0" w:firstLine="360"/>
              <w:jc w:val="left"/>
              <w:rPr/>
            </w:pPr>
            <w:r>
              <w:rPr/>
              <w:t> </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rPr/>
            </w:pPr>
            <w:r>
              <w:rPr/>
              <w:t> </w:t>
            </w:r>
          </w:p>
        </w:tc>
        <w:tc>
          <w:tcPr>
            <w:tcW w:w="5234"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Same as the risks above related to adjusted EBITDA</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A material change in the geographical mix of our pre-tax profits and losses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A material change in current tax laws or treaties to which we are subject, and did not expect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Resolution of tax audits may cause material changes to assessments of uncertain tax positions compared to current estimates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Depreciation and amortization of internally developed software as well as net interest expense may be significantly higher or lower than expected </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Our outlook contains various non-IFRS financial measures. We believe that providing reconciliations of forward-looking non-IFRS financial measures in our outlook would be potentially misleading and not practical due to the difficulty of projecting items that are not reflective of ongoing operations in any future period. The magnitude of these items may be significant. Consequently, for purposes of our outlook only, we are unable to reconcile these measures to the most comparable IFRS measures because we cannot predict, with reasonable certainty, the impact of changes in foreign exchange rates which impact (i) the translation of our results reported at average foreign currency rates for the year and (ii) other finance income or expense related to intercompany financing arrangements. Additionally, we cannot reasonably predict the occurrence or amount of other operating gains and losses, which generally arise from business transactions we do not currently anticipate.</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Related Party Transactions</w:t>
      </w:r>
    </w:p>
    <w:p>
      <w:pPr>
        <w:pStyle w:val="TextBody"/>
        <w:bidi w:val="0"/>
        <w:spacing w:before="100" w:after="283"/>
        <w:jc w:val="left"/>
        <w:rPr>
          <w:rFonts w:ascii="Times New Roman" w:hAnsi="Times New Roman"/>
          <w:sz w:val="20"/>
        </w:rPr>
      </w:pPr>
      <w:r>
        <w:rPr>
          <w:rFonts w:ascii="Clario;sans-serif" w:hAnsi="Clario;sans-serif"/>
          <w:color w:val="404040"/>
          <w:sz w:val="18"/>
        </w:rPr>
        <w:t>As of August 4, 2026, our principal shareholder, Woodbridge (together with its affiliates), beneficially owned approximately 71% of our common shares.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 the six months ended June 30, 2026, we contributed $7 million in cash to 3XSQ Associates pursuant to a capital call.</w:t>
      </w:r>
    </w:p>
    <w:p>
      <w:pPr>
        <w:pStyle w:val="TextBody"/>
        <w:bidi w:val="0"/>
        <w:spacing w:before="100" w:after="283"/>
        <w:jc w:val="left"/>
        <w:rPr>
          <w:rFonts w:ascii="Times New Roman" w:hAnsi="Times New Roman"/>
          <w:sz w:val="20"/>
        </w:rPr>
      </w:pPr>
      <w:r>
        <w:rPr>
          <w:rFonts w:ascii="Clario;sans-serif" w:hAnsi="Clario;sans-serif"/>
          <w:color w:val="404040"/>
          <w:sz w:val="18"/>
        </w:rPr>
        <w:t>Except for the above transaction, there were no new significant related party transactions during the first six months of 2026. Refer to the “Related Party Transactions” section of our 2025 annual management’s discussion and analysis, which is contained in our 2025 annual report, as well as note 32 of our 2025 annual consolidated financial statements for information regarding related party transactions.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Subsequent Events</w:t>
      </w:r>
    </w:p>
    <w:p>
      <w:pPr>
        <w:pStyle w:val="TextBody"/>
        <w:bidi w:val="0"/>
        <w:spacing w:before="100" w:after="283"/>
        <w:jc w:val="left"/>
        <w:rPr>
          <w:rFonts w:ascii="sans-serif" w:hAnsi="sans-serif"/>
          <w:b/>
          <w:color w:val="000000"/>
          <w:sz w:val="20"/>
        </w:rPr>
      </w:pPr>
      <w:r>
        <w:rPr>
          <w:rFonts w:ascii="sans-serif" w:hAnsi="sans-serif"/>
          <w:b/>
          <w:color w:val="000000"/>
          <w:sz w:val="20"/>
        </w:rPr>
        <w:t>Global Print Transaction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On July 14, 2026, we announced a definitive agreement to enter into a joint venture with KKR, a leading global investment firm. As part of the transaction, we will sell a 51% stake in our Global Print business to capital accounts advised by KKR and retain a 49% equity interest in the joint venture. We expect to receive approximately $500 million in gross proceeds at closing and expect the transaction to close in the fourth quarter of 2026, subject to specified regulatory approvals and customary closing conditions. We expect to record a pre-tax gain on the transaction at the time of closing.</w:t>
      </w:r>
    </w:p>
    <w:p>
      <w:pPr>
        <w:pStyle w:val="TextBody"/>
        <w:bidi w:val="0"/>
        <w:spacing w:before="100" w:after="283"/>
        <w:jc w:val="left"/>
        <w:rPr>
          <w:rFonts w:ascii="Times New Roman" w:hAnsi="Times New Roman"/>
          <w:sz w:val="20"/>
        </w:rPr>
      </w:pPr>
      <w:r>
        <w:rPr>
          <w:rFonts w:ascii="Clario;sans-serif" w:hAnsi="Clario;sans-serif"/>
          <w:color w:val="404040"/>
          <w:sz w:val="18"/>
        </w:rPr>
        <w:t>We will maintain intellectual property rights and full editorial control over our content portfolio. This new joint venture will hold an exclusive license to distribute the content in print and on ProView, Global Print’s eBook platform, under which it will pay us a royalty in return. We will also provide certain operational services to the joint venture under a multi-year transition services agreement.</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As part of the transaction, we have agreed to provide certain financial support designed to give KKR a minimum return on its equity investment in the joint venture under certain circumstances.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Global Print business will be classified as a discontinued operation in the third quarter of 2026 and will no longer be a reportable segment.</w:t>
      </w:r>
    </w:p>
    <w:p>
      <w:pPr>
        <w:pStyle w:val="TextBody"/>
        <w:bidi w:val="0"/>
        <w:spacing w:before="100" w:after="120"/>
        <w:jc w:val="left"/>
        <w:rPr>
          <w:rFonts w:ascii="Times New Roman" w:hAnsi="Times New Roman"/>
          <w:sz w:val="20"/>
        </w:rPr>
      </w:pPr>
      <w:r>
        <w:rPr>
          <w:rFonts w:ascii="Clario;sans-serif" w:hAnsi="Clario;sans-serif"/>
          <w:b/>
          <w:color w:val="404040"/>
          <w:sz w:val="18"/>
        </w:rPr>
        <w:t>Share Repurchases</w:t>
      </w:r>
      <w:r>
        <w:rPr>
          <w:rFonts w:ascii="Times New Roman" w:hAnsi="Times New Roman"/>
          <w:color w:val="404040"/>
          <w:sz w:val="20"/>
        </w:rPr>
        <w:t xml:space="preserve"> </w:t>
      </w:r>
    </w:p>
    <w:p>
      <w:pPr>
        <w:pStyle w:val="TextBody"/>
        <w:bidi w:val="0"/>
        <w:jc w:val="left"/>
        <w:rPr>
          <w:rFonts w:ascii="Times New Roman" w:hAnsi="Times New Roman"/>
          <w:sz w:val="20"/>
        </w:rPr>
      </w:pPr>
      <w:r>
        <w:rPr>
          <w:rFonts w:ascii="Clario;sans-serif" w:hAnsi="Clario;sans-serif"/>
          <w:color w:val="404040"/>
          <w:sz w:val="18"/>
        </w:rPr>
        <w:t>In July 2026, we completed our $600 million share repurchase program announced in February 2026 by repurchasing an additional 2.6 million common shares totaling $238 million. The average price per share was $92.61.</w:t>
      </w:r>
      <w:r>
        <w:rPr>
          <w:rFonts w:ascii="Times New Roman" w:hAnsi="Times New Roman"/>
          <w:color w:val="404040"/>
          <w:sz w:val="20"/>
        </w:rPr>
        <w:t xml:space="preserve">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19</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Changes in Accounting Policies</w:t>
      </w:r>
    </w:p>
    <w:p>
      <w:pPr>
        <w:pStyle w:val="TextBody"/>
        <w:bidi w:val="0"/>
        <w:spacing w:before="100" w:after="283"/>
        <w:jc w:val="left"/>
        <w:rPr>
          <w:rFonts w:ascii="Times New Roman" w:hAnsi="Times New Roman"/>
          <w:sz w:val="20"/>
        </w:rPr>
      </w:pPr>
      <w:r>
        <w:rPr>
          <w:rFonts w:ascii="Clario;sans-serif" w:hAnsi="Clario;sans-serif"/>
          <w:color w:val="404040"/>
          <w:sz w:val="18"/>
        </w:rPr>
        <w:t>Please refer to the “Changes in Accounting Policies” section of our 2025 annual management’s discussion and analysis, which is contained in our 2025 annual report, as well as note 1 of our consolidated interim financial statements for the three and six months ended June 30, 2026, for information regarding changes in accounting policies and recent accounting pronouncements.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color w:val="404040"/>
          <w:sz w:val="20"/>
        </w:rPr>
        <w:t>Critical Accounting Estimates and Judgments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preparation of financial statements requires management to make estimates and judgments about the future. Estimates and judgments are continually evaluated and are based on historical experience and other factors, including expectations of future events that are believed to be reasonable under the circumstances. Please refer to the “Critical Accounting Estimates and Judgments” section of our 2025 annual management’s discussion and analysis, which is contained in our 2025 annual report, for additional information. Since the date of our 2025 annual management’s discussion and analysis, there have not been any significant changes to our critical accounting estimates and judgments.</w:t>
      </w:r>
    </w:p>
    <w:p>
      <w:pPr>
        <w:pStyle w:val="TextBody"/>
        <w:bidi w:val="0"/>
        <w:spacing w:before="100" w:after="283"/>
        <w:jc w:val="left"/>
        <w:rPr>
          <w:rFonts w:ascii="Times New Roman" w:hAnsi="Times New Roman"/>
          <w:sz w:val="20"/>
        </w:rPr>
      </w:pPr>
      <w:r>
        <w:rPr>
          <w:rFonts w:ascii="Clario;sans-serif" w:hAnsi="Clario;sans-serif"/>
          <w:color w:val="404040"/>
          <w:sz w:val="18"/>
        </w:rPr>
        <w:t>We continue to operate in an uncertain macroeconomic environment, reflecting ongoing geopolitical risk, uneven economic growth and an evolving interest rate and inflationary backdrop, among other factors. While we are closely monitoring these conditions to assess potential impacts on our businesses, some of management’s estimates and judgments may be more variable and may change materially in the future due to the significant uncertainty created by these circumstances.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Additional Information</w:t>
      </w:r>
    </w:p>
    <w:p>
      <w:pPr>
        <w:pStyle w:val="TextBody"/>
        <w:bidi w:val="0"/>
        <w:spacing w:before="100" w:after="283"/>
        <w:jc w:val="left"/>
        <w:rPr>
          <w:rFonts w:ascii="Clario;sans-serif" w:hAnsi="Clario;sans-serif"/>
          <w:b/>
          <w:i/>
          <w:color w:val="404040"/>
          <w:sz w:val="18"/>
          <w:u w:val="single"/>
        </w:rPr>
      </w:pPr>
      <w:r>
        <w:rPr>
          <w:rFonts w:ascii="Clario;sans-serif" w:hAnsi="Clario;sans-serif"/>
          <w:b/>
          <w:i/>
          <w:color w:val="404040"/>
          <w:sz w:val="18"/>
          <w:u w:val="single"/>
        </w:rPr>
        <w:t>Basis of presentation</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Revisions to segment results</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In the first quarter of 2026, we changed our segment reporting to reflect how we currently manage our segments. The change reflects the transfer of certain customers and their related revenues and expenses among our Legal Professionals, Corporates and Tax, Audit &amp; Accounting Professionals segments. These changes impact the financial results of our segments, but do not change our consolidated financial results. The following summarizes the changes to the applicable segment's reported amounts.</w:t>
      </w:r>
    </w:p>
    <w:p>
      <w:pPr>
        <w:pStyle w:val="TextBody"/>
        <w:bidi w:val="0"/>
        <w:jc w:val="left"/>
        <w:rPr/>
      </w:pPr>
      <w:r>
        <w:rPr/>
        <w:t> </w:t>
      </w:r>
    </w:p>
    <w:p>
      <w:pPr>
        <w:pStyle w:val="TextBody"/>
        <w:bidi w:val="0"/>
        <w:jc w:val="left"/>
        <w:rPr>
          <w:rFonts w:ascii="Clario;sans-serif" w:hAnsi="Clario;sans-serif"/>
          <w:color w:val="404040"/>
          <w:sz w:val="18"/>
          <w:u w:val="single"/>
        </w:rPr>
      </w:pPr>
      <w:r>
        <w:rPr>
          <w:rFonts w:ascii="Clario;sans-serif" w:hAnsi="Clario;sans-serif"/>
          <w:color w:val="404040"/>
          <w:sz w:val="18"/>
          <w:u w:val="single"/>
        </w:rPr>
        <w:t>Three months ended June 30, 2025</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Legal Professionals revenues decreased $5 million to $704 million, adjusted EBITDA was unchanged at $339 million and adjusted EBITDA margin increased 30 basis points to 48.1%;</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Corporates revenues increased $8 million to $480 million, adjusted EBITDA increased $3 million to $172 million and adjusted EBITDA margin was unchanged at 35.7%;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Tax, Audit &amp; Accounting Professionals revenues decreased $3 million to $274 million, adjusted EBITDA decreased $3 million to $110 million and adjusted EBITDA margin decreased 40 basis points to 38.9%. </w:t>
      </w:r>
    </w:p>
    <w:p>
      <w:pPr>
        <w:pStyle w:val="TextBody"/>
        <w:bidi w:val="0"/>
        <w:ind w:left="360" w:right="0" w:hanging="0"/>
        <w:jc w:val="left"/>
        <w:rPr/>
      </w:pPr>
      <w:r>
        <w:rPr/>
        <w:t> </w:t>
      </w:r>
    </w:p>
    <w:p>
      <w:pPr>
        <w:pStyle w:val="TextBody"/>
        <w:bidi w:val="0"/>
        <w:jc w:val="left"/>
        <w:rPr>
          <w:rFonts w:ascii="Clario;sans-serif" w:hAnsi="Clario;sans-serif"/>
          <w:color w:val="404040"/>
          <w:sz w:val="18"/>
          <w:u w:val="single"/>
        </w:rPr>
      </w:pPr>
      <w:r>
        <w:rPr>
          <w:rFonts w:ascii="Clario;sans-serif" w:hAnsi="Clario;sans-serif"/>
          <w:color w:val="404040"/>
          <w:sz w:val="18"/>
          <w:u w:val="single"/>
        </w:rPr>
        <w:t>Six months ended June 30, 2025</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 xml:space="preserve">Legal Professionals revenues decreased $10 million to $1,392 million, adjusted EBITDA was unchanged at $675 million and adjusted EBITDA margin increased 30 basis points to 48.4%;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Corporates revenues increased $15 million to $1,028 million, adjusted EBITDA increased $5 million to $387 million and adjusted EBITDA margin decreased 10 basis points to 37.6%;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Tax, Audit &amp; Accounting Professionals revenues decreased $5 million to $632 million, adjusted EBITDA decreased $5 million to $318 million and adjusted EBITDA margin decreased 20 basis points to 48.9%.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Disclosure controls and procedures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Our Chief Executive Officer and Chief Financial Officer, after evaluating the effectiveness of our disclosure controls and procedures (as defined in applicable U.S. and Canadian securities law) as of the end of the period covered by this management’s discussion and analysis, have concluded that our disclosure controls and procedures were effective to ensure that all information that we are required to disclose in reports that we file or furnish under the U.S. Securities Exchange Act and applicable Canadian securities law is (i) recorded, processed, summarized and reported within the time periods specified in the rules and forms of the SEC and Canadian securities regulatory authorities; and (ii) accumulated and communicated to our management, including our Chief Executive Officer and Chief Financial Officer, to allow timely decisions regarding required disclosure.</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Internal control over financial reporting</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Our management is responsible for establishing and maintaining adequate internal control over financial reporting to provide reasonable assurance regarding the reliability of financial reporting and the preparation of financial statements for external purposes in accordance with IFRS.</w:t>
      </w:r>
    </w:p>
    <w:p>
      <w:pPr>
        <w:pStyle w:val="TextBody"/>
        <w:bidi w:val="0"/>
        <w:spacing w:before="100" w:after="283"/>
        <w:jc w:val="left"/>
        <w:rPr>
          <w:rFonts w:ascii="Times New Roman" w:hAnsi="Times New Roman"/>
          <w:sz w:val="20"/>
        </w:rPr>
      </w:pPr>
      <w:r>
        <w:rPr>
          <w:rFonts w:ascii="Clario;sans-serif" w:hAnsi="Clario;sans-serif"/>
          <w:color w:val="404040"/>
          <w:sz w:val="18"/>
        </w:rPr>
        <w:t>There was no change in our internal control over financial reporting during the second quarter of 2026 that materially affected, or is reasonably likely to materially affect, our internal control over financial reporting.</w:t>
      </w:r>
      <w:r>
        <w:rPr>
          <w:rFonts w:ascii="Times New Roman" w:hAnsi="Times New Roman"/>
          <w:color w:val="404040"/>
          <w:sz w:val="20"/>
        </w:rPr>
        <w:t xml:space="preserve">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20</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Share capital</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of August 4, 2026, we had outstanding 433,224,578 common shares, 6,000,000 Series II preference shares, 2,052,272 stock options and a total of 2,206,514 time-based restricted share units and performance restricted share units. We have also issued a Thomson Reuters Founders Share which enables Thomson Reuters Founders Share Company to exercise extraordinary voting power to safeguard the Thomson Reuters Trust Principles.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Public securities filings and regulatory announcements</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You may access other information about our company, including our 2025 annual report (which contains information required in an annual information form) and our other disclosure documents, reports, statements or other information that we file with the Canadian securities regulatory authorities through SEDAR+ at </w:t>
      </w:r>
      <w:r>
        <w:rPr>
          <w:rFonts w:ascii="Clario;sans-serif" w:hAnsi="Clario;sans-serif"/>
          <w:b/>
          <w:i/>
          <w:color w:val="404040"/>
          <w:sz w:val="18"/>
        </w:rPr>
        <w:t>sedarplus.ca</w:t>
      </w:r>
      <w:r>
        <w:rPr>
          <w:rFonts w:ascii="Times New Roman" w:hAnsi="Times New Roman"/>
          <w:color w:val="404040"/>
          <w:sz w:val="20"/>
        </w:rPr>
        <w:t xml:space="preserve"> </w:t>
      </w:r>
      <w:r>
        <w:rPr>
          <w:rFonts w:ascii="Clario;sans-serif" w:hAnsi="Clario;sans-serif"/>
          <w:color w:val="404040"/>
          <w:sz w:val="18"/>
        </w:rPr>
        <w:t xml:space="preserve">and in the United States with the SEC at </w:t>
      </w:r>
      <w:r>
        <w:rPr>
          <w:rFonts w:ascii="Clario;sans-serif" w:hAnsi="Clario;sans-serif"/>
          <w:b/>
          <w:i/>
          <w:color w:val="404040"/>
          <w:sz w:val="18"/>
        </w:rPr>
        <w:t>sec.gov.</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Cautionary note concerning factors that may affect future results</w:t>
      </w:r>
    </w:p>
    <w:p>
      <w:pPr>
        <w:pStyle w:val="TextBody"/>
        <w:bidi w:val="0"/>
        <w:spacing w:before="100" w:after="283"/>
        <w:jc w:val="left"/>
        <w:rPr>
          <w:rFonts w:ascii="Times New Roman" w:hAnsi="Times New Roman"/>
          <w:sz w:val="20"/>
        </w:rPr>
      </w:pPr>
      <w:r>
        <w:rPr>
          <w:rFonts w:ascii="Clario;sans-serif" w:hAnsi="Clario;sans-serif"/>
          <w:i/>
          <w:color w:val="404040"/>
          <w:sz w:val="18"/>
        </w:rPr>
        <w:t>Certain statements in this management’s discussion and analysis are forward-looking, including, but not limited to, the 2026 business outlook section, the Company's expectations with respect to the Global Print transaction including its current expectation that the transaction will close in the fourth quarter of 2026, and statements related to the Company’s intentions to target a leverage ratio of 2.5x net debt to adjusted EBITDA, a dividend payout ratio of between 50% to 60% of its free cash flow, to return at least 75% of free cash flow annually in the form of dividends and share repurchases, as well as its target to earn a ROIC that is double or more of its weighted-average cost of capital over time, the Company’s expectations regarding refunds on amounts paid to HMRC, and other expectations regarding its liquidity and capital resources including its ability to refinance its current debt obligations. The words “will”, “expect”, “believe”, “target”, “estimate”, “could”, “should”, “intend”, “predict”, “project” and similar expressions identify forward-looking statements. While we believe that we have a reasonable basis for making forward-looking statements in this management’s discussion and analysis, they are not a guarantee of future performance or outcomes or that any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the Company’s control and the effects of them can be difficult to predict. In particular, the full extent of the impact of macroeconomic and geopolitical environment on the Company’s business, operations and financial results will depend on numerous evolving factors that we may not be able to accurately predict.</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i/>
          <w:color w:val="404040"/>
          <w:sz w:val="18"/>
        </w:rPr>
        <w:t>Certain factors that could cause actual results or events to differ materially from current expectations are discussed in the “Outlook” section above. Additional factors are discussed in the “Risk Factors” section of our 2025 annual report and in materials that we from time to time file with, or furnish to, the Canadian securities regulatory authorities and the U.S. SEC. Many of those risks are, and could be, exacerbated by a worsening of the global geopolitical, business and economic environments. There is no assurance that any forward-looking statement will materialize.</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i/>
          <w:color w:val="404040"/>
          <w:sz w:val="18"/>
        </w:rPr>
        <w:t>The Company's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i/>
          <w:color w:val="404040"/>
          <w:sz w:val="18"/>
        </w:rPr>
        <w:t>The Company has provided a business outlook for the purpose of presenting information about current expectations for the periods presented. This information may not be appropriate for other purposes. You are cautioned not to place undue reliance on forward-looking statements which reflect expectations only as of the date of this management’s discussion and analysis. Except as may be required by applicable law, Thomson Reuters disclaims any obligation to update or revise any forward-looking statements</w:t>
      </w:r>
      <w:r>
        <w:rPr>
          <w:rFonts w:ascii="Times New Roman" w:hAnsi="Times New Roman"/>
          <w:i/>
          <w:color w:val="404040"/>
          <w:sz w:val="18"/>
        </w:rPr>
        <w:t>.</w:t>
      </w:r>
      <w:r>
        <w:rPr>
          <w:rFonts w:ascii="Times New Roman" w:hAnsi="Times New Roman"/>
          <w:color w:val="404040"/>
          <w:sz w:val="20"/>
        </w:rPr>
        <w:t xml:space="preserve">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21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Clario;sans-serif" w:hAnsi="Clario;sans-serif"/>
          <w:b/>
          <w:color w:val="404040"/>
          <w:sz w:val="24"/>
        </w:rPr>
        <w:t>Appendix A</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i/>
          <w:color w:val="404040"/>
          <w:sz w:val="20"/>
        </w:rPr>
        <w:t>Non-IFRS Financial Measures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These measures do not have any standardized meaning prescribed by IFRS and therefore are unlikely to be comparable to the calculation of similar measures used by other companies.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table sets forth our non-IFRS financial measures including an explanation of why we believe they are useful measures of our performance. Reconciliations to the most directly comparable IFRS measure are reflected in Appendix B of this management’s discussion and analysis.</w:t>
      </w:r>
      <w:r>
        <w:rPr>
          <w:rFonts w:ascii="Times New Roman" w:hAnsi="Times New Roman"/>
          <w:color w:val="40404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7"/>
        <w:gridCol w:w="146"/>
        <w:gridCol w:w="202"/>
        <w:gridCol w:w="3258"/>
        <w:gridCol w:w="146"/>
        <w:gridCol w:w="1636"/>
      </w:tblGrid>
      <w:tr>
        <w:trPr/>
        <w:tc>
          <w:tcPr>
            <w:tcW w:w="48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2" w:type="dxa"/>
            <w:tcBorders/>
            <w:shd w:fill="FFFFFF" w:val="clear"/>
            <w:vAlign w:val="center"/>
          </w:tcPr>
          <w:p>
            <w:pPr>
              <w:pStyle w:val="TableContents"/>
              <w:bidi w:val="0"/>
              <w:spacing w:before="0" w:after="283"/>
              <w:jc w:val="left"/>
              <w:rPr>
                <w:sz w:val="4"/>
                <w:szCs w:val="4"/>
              </w:rPr>
            </w:pPr>
            <w:r>
              <w:rPr>
                <w:sz w:val="4"/>
                <w:szCs w:val="4"/>
              </w:rPr>
            </w:r>
          </w:p>
        </w:tc>
        <w:tc>
          <w:tcPr>
            <w:tcW w:w="325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sz w:val="4"/>
                <w:szCs w:val="4"/>
              </w:rPr>
            </w:pPr>
            <w:r>
              <w:rPr>
                <w:sz w:val="4"/>
                <w:szCs w:val="4"/>
              </w:rPr>
            </w:r>
          </w:p>
        </w:tc>
      </w:tr>
      <w:tr>
        <w:trPr/>
        <w:tc>
          <w:tcPr>
            <w:tcW w:w="4817"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348" w:type="dxa"/>
            <w:gridSpan w:val="2"/>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325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163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r>
        <w:trPr/>
        <w:tc>
          <w:tcPr>
            <w:tcW w:w="10205" w:type="dxa"/>
            <w:gridSpan w:val="6"/>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Adjusted EBITDA and the related margin</w:t>
            </w:r>
          </w:p>
        </w:tc>
      </w:tr>
      <w:tr>
        <w:trPr/>
        <w:tc>
          <w:tcPr>
            <w:tcW w:w="4817" w:type="dxa"/>
            <w:tcBorders>
              <w:bottom w:val="single" w:sz="8" w:space="0" w:color="AFAFAF"/>
            </w:tcBorders>
            <w:tcMar>
              <w:top w:w="0" w:type="dxa"/>
              <w:left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Represents earnings or losses from continuing operations before tax expense or benefit, net interest expense, other finance costs or income, depreciation, amortization of software and other identifiable intangible assets, our share of post-tax earnings or losses in equity method investments, other operating gains and losses, certain asset impairment charges and fair value adjustments, including those related to acquired deferred revenue.</w:t>
            </w:r>
            <w:r>
              <w:rPr>
                <w:rFonts w:ascii="Times New Roman" w:hAnsi="Times New Roman"/>
                <w:color w:val="404040"/>
                <w:sz w:val="18"/>
              </w:rPr>
              <w:t xml:space="preserve"> </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The related margin is adjusted EBITDA expressed as a percentage of revenues. For purposes of this calculation, revenues are before fair value adjustments to acquired deferred revenue.</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460" w:type="dxa"/>
            <w:gridSpan w:val="2"/>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consistent basis to evaluate operating profitability and performance trends by excluding items that we do not consider to be controllable activities for this purpose.</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Also represents a measure commonly reported and widely used by investors as a valuation metric, as well as to assess our ability to incur and service debt.</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r>
      <w:tr>
        <w:trPr/>
        <w:tc>
          <w:tcPr>
            <w:tcW w:w="10205" w:type="dxa"/>
            <w:gridSpan w:val="6"/>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Adjusted EBITDA less accrued capital expenditures and the related margin</w:t>
            </w:r>
          </w:p>
        </w:tc>
      </w:tr>
      <w:tr>
        <w:trPr/>
        <w:tc>
          <w:tcPr>
            <w:tcW w:w="4817" w:type="dxa"/>
            <w:tcBorders>
              <w:bottom w:val="single" w:sz="8" w:space="0" w:color="AFAFAF"/>
            </w:tcBorders>
            <w:tcMar>
              <w:top w:w="0" w:type="dxa"/>
              <w:left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Represents adjusted EBITDA less accrued capital expenditures, where accrued capital expenditures include amounts that remain unpaid at the reporting date.</w:t>
            </w:r>
            <w:r>
              <w:rPr>
                <w:rFonts w:ascii="Times New Roman" w:hAnsi="Times New Roman"/>
                <w:color w:val="404040"/>
                <w:sz w:val="18"/>
              </w:rPr>
              <w:t xml:space="preserve"> </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The related margin is adjusted EBITDA less accrued capital expenditures expressed as a percentage of revenues. For purposes of this calculation, revenues are before fair value adjustments to acquired deferred revenue.</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460" w:type="dxa"/>
            <w:gridSpan w:val="2"/>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Provides a basis for evaluating the operating profitability and capital intensity of a business in a single measure. This measure captures investments regardless of whether they are expensed or capitalized, and reflects the basis on which management measures capital spending.</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r>
      <w:tr>
        <w:trPr/>
        <w:tc>
          <w:tcPr>
            <w:tcW w:w="10205" w:type="dxa"/>
            <w:gridSpan w:val="6"/>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Accrued capital expenditures as a percentage of revenues</w:t>
            </w:r>
          </w:p>
        </w:tc>
      </w:tr>
      <w:tr>
        <w:trPr/>
        <w:tc>
          <w:tcPr>
            <w:tcW w:w="4817" w:type="dxa"/>
            <w:tcBorders>
              <w:bottom w:val="single" w:sz="8" w:space="0" w:color="AFAFAF"/>
            </w:tcBorders>
            <w:tcMar>
              <w:top w:w="0" w:type="dxa"/>
              <w:left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Accrued capital expenditures expressed as a percentage of revenues. For purposes of this calculation, revenues are before fair value adjustments to acquired deferred revenue.</w:t>
            </w:r>
            <w:r>
              <w:rPr>
                <w:rFonts w:ascii="Times New Roman" w:hAnsi="Times New Roman"/>
                <w:color w:val="404040"/>
                <w:sz w:val="18"/>
              </w:rPr>
              <w:t xml:space="preserve"> </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460" w:type="dxa"/>
            <w:gridSpan w:val="2"/>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Reflects the basis on how we manage capital expenditures for internal planning purposes</w:t>
            </w:r>
            <w:r>
              <w:rPr>
                <w:rFonts w:ascii="Clario;sans-serif" w:hAnsi="Clario;sans-serif"/>
                <w:color w:val="404040"/>
                <w:sz w:val="16"/>
              </w:rPr>
              <w:t>.</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Capital expenditures</w:t>
            </w:r>
            <w:r>
              <w:rPr>
                <w:rFonts w:ascii="Times New Roman" w:hAnsi="Times New Roman"/>
                <w:color w:val="404040"/>
                <w:sz w:val="18"/>
              </w:rPr>
              <w:t xml:space="preserve"> </w:t>
            </w:r>
          </w:p>
        </w:tc>
      </w:tr>
    </w:tbl>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22</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5"/>
        <w:gridCol w:w="146"/>
        <w:gridCol w:w="4388"/>
        <w:gridCol w:w="146"/>
        <w:gridCol w:w="3820"/>
      </w:tblGrid>
      <w:tr>
        <w:trPr/>
        <w:tc>
          <w:tcPr>
            <w:tcW w:w="1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0" w:type="dxa"/>
            <w:tcBorders/>
            <w:shd w:fill="FFFFFF" w:val="clear"/>
            <w:vAlign w:val="center"/>
          </w:tcPr>
          <w:p>
            <w:pPr>
              <w:pStyle w:val="TableContents"/>
              <w:bidi w:val="0"/>
              <w:spacing w:before="0" w:after="283"/>
              <w:jc w:val="left"/>
              <w:rPr>
                <w:sz w:val="4"/>
                <w:szCs w:val="4"/>
              </w:rPr>
            </w:pPr>
            <w:r>
              <w:rPr>
                <w:sz w:val="4"/>
                <w:szCs w:val="4"/>
              </w:rPr>
            </w:r>
          </w:p>
        </w:tc>
      </w:tr>
      <w:tr>
        <w:trPr/>
        <w:tc>
          <w:tcPr>
            <w:tcW w:w="1705"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438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3820"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59"/>
        <w:gridCol w:w="146"/>
        <w:gridCol w:w="3200"/>
        <w:gridCol w:w="146"/>
        <w:gridCol w:w="1054"/>
      </w:tblGrid>
      <w:tr>
        <w:trPr/>
        <w:tc>
          <w:tcPr>
            <w:tcW w:w="5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8" w:space="0" w:color="AFAFAF"/>
              <w:bottom w:val="single" w:sz="8" w:space="0" w:color="AFAFAF"/>
            </w:tcBorders>
            <w:shd w:fill="666666" w:val="clear"/>
            <w:tcMar>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Adjusted earnings and adjusted EPS</w:t>
            </w:r>
          </w:p>
        </w:tc>
      </w:tr>
      <w:tr>
        <w:trPr/>
        <w:tc>
          <w:tcPr>
            <w:tcW w:w="5659" w:type="dxa"/>
            <w:tcBorders/>
            <w:tcMar>
              <w:top w:w="0" w:type="dxa"/>
              <w:left w:w="0" w:type="dxa"/>
              <w:bottom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Net earnings or loss including dividends declared on preference shares but excluding the post-tax impacts of fair value adjustments, including those related to acquired deferred revenue, amortization of acquired intangible assets (attributable to other identifiable intangible assets and acquired software), other operating gains and losses, certain asset impairment charges, other finance costs or income, our share of post-tax earnings or losses in equity method investments, discontinued operations and other items affecting comparability. Acquired intangible assets contribute to the generation of revenues from acquired companies, which are included in our computation of adjusted earnings.</w:t>
            </w:r>
            <w:r>
              <w:rPr>
                <w:rFonts w:ascii="Times New Roman" w:hAnsi="Times New Roman"/>
                <w:color w:val="404040"/>
                <w:sz w:val="18"/>
              </w:rPr>
              <w:t xml:space="preserve"> </w:t>
            </w:r>
          </w:p>
          <w:p>
            <w:pPr>
              <w:pStyle w:val="TableContents"/>
              <w:bidi w:val="0"/>
              <w:spacing w:before="100" w:after="283"/>
              <w:jc w:val="left"/>
              <w:rPr>
                <w:rFonts w:ascii="Times New Roman" w:hAnsi="Times New Roman"/>
                <w:sz w:val="18"/>
              </w:rPr>
            </w:pPr>
            <w:r>
              <w:rPr>
                <w:rFonts w:ascii="Clario;sans-serif" w:hAnsi="Clario;sans-serif"/>
                <w:color w:val="404040"/>
                <w:sz w:val="18"/>
              </w:rPr>
              <w:t>The post-tax amount of each item is excluded from adjusted earnings based on the specific tax rules and tax rates associated with the nature and jurisdiction of each item.</w:t>
            </w:r>
            <w:r>
              <w:rPr>
                <w:rFonts w:ascii="Times New Roman" w:hAnsi="Times New Roman"/>
                <w:color w:val="40404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00"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more comparable basis to analyze earnings.</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These measures are commonly used by shareholders to measure performance.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Net earnings and diluted EPS</w:t>
            </w:r>
            <w:r>
              <w:rPr>
                <w:rFonts w:ascii="Times New Roman" w:hAnsi="Times New Roman"/>
                <w:color w:val="404040"/>
                <w:sz w:val="18"/>
              </w:rPr>
              <w:t xml:space="preserve"> </w:t>
            </w:r>
          </w:p>
        </w:tc>
      </w:tr>
      <w:tr>
        <w:trPr/>
        <w:tc>
          <w:tcPr>
            <w:tcW w:w="5659" w:type="dxa"/>
            <w:tcBorders>
              <w:bottom w:val="single" w:sz="8" w:space="0" w:color="AFAFAF"/>
            </w:tcBorders>
            <w:tcMar>
              <w:top w:w="0" w:type="dxa"/>
              <w:left w:w="0" w:type="dxa"/>
              <w:right w:w="0" w:type="dxa"/>
            </w:tcMar>
            <w:vAlign w:val="center"/>
          </w:tcPr>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Adjusted EPS is calculated from adjusted earnings using diluted weighted-average shares and does not represent actual earnings or loss per share attributable to shareholders.</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200"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r>
      <w:tr>
        <w:trP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Effective tax rate on adjusted earnings</w:t>
            </w:r>
          </w:p>
        </w:tc>
      </w:tr>
      <w:tr>
        <w:trPr/>
        <w:tc>
          <w:tcPr>
            <w:tcW w:w="5659"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Adjusted tax expense divided by pre-tax adjusted earnings. Adjusted tax expense is computed as income tax expense or benefit plus or minus the income tax impacts of all items impacting adjusted earnings (as described above), and other tax items impacting comparability.</w:t>
            </w:r>
          </w:p>
          <w:p>
            <w:pPr>
              <w:pStyle w:val="TableContents"/>
              <w:bidi w:val="0"/>
              <w:spacing w:before="100" w:after="283"/>
              <w:jc w:val="left"/>
              <w:rPr>
                <w:rFonts w:ascii="Times New Roman" w:hAnsi="Times New Roman"/>
                <w:sz w:val="18"/>
              </w:rPr>
            </w:pPr>
            <w:r>
              <w:rPr>
                <w:rFonts w:ascii="Clario;sans-serif" w:hAnsi="Clario;sans-serif"/>
                <w:color w:val="404040"/>
                <w:sz w:val="18"/>
              </w:rPr>
              <w:t>In interim periods, we also make an adjustment to reflect income taxes based on the estimated full-year effective tax rate. Earnings or losses for interim periods under IFRS reflect income taxes based on the estimated effective tax rates of each of the jurisdictions in which we operate. The non-IFRS adjustment reallocates estimated full-year income taxes between interim periods but has no effect on full-year income taxes.</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200"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basis to analyze the effective tax rate associated with adjusted earnings.</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sz w:val="18"/>
              </w:rPr>
            </w:pPr>
            <w:r>
              <w:rPr>
                <w:rFonts w:ascii="Clario;sans-serif" w:hAnsi="Clario;sans-serif"/>
                <w:color w:val="404040"/>
                <w:sz w:val="18"/>
              </w:rPr>
              <w:t>Our effective tax rate computed in accordance with IFRS may be more volatile by quarter because the geographical mix of pre-tax profits and losses in interim periods may be different from that for the full year. Therefore, we believe that using the expected full-year effective tax rate provides more comparability among interim periods.</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r>
    </w:tbl>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23</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05"/>
        <w:gridCol w:w="146"/>
        <w:gridCol w:w="4388"/>
        <w:gridCol w:w="146"/>
        <w:gridCol w:w="3820"/>
      </w:tblGrid>
      <w:tr>
        <w:trPr/>
        <w:tc>
          <w:tcPr>
            <w:tcW w:w="1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0" w:type="dxa"/>
            <w:tcBorders/>
            <w:shd w:fill="FFFFFF" w:val="clear"/>
            <w:vAlign w:val="center"/>
          </w:tcPr>
          <w:p>
            <w:pPr>
              <w:pStyle w:val="TableContents"/>
              <w:bidi w:val="0"/>
              <w:spacing w:before="0" w:after="283"/>
              <w:jc w:val="left"/>
              <w:rPr>
                <w:sz w:val="4"/>
                <w:szCs w:val="4"/>
              </w:rPr>
            </w:pPr>
            <w:r>
              <w:rPr>
                <w:sz w:val="4"/>
                <w:szCs w:val="4"/>
              </w:rPr>
            </w:r>
          </w:p>
        </w:tc>
      </w:tr>
      <w:tr>
        <w:trPr/>
        <w:tc>
          <w:tcPr>
            <w:tcW w:w="1705"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438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3820"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72"/>
        <w:gridCol w:w="146"/>
        <w:gridCol w:w="3867"/>
        <w:gridCol w:w="146"/>
        <w:gridCol w:w="2074"/>
      </w:tblGrid>
      <w:tr>
        <w:trPr/>
        <w:tc>
          <w:tcPr>
            <w:tcW w:w="3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8" w:space="0" w:color="AFAFAF"/>
            </w:tcBorders>
            <w:shd w:fill="666666" w:val="clear"/>
            <w:tcMar>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Net debt and leverage ratio of net debt to adjusted EBITDA</w:t>
            </w:r>
          </w:p>
        </w:tc>
      </w:tr>
      <w:tr>
        <w:trPr/>
        <w:tc>
          <w:tcPr>
            <w:tcW w:w="3972"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Net debt:</w:t>
            </w:r>
          </w:p>
          <w:p>
            <w:pPr>
              <w:pStyle w:val="TableContents"/>
              <w:bidi w:val="0"/>
              <w:jc w:val="left"/>
              <w:rPr>
                <w:rFonts w:ascii="Clario;sans-serif" w:hAnsi="Clario;sans-serif"/>
                <w:color w:val="404040"/>
                <w:sz w:val="18"/>
              </w:rPr>
            </w:pPr>
            <w:r>
              <w:rPr>
                <w:rFonts w:ascii="Clario;sans-serif" w:hAnsi="Clario;sans-serif"/>
                <w:color w:val="404040"/>
                <w:sz w:val="18"/>
              </w:rPr>
              <w:t>Total debt, plus related hedging instruments and collateral balances, along with lease liabilities, excluding unamortized transaction costs and any premiums or discounts on debt, minus cash and cash equivalents. We exclude specific hedging components to reflect the net cash outflow upon debt maturity.</w:t>
            </w:r>
          </w:p>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7"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commonly used measure of a company’s leverage.</w:t>
            </w:r>
          </w:p>
          <w:p>
            <w:pPr>
              <w:pStyle w:val="TableContents"/>
              <w:bidi w:val="0"/>
              <w:jc w:val="left"/>
              <w:rPr/>
            </w:pPr>
            <w:r>
              <w:rPr/>
              <w:t> </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Given that we hedge some of our debt to manage risk, we include hedging instruments as we believe it provides a better measure of the total obligation associated with our outstanding debt. Since we plan to hold our debt and related hedges until maturity, the net debt calculation is adjusted to reflect the net cash outflow at maturity, after deducting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4" w:type="dxa"/>
            <w:tcBorders/>
            <w:tcMar>
              <w:top w:w="0" w:type="dxa"/>
              <w:left w:w="0" w:type="dxa"/>
              <w:bottom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Total debt (current indebtedness plus long-term indebtedness)</w:t>
            </w:r>
            <w:r>
              <w:rPr>
                <w:rFonts w:ascii="Times New Roman" w:hAnsi="Times New Roman"/>
                <w:color w:val="404040"/>
                <w:sz w:val="18"/>
              </w:rPr>
              <w:t xml:space="preserve">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972" w:type="dxa"/>
            <w:tcBorders>
              <w:bottom w:val="single" w:sz="8" w:space="0" w:color="AFAFAF"/>
            </w:tcBorders>
            <w:tcMar>
              <w:top w:w="0" w:type="dxa"/>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18"/>
              </w:rPr>
            </w:pPr>
            <w:r>
              <w:rPr>
                <w:rFonts w:ascii="Clario;sans-serif" w:hAnsi="Clario;sans-serif"/>
                <w:color w:val="404040"/>
                <w:sz w:val="18"/>
              </w:rPr>
              <w:t>Net debt to adjusted EBITDA:</w:t>
            </w:r>
            <w:r>
              <w:rPr>
                <w:rFonts w:ascii="Times New Roman" w:hAnsi="Times New Roman"/>
                <w:color w:val="404040"/>
                <w:sz w:val="18"/>
              </w:rPr>
              <w:t xml:space="preserve"> </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debt is divided by adjusted EBITDA for the previous twelve-month period ending with the current fiscal quarter.</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867" w:type="dxa"/>
            <w:tcBorders>
              <w:bottom w:val="single" w:sz="8" w:space="0" w:color="AFAFAF"/>
            </w:tcBorders>
            <w:tcMar>
              <w:top w:w="0" w:type="dxa"/>
              <w:left w:w="0" w:type="dxa"/>
              <w:right w:w="0" w:type="dxa"/>
            </w:tcMar>
            <w:vAlign w:val="center"/>
          </w:tcPr>
          <w:p>
            <w:pPr>
              <w:pStyle w:val="TableContents"/>
              <w:bidi w:val="0"/>
              <w:jc w:val="left"/>
              <w:rPr/>
            </w:pPr>
            <w:r>
              <w:rPr/>
              <w:t> </w:t>
            </w:r>
          </w:p>
          <w:p>
            <w:pPr>
              <w:pStyle w:val="TableContents"/>
              <w:bidi w:val="0"/>
              <w:jc w:val="left"/>
              <w:rPr>
                <w:rFonts w:ascii="Clario;sans-serif" w:hAnsi="Clario;sans-serif"/>
                <w:color w:val="404040"/>
                <w:sz w:val="18"/>
              </w:rPr>
            </w:pPr>
            <w:r>
              <w:rPr>
                <w:rFonts w:ascii="Clario;sans-serif" w:hAnsi="Clario;sans-serif"/>
                <w:color w:val="404040"/>
                <w:sz w:val="18"/>
              </w:rPr>
              <w:t>Provides a commonly used measure of a company’s ability to pay its debt. Our non-IFRS measure is aligned with the calculation of our internal target leverage ratio and is more conservative than the maximum ratio allowed under the contractual covenants in our credit facility.</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2074" w:type="dxa"/>
            <w:tcBorders>
              <w:bottom w:val="single" w:sz="8" w:space="0" w:color="AFAFAF"/>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For adjusted EBITDA, refer to the definition above for the most directly comparable IFRS measure</w:t>
            </w:r>
          </w:p>
        </w:tc>
      </w:tr>
      <w:tr>
        <w:trP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Free cash flow</w:t>
            </w:r>
          </w:p>
        </w:tc>
      </w:tr>
      <w:tr>
        <w:trPr/>
        <w:tc>
          <w:tcPr>
            <w:tcW w:w="3972"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provided by operating activities and other investing activities, less capital expenditures, payments of lease principal and dividends paid on our preference shares.</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867"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Helps assess our ability, over the long term, to create value for our shareholders as it represents cash available to repay debt, pay common dividends and fund share repurchases and acquisitions.</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2074"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provided by operating activities</w:t>
            </w:r>
          </w:p>
        </w:tc>
      </w:tr>
      <w:tr>
        <w:trP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Changes before the impact of foreign currency or at constant currency</w:t>
            </w:r>
          </w:p>
        </w:tc>
      </w:tr>
      <w:tr>
        <w:trPr/>
        <w:tc>
          <w:tcPr>
            <w:tcW w:w="3972"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Applicable measures where changes are reported before the impact of foreign currency or at constant currency</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IFRS Measures: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Revenues</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Operating expenses</w:t>
            </w:r>
          </w:p>
          <w:p>
            <w:pPr>
              <w:pStyle w:val="TableContents"/>
              <w:bidi w:val="0"/>
              <w:spacing w:before="100" w:after="283"/>
              <w:jc w:val="left"/>
              <w:rPr>
                <w:color w:val="404040"/>
              </w:rPr>
            </w:pPr>
            <w:r>
              <w:rPr>
                <w:color w:val="404040"/>
              </w:rPr>
              <w:t> </w:t>
            </w:r>
            <w:r>
              <w:rPr>
                <w:rFonts w:ascii="Clario;sans-serif" w:hAnsi="Clario;sans-serif"/>
                <w:color w:val="404040"/>
                <w:sz w:val="18"/>
              </w:rPr>
              <w:t>Non-IFRS Measures and ratios: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Adjusted EBITDA and adjusted EBITDA margin</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 xml:space="preserve">Adjusted EPS </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Our reporting currency is the U.S. dollar. However, we conduct activities in currencies other than the U.S. dollar. We measure our performance before the impact of foreign currency (or at constant currency or excluding the effects of currency), which is determined by converting the current and equivalent prior period’s local currency results using the same foreign currency exchange rate.</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867"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Provides better comparability of business trends from period to period.</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2074"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For each non-IFRS measure and ratio, refer to the definitions above for the most directly comparable IFRS measure.</w:t>
            </w:r>
            <w:r>
              <w:rPr>
                <w:rFonts w:ascii="Times New Roman" w:hAnsi="Times New Roman"/>
                <w:color w:val="404040"/>
                <w:sz w:val="18"/>
              </w:rPr>
              <w:t xml:space="preserve"> </w:t>
            </w:r>
          </w:p>
        </w:tc>
      </w:tr>
    </w:tbl>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24</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5"/>
        <w:gridCol w:w="146"/>
        <w:gridCol w:w="4388"/>
        <w:gridCol w:w="146"/>
        <w:gridCol w:w="3820"/>
      </w:tblGrid>
      <w:tr>
        <w:trPr/>
        <w:tc>
          <w:tcPr>
            <w:tcW w:w="1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0" w:type="dxa"/>
            <w:tcBorders/>
            <w:shd w:fill="FFFFFF" w:val="clear"/>
            <w:vAlign w:val="center"/>
          </w:tcPr>
          <w:p>
            <w:pPr>
              <w:pStyle w:val="TableContents"/>
              <w:bidi w:val="0"/>
              <w:spacing w:before="0" w:after="283"/>
              <w:jc w:val="left"/>
              <w:rPr>
                <w:sz w:val="4"/>
                <w:szCs w:val="4"/>
              </w:rPr>
            </w:pPr>
            <w:r>
              <w:rPr>
                <w:sz w:val="4"/>
                <w:szCs w:val="4"/>
              </w:rPr>
            </w:r>
          </w:p>
        </w:tc>
      </w:tr>
      <w:tr>
        <w:trPr/>
        <w:tc>
          <w:tcPr>
            <w:tcW w:w="1705"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438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3820"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82"/>
        <w:gridCol w:w="146"/>
        <w:gridCol w:w="3671"/>
        <w:gridCol w:w="146"/>
        <w:gridCol w:w="1460"/>
      </w:tblGrid>
      <w:tr>
        <w:trPr/>
        <w:tc>
          <w:tcPr>
            <w:tcW w:w="4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8" w:space="0" w:color="AFAFAF"/>
              <w:bottom w:val="single" w:sz="8" w:space="0" w:color="AFAFAF"/>
            </w:tcBorders>
            <w:shd w:fill="666666" w:val="clear"/>
            <w:tcMar>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FFFFFF"/>
                <w:sz w:val="18"/>
              </w:rPr>
              <w:t>Changes in revenues computed on an organic basis</w:t>
            </w:r>
            <w:r>
              <w:rPr>
                <w:rFonts w:ascii="Times New Roman" w:hAnsi="Times New Roman"/>
                <w:color w:val="FFFFFF"/>
                <w:sz w:val="18"/>
              </w:rPr>
              <w:t xml:space="preserve"> </w:t>
            </w:r>
          </w:p>
        </w:tc>
      </w:tr>
      <w:tr>
        <w:trPr/>
        <w:tc>
          <w:tcPr>
            <w:tcW w:w="4782" w:type="dxa"/>
            <w:tcBorders>
              <w:bottom w:val="single" w:sz="8" w:space="0" w:color="AFAFAF"/>
            </w:tcBorders>
            <w:tcMar>
              <w:top w:w="0" w:type="dxa"/>
              <w:left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Represent changes in revenues of our existing businesses at constant currency. The metric excludes the distortive impacts of acquisitions and dispositions from not owning the business in both comparable periods.</w:t>
            </w:r>
            <w:r>
              <w:rPr>
                <w:rFonts w:ascii="Times New Roman" w:hAnsi="Times New Roman"/>
                <w:color w:val="404040"/>
                <w:sz w:val="18"/>
              </w:rPr>
              <w:t xml:space="preserve"> </w:t>
            </w:r>
          </w:p>
          <w:p>
            <w:pPr>
              <w:pStyle w:val="TableContents"/>
              <w:bidi w:val="0"/>
              <w:spacing w:before="100" w:after="283"/>
              <w:jc w:val="left"/>
              <w:rPr>
                <w:color w:val="404040"/>
              </w:rPr>
            </w:pPr>
            <w:r>
              <w:rPr>
                <w:color w:val="404040"/>
              </w:rPr>
              <w:t>•</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For acquisitions, we calculate organic growth as though we had owned the acquired business in both periods. We compare revenues for the acquired business for the period we owned the business to the same prior-year period revenues for that business, when we did not own it.</w:t>
            </w:r>
          </w:p>
          <w:p>
            <w:pPr>
              <w:pStyle w:val="TableContents"/>
              <w:bidi w:val="0"/>
              <w:spacing w:before="100" w:after="283"/>
              <w:jc w:val="left"/>
              <w:rPr>
                <w:color w:val="404040"/>
              </w:rPr>
            </w:pPr>
            <w:r>
              <w:rPr>
                <w:color w:val="404040"/>
              </w:rPr>
              <w:t>•</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 xml:space="preserve">For dispositions, we calculate organic growth only for the time we owned the business in the current period, compared to the same period in the prior year.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671"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Provides further insight into the performance of our existing businesses by excluding distortive impacts and serves as a better measure of our ability to grow our business over the long term.</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r>
      <w:tr>
        <w:trP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color w:val="FFFFFF"/>
              </w:rPr>
            </w:pPr>
            <w:r>
              <w:rPr>
                <w:color w:val="FFFFFF"/>
              </w:rPr>
              <w:t>“</w:t>
            </w:r>
            <w:r>
              <w:rPr>
                <w:rFonts w:ascii="Clario;sans-serif" w:hAnsi="Clario;sans-serif"/>
                <w:b/>
                <w:color w:val="FFFFFF"/>
                <w:sz w:val="18"/>
              </w:rPr>
              <w:t>Big 3” segments</w:t>
            </w:r>
          </w:p>
        </w:tc>
      </w:tr>
      <w:tr>
        <w:trPr/>
        <w:tc>
          <w:tcPr>
            <w:tcW w:w="4782"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Our combined Legal Professionals, Corporates and Tax, Audit &amp; Accounting Professionals segments. All measures reported for the “Big 3” segments are non-IFRS financial measures.</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671"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The “Big 3” segments comprise approximately 80% of revenues and represent the core of our business information service product offerings.</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Revenues</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r>
    </w:tbl>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25</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pBdr/>
        <w:bidi w:val="0"/>
        <w:ind w:left="0" w:right="0" w:hanging="360"/>
        <w:jc w:val="left"/>
        <w:rPr>
          <w:rFonts w:ascii="Times New Roman" w:hAnsi="Times New Roman"/>
          <w:sz w:val="20"/>
        </w:rPr>
      </w:pPr>
      <w:r>
        <w:rPr>
          <w:rFonts w:ascii="Clario;sans-serif" w:hAnsi="Clario;sans-serif"/>
          <w:b/>
          <w:color w:val="404040"/>
          <w:sz w:val="24"/>
        </w:rPr>
        <w:t>Appendix B</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This appendix provides reconciliations of our non-IFRS financial measures to the most directly comparable IFRS measure for the three and six months ended June 30, 2026 and 2025, and year ended December 31, 2025.</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Rounding</w:t>
      </w:r>
    </w:p>
    <w:p>
      <w:pPr>
        <w:pStyle w:val="TextBody"/>
        <w:bidi w:val="0"/>
        <w:spacing w:before="100" w:after="283"/>
        <w:jc w:val="both"/>
        <w:rPr>
          <w:rFonts w:ascii="Times New Roman" w:hAnsi="Times New Roman"/>
          <w:sz w:val="20"/>
        </w:rPr>
      </w:pPr>
      <w:r>
        <w:rPr>
          <w:rFonts w:ascii="Clario;sans-serif" w:hAnsi="Clario;sans-serif"/>
          <w:color w:val="404040"/>
          <w:sz w:val="18"/>
        </w:rPr>
        <w:t>Other than EPS,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Reconciliation of earnings from continuing operations to adjusted EBITDA and adjusted EBITDA less accrued capital expenditures</w:t>
      </w:r>
    </w:p>
    <w:p>
      <w:pPr>
        <w:pStyle w:val="TextBody"/>
        <w:bidi w:val="0"/>
        <w:jc w:val="left"/>
        <w:rPr/>
      </w:pPr>
      <w:r>
        <w:rPr/>
        <w:t> </w:t>
      </w:r>
    </w:p>
    <w:tbl>
      <w:tblPr>
        <w:tblW w:w="9897" w:type="dxa"/>
        <w:jc w:val="left"/>
        <w:tblInd w:w="0" w:type="dxa"/>
        <w:tblLayout w:type="fixed"/>
        <w:tblCellMar>
          <w:top w:w="28" w:type="dxa"/>
          <w:left w:w="28" w:type="dxa"/>
          <w:bottom w:w="28" w:type="dxa"/>
          <w:right w:w="28" w:type="dxa"/>
        </w:tblCellMar>
      </w:tblPr>
      <w:tblGrid>
        <w:gridCol w:w="4766"/>
        <w:gridCol w:w="1034"/>
        <w:gridCol w:w="991"/>
        <w:gridCol w:w="911"/>
        <w:gridCol w:w="874"/>
        <w:gridCol w:w="1321"/>
      </w:tblGrid>
      <w:tr>
        <w:trPr/>
        <w:tc>
          <w:tcPr>
            <w:tcW w:w="476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June 30,</w:t>
            </w:r>
          </w:p>
        </w:tc>
        <w:tc>
          <w:tcPr>
            <w:tcW w:w="1785"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Six months ended</w:t>
              <w:br/>
              <w:t>June 30,</w:t>
            </w:r>
          </w:p>
        </w:tc>
        <w:tc>
          <w:tcPr>
            <w:tcW w:w="132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rPr/>
        <w:tc>
          <w:tcPr>
            <w:tcW w:w="47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103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9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9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87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3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7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from continuing operations</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297</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921</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722</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1,483</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Adjustments to remove:</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Tax expense</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196</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144</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423</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55</w:t>
            </w:r>
          </w:p>
        </w:tc>
      </w:tr>
      <w:tr>
        <w:trPr/>
        <w:tc>
          <w:tcPr>
            <w:tcW w:w="47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143</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98</w:t>
            </w:r>
          </w:p>
        </w:tc>
      </w:tr>
      <w:tr>
        <w:trPr/>
        <w:tc>
          <w:tcPr>
            <w:tcW w:w="47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software</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201</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394</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352</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721</w:t>
            </w:r>
          </w:p>
        </w:tc>
      </w:tr>
      <w:tr>
        <w:trPr/>
        <w:tc>
          <w:tcPr>
            <w:tcW w:w="476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Depreciation</w:t>
            </w:r>
          </w:p>
        </w:tc>
        <w:tc>
          <w:tcPr>
            <w:tcW w:w="10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w:t>
            </w:r>
          </w:p>
        </w:tc>
        <w:tc>
          <w:tcPr>
            <w:tcW w:w="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9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w:t>
            </w:r>
          </w:p>
        </w:tc>
        <w:tc>
          <w:tcPr>
            <w:tcW w:w="87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c>
          <w:tcPr>
            <w:tcW w:w="13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111</w:t>
            </w:r>
          </w:p>
        </w:tc>
      </w:tr>
      <w:tr>
        <w:trPr/>
        <w:tc>
          <w:tcPr>
            <w:tcW w:w="47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EBITDA</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807</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662</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1,684</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1,445</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3,034</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Adjustments to remove:</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Share of post-tax losses in equity method </w:t>
              <w:br/>
              <w:t>   investments</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28</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operating gains, net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(164)</w:t>
            </w:r>
          </w:p>
        </w:tc>
      </w:tr>
      <w:tr>
        <w:trPr/>
        <w:tc>
          <w:tcPr>
            <w:tcW w:w="476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Fair value adjustments</w:t>
            </w:r>
            <w:r>
              <w:rPr>
                <w:rFonts w:ascii="Clario;sans-serif" w:hAnsi="Clario;sans-serif"/>
                <w:color w:val="404040"/>
                <w:sz w:val="12"/>
              </w:rPr>
              <w:t>(1)</w:t>
            </w:r>
          </w:p>
        </w:tc>
        <w:tc>
          <w:tcPr>
            <w:tcW w:w="10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9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87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w:t>
            </w:r>
          </w:p>
        </w:tc>
        <w:tc>
          <w:tcPr>
            <w:tcW w:w="13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678</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1,626</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1,487</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2,936</w:t>
            </w:r>
          </w:p>
        </w:tc>
      </w:tr>
      <w:tr>
        <w:trPr/>
        <w:tc>
          <w:tcPr>
            <w:tcW w:w="476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Deduct: Accrued capital expenditures</w:t>
            </w:r>
          </w:p>
        </w:tc>
        <w:tc>
          <w:tcPr>
            <w:tcW w:w="10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w:t>
            </w:r>
          </w:p>
        </w:tc>
        <w:tc>
          <w:tcPr>
            <w:tcW w:w="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(157)</w:t>
            </w:r>
          </w:p>
        </w:tc>
        <w:tc>
          <w:tcPr>
            <w:tcW w:w="9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(340)</w:t>
            </w:r>
          </w:p>
        </w:tc>
        <w:tc>
          <w:tcPr>
            <w:tcW w:w="87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(295)</w:t>
            </w:r>
          </w:p>
        </w:tc>
        <w:tc>
          <w:tcPr>
            <w:tcW w:w="13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(616)</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Adjusted EBITDA less accrued capital </w:t>
              <w:br/>
              <w:t>   expenditures</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521</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1,286</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1,192</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2,320</w:t>
            </w:r>
          </w:p>
        </w:tc>
      </w:tr>
      <w:tr>
        <w:trPr/>
        <w:tc>
          <w:tcPr>
            <w:tcW w:w="47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 margin</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38.1%</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37.8%</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40.2%</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40.1%</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r>
      <w:tr>
        <w:trPr/>
        <w:tc>
          <w:tcPr>
            <w:tcW w:w="4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Adjusted EBITDA less accrued capital </w:t>
              <w:br/>
              <w:t>   expenditures margin</w:t>
            </w:r>
          </w:p>
        </w:tc>
        <w:tc>
          <w:tcPr>
            <w:tcW w:w="10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29.0%</w:t>
            </w:r>
          </w:p>
        </w:tc>
        <w:tc>
          <w:tcPr>
            <w:tcW w:w="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29.0%</w:t>
            </w:r>
          </w:p>
        </w:tc>
        <w:tc>
          <w:tcPr>
            <w:tcW w:w="9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31.8%</w:t>
            </w:r>
          </w:p>
        </w:tc>
        <w:tc>
          <w:tcPr>
            <w:tcW w:w="87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32.2%</w:t>
            </w:r>
          </w:p>
        </w:tc>
        <w:tc>
          <w:tcPr>
            <w:tcW w:w="13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31.0%</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Fair value adjustments primarily represent gains or losses due to changes in foreign currency exchange rates on intercompany balances that arise in the ordinary course of business, a component of operating expenses, as well as adjustments related to acquired deferred revenue.</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Reconciliation of capital expenditures to accrued capital expenditures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91"/>
        <w:gridCol w:w="1008"/>
        <w:gridCol w:w="1008"/>
        <w:gridCol w:w="889"/>
        <w:gridCol w:w="889"/>
        <w:gridCol w:w="1320"/>
      </w:tblGrid>
      <w:tr>
        <w:trPr/>
        <w:tc>
          <w:tcPr>
            <w:tcW w:w="509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June 30,</w:t>
            </w:r>
          </w:p>
        </w:tc>
        <w:tc>
          <w:tcPr>
            <w:tcW w:w="1778"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Six months ended</w:t>
              <w:br/>
              <w:t>June 30,</w:t>
            </w:r>
          </w:p>
        </w:tc>
        <w:tc>
          <w:tcPr>
            <w:tcW w:w="1320"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rPr/>
        <w:tc>
          <w:tcPr>
            <w:tcW w:w="50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100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00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8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8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32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Capital expenditures</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177</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163</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333</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314</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634</w:t>
            </w:r>
          </w:p>
        </w:tc>
      </w:tr>
      <w:tr>
        <w:trPr/>
        <w:tc>
          <w:tcPr>
            <w:tcW w:w="50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Remove: IFRS adjustment to cash basis</w:t>
            </w:r>
          </w:p>
        </w:tc>
        <w:tc>
          <w:tcPr>
            <w:tcW w:w="10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0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8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8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w:t>
            </w:r>
          </w:p>
        </w:tc>
        <w:tc>
          <w:tcPr>
            <w:tcW w:w="13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r>
      <w:tr>
        <w:trPr/>
        <w:tc>
          <w:tcPr>
            <w:tcW w:w="50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Accrued capital expenditures</w:t>
            </w:r>
          </w:p>
        </w:tc>
        <w:tc>
          <w:tcPr>
            <w:tcW w:w="10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w:t>
            </w:r>
          </w:p>
        </w:tc>
        <w:tc>
          <w:tcPr>
            <w:tcW w:w="10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157</w:t>
            </w:r>
          </w:p>
        </w:tc>
        <w:tc>
          <w:tcPr>
            <w:tcW w:w="8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340</w:t>
            </w:r>
          </w:p>
        </w:tc>
        <w:tc>
          <w:tcPr>
            <w:tcW w:w="8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295</w:t>
            </w:r>
          </w:p>
        </w:tc>
        <w:tc>
          <w:tcPr>
            <w:tcW w:w="13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616</w:t>
            </w:r>
          </w:p>
        </w:tc>
      </w:tr>
      <w:tr>
        <w:trPr/>
        <w:tc>
          <w:tcPr>
            <w:tcW w:w="50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Accrued capital expenditures as a percentage of </w:t>
              <w:br/>
              <w:t>   revenues</w:t>
            </w:r>
          </w:p>
        </w:tc>
        <w:tc>
          <w:tcPr>
            <w:tcW w:w="10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n/a</w:t>
            </w:r>
          </w:p>
        </w:tc>
        <w:tc>
          <w:tcPr>
            <w:tcW w:w="10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8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n/a</w:t>
            </w:r>
          </w:p>
        </w:tc>
        <w:tc>
          <w:tcPr>
            <w:tcW w:w="8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3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w:t>
            </w:r>
          </w:p>
        </w:tc>
      </w:tr>
    </w:tbl>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26</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Reconciliation of net earnings to adjusted earnings and adjusted EPS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56"/>
        <w:gridCol w:w="1004"/>
        <w:gridCol w:w="981"/>
        <w:gridCol w:w="889"/>
        <w:gridCol w:w="869"/>
        <w:gridCol w:w="1306"/>
      </w:tblGrid>
      <w:tr>
        <w:trPr/>
        <w:tc>
          <w:tcPr>
            <w:tcW w:w="51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5"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June 30,</w:t>
            </w:r>
          </w:p>
        </w:tc>
        <w:tc>
          <w:tcPr>
            <w:tcW w:w="1758"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Six months ended</w:t>
              <w:br/>
              <w:t>June 30,</w:t>
            </w:r>
          </w:p>
        </w:tc>
        <w:tc>
          <w:tcPr>
            <w:tcW w:w="1306"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rPr/>
        <w:tc>
          <w:tcPr>
            <w:tcW w:w="515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 xml:space="preserve">(millions of U.S. dollars, except per share amounts and </w:t>
              <w:br/>
              <w:t>   share data)</w:t>
            </w:r>
          </w:p>
        </w:tc>
        <w:tc>
          <w:tcPr>
            <w:tcW w:w="100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98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8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86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30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earnings</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1,502</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Adjustments to remove:</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Fair value adjustments</w:t>
            </w:r>
            <w:r>
              <w:rPr>
                <w:rFonts w:ascii="Clario;sans-serif" w:hAnsi="Clario;sans-serif"/>
                <w:color w:val="404040"/>
                <w:sz w:val="12"/>
              </w:rPr>
              <w:t>(1)</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w:t>
            </w:r>
          </w:p>
        </w:tc>
        <w:tc>
          <w:tcPr>
            <w:tcW w:w="1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38</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acquired software</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101</w:t>
            </w:r>
          </w:p>
        </w:tc>
        <w:tc>
          <w:tcPr>
            <w:tcW w:w="1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206</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c>
          <w:tcPr>
            <w:tcW w:w="1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98</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operating gains, net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(164)</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w:t>
            </w:r>
          </w:p>
        </w:tc>
        <w:tc>
          <w:tcPr>
            <w:tcW w:w="1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55</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Share of post-tax losses in equity method</w:t>
              <w:br/>
              <w:t>   investments</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28</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Tax on above items</w:t>
            </w:r>
            <w:r>
              <w:rPr>
                <w:rFonts w:ascii="Clario;sans-serif" w:hAnsi="Clario;sans-serif"/>
                <w:color w:val="404040"/>
                <w:sz w:val="12"/>
              </w:rPr>
              <w:t>(2)</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w:t>
            </w:r>
          </w:p>
        </w:tc>
        <w:tc>
          <w:tcPr>
            <w:tcW w:w="1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(35)</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Tax items impacting comparability</w:t>
            </w:r>
            <w:r>
              <w:rPr>
                <w:rFonts w:ascii="Clario;sans-serif" w:hAnsi="Clario;sans-serif"/>
                <w:color w:val="404040"/>
                <w:sz w:val="12"/>
              </w:rPr>
              <w:t>(2)</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57</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(Earnings) loss from discontinued operations, net </w:t>
              <w:br/>
              <w:t>   of tax</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Interim period effective tax rate normalization</w:t>
            </w:r>
            <w:r>
              <w:rPr>
                <w:rFonts w:ascii="Clario;sans-serif" w:hAnsi="Clario;sans-serif"/>
                <w:b/>
                <w:color w:val="404040"/>
                <w:sz w:val="12"/>
              </w:rPr>
              <w:t>(2)</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51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Dividends declared on preference shares</w:t>
            </w:r>
          </w:p>
        </w:tc>
        <w:tc>
          <w:tcPr>
            <w:tcW w:w="10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9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8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86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3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earnings</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435</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394</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982</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900</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1,762</w:t>
            </w:r>
          </w:p>
        </w:tc>
      </w:tr>
      <w:tr>
        <w:trPr/>
        <w:tc>
          <w:tcPr>
            <w:tcW w:w="51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EPS</w:t>
            </w:r>
          </w:p>
        </w:tc>
        <w:tc>
          <w:tcPr>
            <w:tcW w:w="10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$0.99</w:t>
            </w:r>
          </w:p>
        </w:tc>
        <w:tc>
          <w:tcPr>
            <w:tcW w:w="9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$0.87</w:t>
            </w:r>
          </w:p>
        </w:tc>
        <w:tc>
          <w:tcPr>
            <w:tcW w:w="8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$2.22</w:t>
            </w:r>
          </w:p>
        </w:tc>
        <w:tc>
          <w:tcPr>
            <w:tcW w:w="86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w:t>
            </w:r>
          </w:p>
        </w:tc>
        <w:tc>
          <w:tcPr>
            <w:tcW w:w="13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r>
      <w:tr>
        <w:trPr/>
        <w:tc>
          <w:tcPr>
            <w:tcW w:w="51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Diluted weighted-average common shares </w:t>
              <w:br/>
              <w:t>   (millions)</w:t>
            </w:r>
          </w:p>
        </w:tc>
        <w:tc>
          <w:tcPr>
            <w:tcW w:w="10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438.6</w:t>
            </w:r>
          </w:p>
        </w:tc>
        <w:tc>
          <w:tcPr>
            <w:tcW w:w="9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451.2</w:t>
            </w:r>
          </w:p>
        </w:tc>
        <w:tc>
          <w:tcPr>
            <w:tcW w:w="8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441.7</w:t>
            </w:r>
          </w:p>
        </w:tc>
        <w:tc>
          <w:tcPr>
            <w:tcW w:w="86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451.0</w:t>
            </w:r>
          </w:p>
        </w:tc>
        <w:tc>
          <w:tcPr>
            <w:tcW w:w="13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449.5</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Fair value adjustments primarily represent gains or losses due to changes in foreign currency exchange rates on intercompany balances that arise in the ordinary course of business, a component of operating expenses, as well as adjustments related to acquired deferred revenue.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For three and six months ended June 30, 2026 and 2025, see the “Results of Operations - Tax expense” section of this management’s discussion and analysis for additional information.</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Reconciliation of full-year effective tax rate on adjusted earnings</w:t>
      </w:r>
    </w:p>
    <w:tbl>
      <w:tblPr>
        <w:tblW w:w="9322" w:type="dxa"/>
        <w:jc w:val="left"/>
        <w:tblInd w:w="0" w:type="dxa"/>
        <w:tblLayout w:type="fixed"/>
        <w:tblCellMar>
          <w:top w:w="28" w:type="dxa"/>
          <w:left w:w="28" w:type="dxa"/>
          <w:bottom w:w="28" w:type="dxa"/>
          <w:right w:w="28" w:type="dxa"/>
        </w:tblCellMar>
      </w:tblPr>
      <w:tblGrid>
        <w:gridCol w:w="6077"/>
        <w:gridCol w:w="313"/>
        <w:gridCol w:w="313"/>
        <w:gridCol w:w="186"/>
        <w:gridCol w:w="504"/>
        <w:gridCol w:w="1929"/>
      </w:tblGrid>
      <w:tr>
        <w:trPr/>
        <w:tc>
          <w:tcPr>
            <w:tcW w:w="607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60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3"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 December 31,</w:t>
            </w:r>
          </w:p>
        </w:tc>
      </w:tr>
      <w:tr>
        <w:trPr/>
        <w:tc>
          <w:tcPr>
            <w:tcW w:w="6077"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313"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504"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9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607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earnings</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1,762</w:t>
            </w:r>
          </w:p>
        </w:tc>
      </w:tr>
      <w:tr>
        <w:trPr/>
        <w:tc>
          <w:tcPr>
            <w:tcW w:w="607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Plus: Dividends declared on preference shares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60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Plus: Tax expense on adjusted earnings</w:t>
            </w:r>
          </w:p>
        </w:tc>
        <w:tc>
          <w:tcPr>
            <w:tcW w:w="3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401</w:t>
            </w:r>
          </w:p>
        </w:tc>
      </w:tr>
      <w:tr>
        <w:trPr/>
        <w:tc>
          <w:tcPr>
            <w:tcW w:w="60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Pre-tax adjusted earnings</w:t>
            </w:r>
          </w:p>
        </w:tc>
        <w:tc>
          <w:tcPr>
            <w:tcW w:w="3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2,167</w:t>
            </w:r>
          </w:p>
        </w:tc>
      </w:tr>
      <w:tr>
        <w:trPr/>
        <w:tc>
          <w:tcPr>
            <w:tcW w:w="60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7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IFRS tax expense</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423</w:t>
            </w:r>
          </w:p>
        </w:tc>
      </w:tr>
      <w:tr>
        <w:trPr/>
        <w:tc>
          <w:tcPr>
            <w:tcW w:w="607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Remove tax related to:</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Amortization of acquired software</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46</w:t>
            </w:r>
          </w:p>
        </w:tc>
      </w:tr>
      <w:tr>
        <w:trPr/>
        <w:tc>
          <w:tcPr>
            <w:tcW w:w="60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23</w:t>
            </w:r>
          </w:p>
        </w:tc>
      </w:tr>
      <w:tr>
        <w:trPr/>
        <w:tc>
          <w:tcPr>
            <w:tcW w:w="6703" w:type="dxa"/>
            <w:gridSpan w:val="3"/>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w:t>
            </w:r>
          </w:p>
        </w:tc>
      </w:tr>
      <w:tr>
        <w:trPr/>
        <w:tc>
          <w:tcPr>
            <w:tcW w:w="60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Other finance costs</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w:t>
            </w:r>
          </w:p>
        </w:tc>
      </w:tr>
      <w:tr>
        <w:trPr/>
        <w:tc>
          <w:tcPr>
            <w:tcW w:w="60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Other operating gains, net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(43)</w:t>
            </w:r>
          </w:p>
        </w:tc>
      </w:tr>
      <w:tr>
        <w:trPr/>
        <w:tc>
          <w:tcPr>
            <w:tcW w:w="6077"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items</w:t>
            </w:r>
          </w:p>
        </w:tc>
        <w:tc>
          <w:tcPr>
            <w:tcW w:w="3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rPr/>
        <w:tc>
          <w:tcPr>
            <w:tcW w:w="739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Subtotal - Remove tax benefit on pre-tax items removed from adjusted earnings</w:t>
            </w:r>
          </w:p>
        </w:tc>
        <w:tc>
          <w:tcPr>
            <w:tcW w:w="1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r>
      <w:tr>
        <w:trPr/>
        <w:tc>
          <w:tcPr>
            <w:tcW w:w="60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Remove: Tax items impacting comparability</w:t>
            </w:r>
          </w:p>
        </w:tc>
        <w:tc>
          <w:tcPr>
            <w:tcW w:w="3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r>
      <w:tr>
        <w:trPr/>
        <w:tc>
          <w:tcPr>
            <w:tcW w:w="60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 Remove all items impacting comparability</w:t>
            </w:r>
          </w:p>
        </w:tc>
        <w:tc>
          <w:tcPr>
            <w:tcW w:w="3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r>
      <w:tr>
        <w:trPr/>
        <w:tc>
          <w:tcPr>
            <w:tcW w:w="60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expense on adjusted earnings</w:t>
            </w:r>
          </w:p>
        </w:tc>
        <w:tc>
          <w:tcPr>
            <w:tcW w:w="3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401</w:t>
            </w:r>
          </w:p>
        </w:tc>
      </w:tr>
      <w:tr>
        <w:trPr/>
        <w:tc>
          <w:tcPr>
            <w:tcW w:w="60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Effective tax rate on adjusted earnings</w:t>
            </w:r>
          </w:p>
        </w:tc>
        <w:tc>
          <w:tcPr>
            <w:tcW w:w="3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18.5%</w:t>
            </w:r>
          </w:p>
        </w:tc>
      </w:tr>
    </w:tbl>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Reconciliation of net cash provided by operating activities to free cash flow</w:t>
      </w:r>
    </w:p>
    <w:p>
      <w:pPr>
        <w:pStyle w:val="TextBody"/>
        <w:bidi w:val="0"/>
        <w:jc w:val="left"/>
        <w:rPr/>
      </w:pPr>
      <w:r>
        <w:rPr/>
        <w:t> </w:t>
      </w:r>
    </w:p>
    <w:tbl>
      <w:tblPr>
        <w:tblW w:w="9483" w:type="dxa"/>
        <w:jc w:val="left"/>
        <w:tblInd w:w="0" w:type="dxa"/>
        <w:tblLayout w:type="fixed"/>
        <w:tblCellMar>
          <w:top w:w="28" w:type="dxa"/>
          <w:left w:w="28" w:type="dxa"/>
          <w:bottom w:w="28" w:type="dxa"/>
          <w:right w:w="28" w:type="dxa"/>
        </w:tblCellMar>
      </w:tblPr>
      <w:tblGrid>
        <w:gridCol w:w="4351"/>
        <w:gridCol w:w="1013"/>
        <w:gridCol w:w="1013"/>
        <w:gridCol w:w="903"/>
        <w:gridCol w:w="882"/>
        <w:gridCol w:w="1321"/>
      </w:tblGrid>
      <w:tr>
        <w:trPr/>
        <w:tc>
          <w:tcPr>
            <w:tcW w:w="43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June 30,</w:t>
            </w:r>
          </w:p>
        </w:tc>
        <w:tc>
          <w:tcPr>
            <w:tcW w:w="1785"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Six months ended</w:t>
              <w:br/>
              <w:t>June 30,</w:t>
            </w:r>
          </w:p>
        </w:tc>
        <w:tc>
          <w:tcPr>
            <w:tcW w:w="132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rPr/>
        <w:tc>
          <w:tcPr>
            <w:tcW w:w="435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101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01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90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88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3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provided by operating activities</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920</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746</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1,425</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2,651</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Capital expenditures</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(177)</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(163)</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(333)</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(314)</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(634)</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Other investing activities</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Payments of lease principal</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w:t>
            </w:r>
          </w:p>
        </w:tc>
      </w:tr>
      <w:tr>
        <w:trPr/>
        <w:tc>
          <w:tcPr>
            <w:tcW w:w="43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Dividends paid on preference shares</w:t>
            </w:r>
          </w:p>
        </w:tc>
        <w:tc>
          <w:tcPr>
            <w:tcW w:w="10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0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9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88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3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43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Free cash flow</w:t>
            </w:r>
          </w:p>
        </w:tc>
        <w:tc>
          <w:tcPr>
            <w:tcW w:w="10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727</w:t>
            </w:r>
          </w:p>
        </w:tc>
        <w:tc>
          <w:tcPr>
            <w:tcW w:w="10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566</w:t>
            </w:r>
          </w:p>
        </w:tc>
        <w:tc>
          <w:tcPr>
            <w:tcW w:w="9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1,059</w:t>
            </w:r>
          </w:p>
        </w:tc>
        <w:tc>
          <w:tcPr>
            <w:tcW w:w="88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843</w:t>
            </w:r>
          </w:p>
        </w:tc>
        <w:tc>
          <w:tcPr>
            <w:tcW w:w="13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1,950</w:t>
            </w:r>
          </w:p>
        </w:tc>
      </w:tr>
    </w:tbl>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27</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b/>
          <w:i/>
          <w:color w:val="404040"/>
          <w:sz w:val="18"/>
        </w:rPr>
        <w:t>Reconciliation of net debt and leverage ratio of net debt to adjusted EBITDA</w:t>
      </w:r>
      <w:r>
        <w:rPr>
          <w:rFonts w:ascii="Times New Roman" w:hAnsi="Times New Roman"/>
          <w:color w:val="40404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1"/>
        <w:gridCol w:w="231"/>
        <w:gridCol w:w="231"/>
        <w:gridCol w:w="231"/>
        <w:gridCol w:w="882"/>
        <w:gridCol w:w="1379"/>
      </w:tblGrid>
      <w:tr>
        <w:trPr/>
        <w:tc>
          <w:tcPr>
            <w:tcW w:w="72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7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June 30,</w:t>
            </w:r>
          </w:p>
        </w:tc>
        <w:tc>
          <w:tcPr>
            <w:tcW w:w="1379"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rPr/>
        <w:tc>
          <w:tcPr>
            <w:tcW w:w="725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3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3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37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Current indebtedness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1,618</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rPr/>
        <w:tc>
          <w:tcPr>
            <w:tcW w:w="7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Long-term indebtedness</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8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1,323</w:t>
            </w:r>
          </w:p>
        </w:tc>
        <w:tc>
          <w:tcPr>
            <w:tcW w:w="13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debt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2,941</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2,123</w:t>
            </w:r>
          </w:p>
        </w:tc>
      </w:tr>
      <w:tr>
        <w:trPr/>
        <w:tc>
          <w:tcPr>
            <w:tcW w:w="7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Swaps</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8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3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debt after swaps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2,964</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2,139</w:t>
            </w:r>
          </w:p>
        </w:tc>
      </w:tr>
      <w:tr>
        <w:trPr/>
        <w:tc>
          <w:tcPr>
            <w:tcW w:w="7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Remove fair value adjustments for hedges</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8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3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debt after hedging arrangements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2,961</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2,137</w:t>
            </w:r>
          </w:p>
        </w:tc>
      </w:tr>
      <w:tr>
        <w:trPr/>
        <w:tc>
          <w:tcPr>
            <w:tcW w:w="72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Collateral assets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7944"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Remove transaction costs, premiums or discounts, included in the carrying value of debt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r>
      <w:tr>
        <w:trPr/>
        <w:tc>
          <w:tcPr>
            <w:tcW w:w="72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Add: Lease liabilities (current and non-current)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241</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249</w:t>
            </w:r>
          </w:p>
        </w:tc>
      </w:tr>
      <w:tr>
        <w:trPr/>
        <w:tc>
          <w:tcPr>
            <w:tcW w:w="7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Less: Cash and cash equivalents</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8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w:t>
            </w:r>
          </w:p>
        </w:tc>
        <w:tc>
          <w:tcPr>
            <w:tcW w:w="137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rPr/>
        <w:tc>
          <w:tcPr>
            <w:tcW w:w="7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debt</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8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2,628</w:t>
            </w:r>
          </w:p>
        </w:tc>
        <w:tc>
          <w:tcPr>
            <w:tcW w:w="13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1,896</w:t>
            </w:r>
          </w:p>
        </w:tc>
      </w:tr>
      <w:tr>
        <w:trPr/>
        <w:tc>
          <w:tcPr>
            <w:tcW w:w="7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Leverage ratio of net debt to adjusted EBITDA</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3,075</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r>
      <w:tr>
        <w:trPr/>
        <w:tc>
          <w:tcPr>
            <w:tcW w:w="7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debt/adjusted EBITDA</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8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0.9:1</w:t>
            </w:r>
          </w:p>
        </w:tc>
        <w:tc>
          <w:tcPr>
            <w:tcW w:w="137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0.6:1</w:t>
            </w:r>
          </w:p>
        </w:tc>
      </w:tr>
    </w:tbl>
    <w:p>
      <w:pPr>
        <w:pStyle w:val="TextBody"/>
        <w:bidi w:val="0"/>
        <w:spacing w:before="180" w:after="283"/>
        <w:jc w:val="left"/>
        <w:rPr>
          <w:rFonts w:ascii="Clario;sans-serif" w:hAnsi="Clario;sans-serif"/>
          <w:b/>
          <w:i/>
          <w:color w:val="404040"/>
          <w:sz w:val="18"/>
        </w:rPr>
      </w:pPr>
      <w:r>
        <w:rPr>
          <w:rFonts w:ascii="Clario;sans-serif" w:hAnsi="Clario;sans-serif"/>
          <w:b/>
          <w:i/>
          <w:color w:val="404040"/>
          <w:sz w:val="18"/>
        </w:rPr>
        <w:t>Reconciliation of changes in revenues to changes in revenues excluding the effects of foreign currency (constant currency) as well as acquisitions/disposals (organic basis)</w:t>
      </w:r>
    </w:p>
    <w:p>
      <w:pPr>
        <w:pStyle w:val="TextBody"/>
        <w:bidi w:val="0"/>
        <w:jc w:val="left"/>
        <w:rPr/>
      </w:pPr>
      <w:r>
        <w:rPr/>
        <w:t> </w:t>
      </w:r>
    </w:p>
    <w:tbl>
      <w:tblPr>
        <w:tblW w:w="9912" w:type="dxa"/>
        <w:jc w:val="left"/>
        <w:tblInd w:w="0" w:type="dxa"/>
        <w:tblLayout w:type="fixed"/>
        <w:tblCellMar>
          <w:top w:w="28" w:type="dxa"/>
          <w:left w:w="28" w:type="dxa"/>
          <w:bottom w:w="28" w:type="dxa"/>
          <w:right w:w="28" w:type="dxa"/>
        </w:tblCellMar>
      </w:tblPr>
      <w:tblGrid>
        <w:gridCol w:w="3726"/>
        <w:gridCol w:w="661"/>
        <w:gridCol w:w="146"/>
        <w:gridCol w:w="646"/>
        <w:gridCol w:w="146"/>
        <w:gridCol w:w="541"/>
        <w:gridCol w:w="262"/>
        <w:gridCol w:w="624"/>
        <w:gridCol w:w="146"/>
        <w:gridCol w:w="886"/>
        <w:gridCol w:w="347"/>
        <w:gridCol w:w="824"/>
        <w:gridCol w:w="146"/>
        <w:gridCol w:w="811"/>
      </w:tblGrid>
      <w:tr>
        <w:trPr/>
        <w:tc>
          <w:tcPr>
            <w:tcW w:w="37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6" w:type="dxa"/>
            <w:gridSpan w:val="1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June 30,</w:t>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9"/>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Total</w:t>
            </w:r>
          </w:p>
        </w:tc>
        <w:tc>
          <w:tcPr>
            <w:tcW w:w="88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Subtotal</w:t>
              <w:br/>
              <w:t>Constant</w:t>
              <w:br/>
              <w:t>Currency</w:t>
            </w:r>
          </w:p>
        </w:tc>
        <w:tc>
          <w:tcPr>
            <w:tcW w:w="117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Net</w:t>
              <w:br/>
              <w:t>Acquisitions/</w:t>
              <w:br/>
              <w:t>(Disposals)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Organic</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3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3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Recurring Revenues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6%</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3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Recurring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1,601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1,463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Transactions Revenues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18%</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24%</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3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13%</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3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Transactions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3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28</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4" w:type="dxa"/>
        <w:jc w:val="left"/>
        <w:tblInd w:w="0" w:type="dxa"/>
        <w:tblLayout w:type="fixed"/>
        <w:tblCellMar>
          <w:top w:w="28" w:type="dxa"/>
          <w:left w:w="28" w:type="dxa"/>
          <w:bottom w:w="28" w:type="dxa"/>
          <w:right w:w="28" w:type="dxa"/>
        </w:tblCellMar>
      </w:tblPr>
      <w:tblGrid>
        <w:gridCol w:w="3726"/>
        <w:gridCol w:w="661"/>
        <w:gridCol w:w="146"/>
        <w:gridCol w:w="646"/>
        <w:gridCol w:w="146"/>
        <w:gridCol w:w="541"/>
        <w:gridCol w:w="146"/>
        <w:gridCol w:w="886"/>
        <w:gridCol w:w="146"/>
        <w:gridCol w:w="886"/>
        <w:gridCol w:w="146"/>
        <w:gridCol w:w="1171"/>
        <w:gridCol w:w="146"/>
        <w:gridCol w:w="811"/>
      </w:tblGrid>
      <w:tr>
        <w:trPr/>
        <w:tc>
          <w:tcPr>
            <w:tcW w:w="37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8" w:type="dxa"/>
            <w:gridSpan w:val="1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 June 30,</w:t>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4879" w:type="dxa"/>
            <w:gridSpan w:val="9"/>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Subtotal</w:t>
              <w:br/>
              <w:t>Constant</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Net</w:t>
              <w:br/>
              <w:t>Acquisitions/</w:t>
              <w:br/>
              <w:t>(Disposals)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Organic</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4,041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3,685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Recurring Revenues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Recurring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3,196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2,914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Transactions Revenues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16%</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12%</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6%</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Transactions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bl>
    <w:p>
      <w:pPr>
        <w:pStyle w:val="TextBody"/>
        <w:bidi w:val="0"/>
        <w:jc w:val="left"/>
        <w:rPr/>
      </w:pPr>
      <w:r>
        <w:rPr/>
        <w:t> </w:t>
      </w:r>
    </w:p>
    <w:p>
      <w:pPr>
        <w:pStyle w:val="TextBody"/>
        <w:bidi w:val="0"/>
        <w:jc w:val="left"/>
        <w:rPr/>
      </w:pPr>
      <w:r>
        <w:rPr/>
        <w:t> </w:t>
      </w:r>
    </w:p>
    <w:tbl>
      <w:tblPr>
        <w:tblW w:w="9897" w:type="dxa"/>
        <w:jc w:val="left"/>
        <w:tblInd w:w="0" w:type="dxa"/>
        <w:tblLayout w:type="fixed"/>
        <w:tblCellMar>
          <w:top w:w="28" w:type="dxa"/>
          <w:left w:w="28" w:type="dxa"/>
          <w:bottom w:w="28" w:type="dxa"/>
          <w:right w:w="28" w:type="dxa"/>
        </w:tblCellMar>
      </w:tblPr>
      <w:tblGrid>
        <w:gridCol w:w="3726"/>
        <w:gridCol w:w="646"/>
        <w:gridCol w:w="146"/>
        <w:gridCol w:w="646"/>
        <w:gridCol w:w="146"/>
        <w:gridCol w:w="541"/>
        <w:gridCol w:w="262"/>
        <w:gridCol w:w="624"/>
        <w:gridCol w:w="146"/>
        <w:gridCol w:w="886"/>
        <w:gridCol w:w="301"/>
        <w:gridCol w:w="870"/>
        <w:gridCol w:w="146"/>
        <w:gridCol w:w="811"/>
      </w:tblGrid>
      <w:tr>
        <w:trPr/>
        <w:tc>
          <w:tcPr>
            <w:tcW w:w="37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1" w:type="dxa"/>
            <w:gridSpan w:val="1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Year ended December 31,</w:t>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9"/>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2024</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FFFFFF"/>
                <w:sz w:val="16"/>
              </w:rPr>
            </w:pPr>
            <w:r>
              <w:rPr>
                <w:rFonts w:ascii="Clario;sans-serif" w:hAnsi="Clario;sans-serif"/>
                <w:color w:val="FFFFFF"/>
                <w:sz w:val="16"/>
              </w:rPr>
              <w:t>Total</w:t>
            </w:r>
          </w:p>
        </w:tc>
        <w:tc>
          <w:tcPr>
            <w:tcW w:w="88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Subtotal</w:t>
              <w:br/>
              <w:t>Constant</w:t>
              <w:br/>
              <w:t>Currency</w:t>
            </w:r>
          </w:p>
        </w:tc>
        <w:tc>
          <w:tcPr>
            <w:tcW w:w="117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Net</w:t>
              <w:br/>
              <w:t>Acquisitions/</w:t>
              <w:br/>
              <w:t>(Disposals)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Organic</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Revenues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1,291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1,154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3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Revenues</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7,258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3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bl>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29</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Clario;sans-serif" w:hAnsi="Clario;sans-serif"/>
          <w:b/>
          <w:i/>
          <w:color w:val="404040"/>
          <w:sz w:val="18"/>
        </w:rPr>
        <w:t>Reconciliation of changes in adjusted EBITDA and the related margin, consolidated operating expenses and adjusted EPS, excluding the effects of foreign currency</w:t>
      </w:r>
      <w:r>
        <w:rPr>
          <w:rFonts w:ascii="Times New Roman" w:hAnsi="Times New Roman"/>
          <w:color w:val="404040"/>
          <w:sz w:val="20"/>
        </w:rPr>
        <w:t xml:space="preserve"> </w:t>
      </w:r>
    </w:p>
    <w:p>
      <w:pPr>
        <w:pStyle w:val="TextBody"/>
        <w:bidi w:val="0"/>
        <w:jc w:val="left"/>
        <w:rPr/>
      </w:pPr>
      <w:r>
        <w:rPr/>
        <w:t> </w:t>
      </w:r>
    </w:p>
    <w:tbl>
      <w:tblPr>
        <w:tblW w:w="10173" w:type="dxa"/>
        <w:jc w:val="left"/>
        <w:tblInd w:w="0" w:type="dxa"/>
        <w:tblLayout w:type="fixed"/>
        <w:tblCellMar>
          <w:top w:w="28" w:type="dxa"/>
          <w:left w:w="28" w:type="dxa"/>
          <w:bottom w:w="28" w:type="dxa"/>
          <w:right w:w="28" w:type="dxa"/>
        </w:tblCellMar>
      </w:tblPr>
      <w:tblGrid>
        <w:gridCol w:w="4819"/>
        <w:gridCol w:w="188"/>
        <w:gridCol w:w="188"/>
        <w:gridCol w:w="188"/>
        <w:gridCol w:w="146"/>
        <w:gridCol w:w="721"/>
        <w:gridCol w:w="146"/>
        <w:gridCol w:w="691"/>
        <w:gridCol w:w="146"/>
        <w:gridCol w:w="736"/>
        <w:gridCol w:w="146"/>
        <w:gridCol w:w="931"/>
        <w:gridCol w:w="146"/>
        <w:gridCol w:w="981"/>
      </w:tblGrid>
      <w:tr>
        <w:trPr/>
        <w:tc>
          <w:tcPr>
            <w:tcW w:w="48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4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4" w:type="dxa"/>
            <w:gridSpan w:val="9"/>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June 30,</w:t>
            </w:r>
          </w:p>
        </w:tc>
      </w:tr>
      <w:tr>
        <w:trPr/>
        <w:tc>
          <w:tcPr>
            <w:tcW w:w="4819"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940"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5383" w:type="dxa"/>
            <w:gridSpan w:val="4"/>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8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r>
      <w:tr>
        <w:trPr/>
        <w:tc>
          <w:tcPr>
            <w:tcW w:w="481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481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15%</w:t>
            </w:r>
          </w:p>
        </w:tc>
      </w:tr>
      <w:tr>
        <w:trPr/>
        <w:tc>
          <w:tcPr>
            <w:tcW w:w="4819"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481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w:t>
            </w:r>
          </w:p>
        </w:tc>
      </w:tr>
      <w:tr>
        <w:trPr/>
        <w:tc>
          <w:tcPr>
            <w:tcW w:w="481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w:t>
            </w:r>
          </w:p>
        </w:tc>
      </w:tr>
      <w:tr>
        <w:trPr/>
        <w:tc>
          <w:tcPr>
            <w:tcW w:w="481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w:t>
            </w:r>
          </w:p>
        </w:tc>
      </w:tr>
      <w:tr>
        <w:trPr/>
        <w:tc>
          <w:tcPr>
            <w:tcW w:w="4819"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r>
      <w:tr>
        <w:trPr/>
        <w:tc>
          <w:tcPr>
            <w:tcW w:w="48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4819"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 Margin</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1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(10)bp</w:t>
            </w:r>
          </w:p>
        </w:tc>
      </w:tr>
      <w:tr>
        <w:trPr/>
        <w:tc>
          <w:tcPr>
            <w:tcW w:w="4819"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130bp</w:t>
            </w:r>
          </w:p>
        </w:tc>
      </w:tr>
      <w:tr>
        <w:trPr/>
        <w:tc>
          <w:tcPr>
            <w:tcW w:w="4819"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r>
      <w:tr>
        <w:trPr/>
        <w:tc>
          <w:tcPr>
            <w:tcW w:w="4819"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30bp</w:t>
            </w:r>
          </w:p>
        </w:tc>
      </w:tr>
      <w:tr>
        <w:trPr/>
        <w:tc>
          <w:tcPr>
            <w:tcW w:w="481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80bp</w:t>
            </w:r>
          </w:p>
        </w:tc>
      </w:tr>
      <w:tr>
        <w:trPr/>
        <w:tc>
          <w:tcPr>
            <w:tcW w:w="4819"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170bp</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150bp</w:t>
            </w:r>
          </w:p>
        </w:tc>
      </w:tr>
      <w:tr>
        <w:trPr/>
        <w:tc>
          <w:tcPr>
            <w:tcW w:w="48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 Margin</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r>
      <w:tr>
        <w:trPr/>
        <w:tc>
          <w:tcPr>
            <w:tcW w:w="4819"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expenses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48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EPS</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$0.99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40"/>
        <w:gridCol w:w="186"/>
        <w:gridCol w:w="186"/>
        <w:gridCol w:w="186"/>
        <w:gridCol w:w="146"/>
        <w:gridCol w:w="719"/>
        <w:gridCol w:w="146"/>
        <w:gridCol w:w="689"/>
        <w:gridCol w:w="146"/>
        <w:gridCol w:w="852"/>
        <w:gridCol w:w="146"/>
        <w:gridCol w:w="931"/>
        <w:gridCol w:w="146"/>
        <w:gridCol w:w="986"/>
      </w:tblGrid>
      <w:tr>
        <w:trPr/>
        <w:tc>
          <w:tcPr>
            <w:tcW w:w="474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1" w:type="dxa"/>
            <w:gridSpan w:val="9"/>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 June 30,</w:t>
            </w:r>
          </w:p>
        </w:tc>
      </w:tr>
      <w:tr>
        <w:trPr/>
        <w:tc>
          <w:tcPr>
            <w:tcW w:w="4740"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3061"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5298" w:type="dxa"/>
            <w:gridSpan w:val="4"/>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14%</w:t>
            </w:r>
          </w:p>
        </w:tc>
      </w:tr>
      <w:tr>
        <w:trPr/>
        <w:tc>
          <w:tcPr>
            <w:tcW w:w="4740"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w:t>
            </w:r>
          </w:p>
        </w:tc>
      </w:tr>
      <w:tr>
        <w:trPr/>
        <w:tc>
          <w:tcPr>
            <w:tcW w:w="4740"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r>
      <w:tr>
        <w:trPr/>
        <w:tc>
          <w:tcPr>
            <w:tcW w:w="47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 Margin</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(20)bp</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130bp</w:t>
            </w:r>
          </w:p>
        </w:tc>
      </w:tr>
      <w:tr>
        <w:trPr/>
        <w:tc>
          <w:tcPr>
            <w:tcW w:w="4740"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(140)bp</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w:t>
            </w:r>
          </w:p>
        </w:tc>
      </w:tr>
      <w:tr>
        <w:trPr/>
        <w:tc>
          <w:tcPr>
            <w:tcW w:w="47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(50)bp</w:t>
            </w:r>
          </w:p>
        </w:tc>
      </w:tr>
      <w:tr>
        <w:trPr/>
        <w:tc>
          <w:tcPr>
            <w:tcW w:w="4740"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130bp</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120bp</w:t>
            </w:r>
          </w:p>
        </w:tc>
      </w:tr>
      <w:tr>
        <w:trPr/>
        <w:tc>
          <w:tcPr>
            <w:tcW w:w="47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 Margin</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expenses</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47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EPS</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bl>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30</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color w:val="404040"/>
        </w:rPr>
      </w:pPr>
      <w:r>
        <w:rPr>
          <w:color w:val="404040"/>
        </w:rPr>
        <w:t>“</w:t>
      </w:r>
      <w:r>
        <w:rPr>
          <w:rFonts w:ascii="Clario;sans-serif" w:hAnsi="Clario;sans-serif"/>
          <w:b/>
          <w:i/>
          <w:color w:val="404040"/>
          <w:sz w:val="18"/>
        </w:rPr>
        <w:t>Big 3” segments and consolidated adjusted EBITDA and the related margins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54"/>
        <w:gridCol w:w="227"/>
        <w:gridCol w:w="227"/>
        <w:gridCol w:w="227"/>
        <w:gridCol w:w="227"/>
        <w:gridCol w:w="227"/>
        <w:gridCol w:w="227"/>
        <w:gridCol w:w="227"/>
        <w:gridCol w:w="227"/>
        <w:gridCol w:w="384"/>
        <w:gridCol w:w="246"/>
        <w:gridCol w:w="246"/>
        <w:gridCol w:w="246"/>
        <w:gridCol w:w="1513"/>
      </w:tblGrid>
      <w:tr>
        <w:trPr/>
        <w:tc>
          <w:tcPr>
            <w:tcW w:w="57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5" w:type="dxa"/>
            <w:gridSpan w:val="5"/>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Year ended December 31,</w:t>
            </w:r>
          </w:p>
        </w:tc>
      </w:tr>
      <w:tr>
        <w:trPr/>
        <w:tc>
          <w:tcPr>
            <w:tcW w:w="5754"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AFAFAF"/>
            </w:tcBorders>
            <w:shd w:fill="666666" w:val="clear"/>
            <w:tcMar>
              <w:left w:w="0" w:type="dxa"/>
              <w:bottom w:w="0" w:type="dxa"/>
              <w:right w:w="0" w:type="dxa"/>
            </w:tcMar>
            <w:vAlign w:val="center"/>
          </w:tcPr>
          <w:p>
            <w:pPr>
              <w:pStyle w:val="TableContents"/>
              <w:bidi w:val="0"/>
              <w:spacing w:before="0" w:after="283"/>
              <w:jc w:val="center"/>
              <w:rPr/>
            </w:pPr>
            <w:r>
              <w:rPr/>
              <w:t> </w:t>
            </w:r>
          </w:p>
        </w:tc>
        <w:tc>
          <w:tcPr>
            <w:tcW w:w="246" w:type="dxa"/>
            <w:tcBorders>
              <w:top w:val="single" w:sz="4" w:space="0" w:color="000000"/>
            </w:tcBorders>
            <w:shd w:fill="666666" w:val="clear"/>
            <w:tcMar>
              <w:left w:w="0" w:type="dxa"/>
              <w:bottom w:w="0" w:type="dxa"/>
              <w:right w:w="0" w:type="dxa"/>
            </w:tcMar>
            <w:vAlign w:val="center"/>
          </w:tcPr>
          <w:p>
            <w:pPr>
              <w:pStyle w:val="TableContents"/>
              <w:bidi w:val="0"/>
              <w:spacing w:before="0" w:after="283"/>
              <w:jc w:val="left"/>
              <w:rPr/>
            </w:pPr>
            <w:r>
              <w:rPr/>
              <w:t> </w:t>
            </w:r>
          </w:p>
        </w:tc>
        <w:tc>
          <w:tcPr>
            <w:tcW w:w="1513" w:type="dxa"/>
            <w:tcBorders>
              <w:top w:val="single" w:sz="4" w:space="0" w:color="AFAFAF"/>
            </w:tcBorders>
            <w:shd w:fill="666666" w:val="clear"/>
            <w:tcMar>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1,354</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727</w:t>
            </w:r>
          </w:p>
        </w:tc>
      </w:tr>
      <w:tr>
        <w:trPr/>
        <w:tc>
          <w:tcPr>
            <w:tcW w:w="5754"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614</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2,695</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174</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185</w:t>
            </w:r>
          </w:p>
        </w:tc>
      </w:tr>
      <w:tr>
        <w:trPr/>
        <w:tc>
          <w:tcPr>
            <w:tcW w:w="5754"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(118)</w:t>
            </w:r>
          </w:p>
        </w:tc>
      </w:tr>
      <w:tr>
        <w:trPr/>
        <w:tc>
          <w:tcPr>
            <w:tcW w:w="57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"Big 3" Segments Combined</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2,695</w:t>
            </w:r>
          </w:p>
        </w:tc>
      </w:tr>
      <w:tr>
        <w:trPr/>
        <w:tc>
          <w:tcPr>
            <w:tcW w:w="7954" w:type="dxa"/>
            <w:gridSpan w:val="10"/>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 excluding $20 million of fair value adjustments to acquired 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6,177</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 margin</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43.6%</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Consolidated</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r>
      <w:tr>
        <w:trPr/>
        <w:tc>
          <w:tcPr>
            <w:tcW w:w="7954" w:type="dxa"/>
            <w:gridSpan w:val="10"/>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 excluding $20 million of fair value adjustments to acquired 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7,496</w:t>
            </w:r>
          </w:p>
        </w:tc>
      </w:tr>
      <w:tr>
        <w:trPr/>
        <w:tc>
          <w:tcPr>
            <w:tcW w:w="57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 margin</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r>
    </w:tbl>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Reconciliation of adjusted EBITDA margin</w:t>
      </w:r>
    </w:p>
    <w:p>
      <w:pPr>
        <w:pStyle w:val="TextBody"/>
        <w:bidi w:val="0"/>
        <w:spacing w:before="100" w:after="283"/>
        <w:jc w:val="left"/>
        <w:rPr>
          <w:rFonts w:ascii="Times New Roman" w:hAnsi="Times New Roman"/>
          <w:sz w:val="20"/>
        </w:rPr>
      </w:pPr>
      <w:r>
        <w:rPr>
          <w:rFonts w:ascii="Clario;sans-serif" w:hAnsi="Clario;sans-serif"/>
          <w:color w:val="404040"/>
          <w:sz w:val="18"/>
        </w:rPr>
        <w:t>To compute segment and consolidated adjusted EBITDA margin, we exclude fair value adjustments related to acquired deferred revenue from our IFRS revenues. The chart below reconciles IFRS revenues to revenues used in the calculation of adjusted EBITDA margin, which excludes fair value adjustments related to acquired deferred revenue.</w:t>
      </w:r>
      <w:r>
        <w:rPr>
          <w:rFonts w:ascii="Times New Roman" w:hAnsi="Times New Roman"/>
          <w:color w:val="404040"/>
          <w:sz w:val="20"/>
        </w:rPr>
        <w:t xml:space="preserve"> </w:t>
      </w:r>
    </w:p>
    <w:p>
      <w:pPr>
        <w:pStyle w:val="TextBody"/>
        <w:bidi w:val="0"/>
        <w:jc w:val="left"/>
        <w:rPr/>
      </w:pPr>
      <w:r>
        <w:rPr/>
        <w:t> </w:t>
      </w:r>
    </w:p>
    <w:tbl>
      <w:tblPr>
        <w:tblW w:w="10116" w:type="dxa"/>
        <w:jc w:val="left"/>
        <w:tblInd w:w="0" w:type="dxa"/>
        <w:tblLayout w:type="fixed"/>
        <w:tblCellMar>
          <w:top w:w="28" w:type="dxa"/>
          <w:left w:w="28" w:type="dxa"/>
          <w:bottom w:w="28" w:type="dxa"/>
          <w:right w:w="28" w:type="dxa"/>
        </w:tblCellMar>
      </w:tblPr>
      <w:tblGrid>
        <w:gridCol w:w="3726"/>
        <w:gridCol w:w="146"/>
        <w:gridCol w:w="1051"/>
        <w:gridCol w:w="146"/>
        <w:gridCol w:w="1261"/>
        <w:gridCol w:w="146"/>
        <w:gridCol w:w="1261"/>
        <w:gridCol w:w="146"/>
        <w:gridCol w:w="1021"/>
        <w:gridCol w:w="146"/>
        <w:gridCol w:w="1066"/>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IFRS </w:t>
              <w:br/>
              <w:t>revenues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Remove fair</w:t>
              <w:br/>
              <w:t>value</w:t>
              <w:br/>
              <w:t>adjustments</w:t>
              <w:br/>
              <w:t>to acquired</w:t>
              <w:br/>
              <w:t>deferred</w:t>
              <w:br/>
              <w:t>revenue</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Revenues</w:t>
              <w:br/>
              <w:t xml:space="preserve">excluding </w:t>
              <w:br/>
              <w:t>fair value</w:t>
              <w:br/>
              <w:t>adjustments</w:t>
              <w:br/>
              <w:t>to acquired</w:t>
              <w:br/>
              <w:t xml:space="preserve">deferred </w:t>
              <w:br/>
              <w:t>revenue</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Adjusted</w:t>
              <w:br/>
              <w:t>EBITDA</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Adjusted</w:t>
              <w:br/>
              <w:t>EBITDA</w:t>
              <w:br/>
              <w:t>margin</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48.1%</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37.2%</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38.7%</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42.7%</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20.8%</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37.7%</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n/a</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n/a</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Consolidated totals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38.1%</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48.2%</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38.7%</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47.3%</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44.8%</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18.6%</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38.2%</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n/a</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n/a</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Consolidated totals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40.2%</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48.1%</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35.7%</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38.9%</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42.3%</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20.8%</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36.0%</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n/a</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Consolidated totals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37.8%</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48.4%</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37.6%</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48.9%</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44.9%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20.4%</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36.9%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n/a</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Consolidated totals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3,685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3,705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1,487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32</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b/>
          <w:color w:val="404040"/>
          <w:sz w:val="24"/>
        </w:rPr>
        <w:t>Appendix C</w:t>
      </w:r>
      <w:r>
        <w:rPr>
          <w:rFonts w:ascii="Times New Roman" w:hAnsi="Times New Roman"/>
          <w:color w:val="404040"/>
          <w:sz w:val="20"/>
        </w:rPr>
        <w:t xml:space="preserve"> </w:t>
      </w:r>
    </w:p>
    <w:p>
      <w:pPr>
        <w:pStyle w:val="TextBody"/>
        <w:bidi w:val="0"/>
        <w:spacing w:before="100" w:after="283"/>
        <w:jc w:val="both"/>
        <w:rPr>
          <w:rFonts w:ascii="Clario;sans-serif" w:hAnsi="Clario;sans-serif"/>
          <w:b/>
          <w:i/>
          <w:color w:val="404040"/>
          <w:sz w:val="18"/>
        </w:rPr>
      </w:pPr>
      <w:r>
        <w:rPr>
          <w:rFonts w:ascii="Clario;sans-serif" w:hAnsi="Clario;sans-serif"/>
          <w:b/>
          <w:i/>
          <w:color w:val="404040"/>
          <w:sz w:val="18"/>
        </w:rPr>
        <w:t>Quarterly information (unaudited)</w:t>
      </w:r>
    </w:p>
    <w:p>
      <w:pPr>
        <w:pStyle w:val="TextBody"/>
        <w:bidi w:val="0"/>
        <w:spacing w:before="100" w:after="283"/>
        <w:jc w:val="both"/>
        <w:rPr>
          <w:rFonts w:ascii="Clario;sans-serif" w:hAnsi="Clario;sans-serif"/>
          <w:color w:val="404040"/>
          <w:sz w:val="18"/>
        </w:rPr>
      </w:pPr>
      <w:r>
        <w:rPr>
          <w:rFonts w:ascii="Clario;sans-serif" w:hAnsi="Clario;sans-serif"/>
          <w:color w:val="404040"/>
          <w:sz w:val="18"/>
        </w:rPr>
        <w:t>The following table presents a summary of our consolidated operating results for the eight most recent quarters.</w:t>
      </w:r>
    </w:p>
    <w:p>
      <w:pPr>
        <w:pStyle w:val="TextBody"/>
        <w:bidi w:val="0"/>
        <w:jc w:val="both"/>
        <w:rPr/>
      </w:pPr>
      <w:r>
        <w:rPr/>
        <w:t> </w:t>
      </w:r>
    </w:p>
    <w:tbl>
      <w:tblPr>
        <w:tblW w:w="9369" w:type="dxa"/>
        <w:jc w:val="left"/>
        <w:tblInd w:w="0" w:type="dxa"/>
        <w:tblLayout w:type="fixed"/>
        <w:tblCellMar>
          <w:top w:w="28" w:type="dxa"/>
          <w:left w:w="28" w:type="dxa"/>
          <w:bottom w:w="28" w:type="dxa"/>
          <w:right w:w="28" w:type="dxa"/>
        </w:tblCellMar>
      </w:tblPr>
      <w:tblGrid>
        <w:gridCol w:w="2686"/>
        <w:gridCol w:w="646"/>
        <w:gridCol w:w="676"/>
        <w:gridCol w:w="1021"/>
        <w:gridCol w:w="1096"/>
        <w:gridCol w:w="571"/>
        <w:gridCol w:w="616"/>
        <w:gridCol w:w="976"/>
        <w:gridCol w:w="1081"/>
      </w:tblGrid>
      <w:tr>
        <w:trPr/>
        <w:tc>
          <w:tcPr>
            <w:tcW w:w="26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3"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7"/>
              </w:rPr>
            </w:pPr>
            <w:r>
              <w:rPr>
                <w:rFonts w:ascii="Clario;sans-serif" w:hAnsi="Clario;sans-serif"/>
                <w:b/>
                <w:color w:val="404040"/>
                <w:sz w:val="17"/>
              </w:rPr>
              <w:t>Quarters ended</w:t>
            </w:r>
          </w:p>
        </w:tc>
      </w:tr>
      <w:tr>
        <w:trPr/>
        <w:tc>
          <w:tcPr>
            <w:tcW w:w="26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7"/>
              </w:rPr>
            </w:pPr>
            <w:r>
              <w:rPr>
                <w:rFonts w:ascii="Clario;sans-serif" w:hAnsi="Clario;sans-serif"/>
                <w:b/>
                <w:color w:val="FFFFFF"/>
                <w:sz w:val="17"/>
              </w:rPr>
              <w:t xml:space="preserve">(millions of U.S. dollars, </w:t>
              <w:br/>
              <w:t xml:space="preserve">   except per share </w:t>
              <w:br/>
              <w:t>   amounts)</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June</w:t>
              <w:br/>
              <w:t> 30,</w:t>
              <w:br/>
              <w:t>2026</w:t>
            </w:r>
          </w:p>
        </w:tc>
        <w:tc>
          <w:tcPr>
            <w:tcW w:w="67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March</w:t>
              <w:br/>
              <w:t> 31,</w:t>
              <w:br/>
              <w:t>2026</w:t>
            </w:r>
          </w:p>
        </w:tc>
        <w:tc>
          <w:tcPr>
            <w:tcW w:w="10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December</w:t>
              <w:br/>
              <w:t> 31,</w:t>
              <w:br/>
              <w:t> 2025</w:t>
            </w:r>
          </w:p>
        </w:tc>
        <w:tc>
          <w:tcPr>
            <w:tcW w:w="10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September</w:t>
              <w:br/>
              <w:t> 30,</w:t>
              <w:br/>
              <w:t>2025</w:t>
            </w:r>
          </w:p>
        </w:tc>
        <w:tc>
          <w:tcPr>
            <w:tcW w:w="57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June</w:t>
              <w:br/>
              <w:t> 30,</w:t>
              <w:br/>
              <w:t>2025</w:t>
            </w:r>
          </w:p>
        </w:tc>
        <w:tc>
          <w:tcPr>
            <w:tcW w:w="61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March</w:t>
              <w:br/>
              <w:t> 31,</w:t>
              <w:br/>
              <w:t>2025</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December</w:t>
              <w:br/>
              <w:t> 31,</w:t>
              <w:br/>
              <w:t> 2024</w:t>
            </w:r>
          </w:p>
        </w:tc>
        <w:tc>
          <w:tcPr>
            <w:tcW w:w="108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September</w:t>
              <w:br/>
              <w:t> 30,</w:t>
              <w:br/>
              <w:t>2024</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Revenues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1,954</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2,087</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2,009</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1,782</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1,785</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1,900</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1,909</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1,724</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Operating profit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558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639</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540</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593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436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563</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722</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415</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 xml:space="preserve">Earnings from continuing </w:t>
              <w:br/>
              <w:t>   operations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444</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477</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333</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428</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297</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425</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607</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277</w:t>
            </w:r>
          </w:p>
        </w:tc>
      </w:tr>
      <w:tr>
        <w:trPr/>
        <w:tc>
          <w:tcPr>
            <w:tcW w:w="26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 xml:space="preserve">Earnings (loss) from </w:t>
              <w:br/>
              <w:t>   discontinued operations,</w:t>
              <w:br/>
              <w:t>   net of tax</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w:t>
            </w:r>
          </w:p>
        </w:tc>
        <w:tc>
          <w:tcPr>
            <w:tcW w:w="6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(18)</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(5)</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16</w:t>
            </w:r>
          </w:p>
        </w:tc>
        <w:tc>
          <w:tcPr>
            <w:tcW w:w="6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9</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(20)</w:t>
            </w:r>
          </w:p>
        </w:tc>
        <w:tc>
          <w:tcPr>
            <w:tcW w:w="10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24</w:t>
            </w:r>
          </w:p>
        </w:tc>
      </w:tr>
      <w:tr>
        <w:trPr/>
        <w:tc>
          <w:tcPr>
            <w:tcW w:w="26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Net earnings</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448</w:t>
            </w:r>
          </w:p>
        </w:tc>
        <w:tc>
          <w:tcPr>
            <w:tcW w:w="6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459</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332</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423</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313</w:t>
            </w:r>
          </w:p>
        </w:tc>
        <w:tc>
          <w:tcPr>
            <w:tcW w:w="6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434</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587</w:t>
            </w:r>
          </w:p>
        </w:tc>
        <w:tc>
          <w:tcPr>
            <w:tcW w:w="10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301</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 xml:space="preserve">Earnings attributable to </w:t>
              <w:br/>
              <w:t>   common shareholders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448</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459</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332</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423</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313</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434</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587</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301</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 xml:space="preserve">Basic earnings (loss) per </w:t>
              <w:br/>
              <w:t>   share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From continuing operations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$1.07</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$0.75</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$0.95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$0.94</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$1.35</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$0.61</w:t>
            </w:r>
          </w:p>
        </w:tc>
      </w:tr>
      <w:tr>
        <w:trPr/>
        <w:tc>
          <w:tcPr>
            <w:tcW w:w="26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 xml:space="preserve">From discontinued </w:t>
              <w:br/>
              <w:t>   operations</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0.01</w:t>
            </w:r>
          </w:p>
        </w:tc>
        <w:tc>
          <w:tcPr>
            <w:tcW w:w="6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(0.04)</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(0.01)</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(0.01)</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0.03</w:t>
            </w:r>
          </w:p>
        </w:tc>
        <w:tc>
          <w:tcPr>
            <w:tcW w:w="6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0.02</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(0.05)</w:t>
            </w:r>
          </w:p>
        </w:tc>
        <w:tc>
          <w:tcPr>
            <w:tcW w:w="10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0.06</w:t>
            </w:r>
          </w:p>
        </w:tc>
      </w:tr>
      <w:tr>
        <w:trPr/>
        <w:tc>
          <w:tcPr>
            <w:tcW w:w="26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$1.02</w:t>
            </w:r>
          </w:p>
        </w:tc>
        <w:tc>
          <w:tcPr>
            <w:tcW w:w="6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$1.03</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$0.74</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$0.94</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$0.69</w:t>
            </w:r>
          </w:p>
        </w:tc>
        <w:tc>
          <w:tcPr>
            <w:tcW w:w="6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$0.96</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$1.30</w:t>
            </w:r>
          </w:p>
        </w:tc>
        <w:tc>
          <w:tcPr>
            <w:tcW w:w="10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$0.67</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 xml:space="preserve">Diluted earnings (loss) per </w:t>
              <w:br/>
              <w:t>   share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From continuing operations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$1.07</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$0.75</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$0.95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$0.94</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$1.34</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$0.61</w:t>
            </w:r>
          </w:p>
        </w:tc>
      </w:tr>
      <w:tr>
        <w:trPr/>
        <w:tc>
          <w:tcPr>
            <w:tcW w:w="26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 xml:space="preserve">From discontinued </w:t>
              <w:br/>
              <w:t>   operations</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0.01</w:t>
            </w:r>
          </w:p>
        </w:tc>
        <w:tc>
          <w:tcPr>
            <w:tcW w:w="6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(0.04)</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(0.01)</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(0.01)</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0.03</w:t>
            </w:r>
          </w:p>
        </w:tc>
        <w:tc>
          <w:tcPr>
            <w:tcW w:w="6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0.02</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(0.04)</w:t>
            </w:r>
          </w:p>
        </w:tc>
        <w:tc>
          <w:tcPr>
            <w:tcW w:w="10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0.06</w:t>
            </w:r>
          </w:p>
        </w:tc>
      </w:tr>
      <w:tr>
        <w:trPr/>
        <w:tc>
          <w:tcPr>
            <w:tcW w:w="26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$1.02</w:t>
            </w:r>
          </w:p>
        </w:tc>
        <w:tc>
          <w:tcPr>
            <w:tcW w:w="6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$1.03</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$0.74</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$0.94</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$0.69</w:t>
            </w:r>
          </w:p>
        </w:tc>
        <w:tc>
          <w:tcPr>
            <w:tcW w:w="6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$0.96</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$1.30</w:t>
            </w:r>
          </w:p>
        </w:tc>
        <w:tc>
          <w:tcPr>
            <w:tcW w:w="10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$0.67</w:t>
            </w:r>
          </w:p>
        </w:tc>
      </w:tr>
    </w:tbl>
    <w:p>
      <w:pPr>
        <w:pStyle w:val="TextBody"/>
        <w:bidi w:val="0"/>
        <w:jc w:val="both"/>
        <w:rPr/>
      </w:pPr>
      <w:r>
        <w:rPr/>
        <w:t> </w:t>
      </w:r>
    </w:p>
    <w:p>
      <w:pPr>
        <w:pStyle w:val="TextBody"/>
        <w:bidi w:val="0"/>
        <w:spacing w:before="100" w:after="283"/>
        <w:jc w:val="left"/>
        <w:rPr>
          <w:rFonts w:ascii="Times New Roman" w:hAnsi="Times New Roman"/>
          <w:sz w:val="20"/>
        </w:rPr>
      </w:pPr>
      <w:r>
        <w:rPr>
          <w:rFonts w:ascii="Clario;sans-serif" w:hAnsi="Clario;sans-serif"/>
          <w:b/>
          <w:color w:val="404040"/>
          <w:sz w:val="18"/>
        </w:rPr>
        <w:t>Revenues</w:t>
      </w:r>
      <w:r>
        <w:rPr>
          <w:rFonts w:ascii="Times New Roman" w:hAnsi="Times New Roman"/>
          <w:color w:val="404040"/>
          <w:sz w:val="20"/>
        </w:rPr>
        <w:t xml:space="preserve"> </w:t>
      </w:r>
      <w:r>
        <w:rPr>
          <w:rFonts w:ascii="Clario;sans-serif" w:hAnsi="Clario;sans-serif"/>
          <w:color w:val="404040"/>
          <w:sz w:val="20"/>
        </w:rPr>
        <w:t xml:space="preserve">- </w:t>
      </w:r>
      <w:r>
        <w:rPr>
          <w:rFonts w:ascii="Clario;sans-serif" w:hAnsi="Clario;sans-serif"/>
          <w:color w:val="404040"/>
          <w:sz w:val="18"/>
        </w:rPr>
        <w:t>Our company revenues on a consolidated basis do not tend to be significantly impacted by seasonality as we record a large portion of our revenues ratably over a contract term. However, at the segment level, revenues on a consecutive quarter basis can be impacted by seasonality, most notably in our Tax, Audit &amp; Accounting Professionals business, where revenues tend to be concentrated in the first and fourth quarters. As most of our business is conducted in U.S. dollars, foreign currency had a minimal impact on our revenues. Our first-quarter 2025 and fourth quarter 2024 revenues reflected growth in recurring revenues and the remaining comparable quarters reflected growth in both recurring and transactions revenues, including acquisitions. In the 2025 and 2024 periods, revenue increases were partly offset by disposals, primarily FindLaw in December 2024.</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color w:val="404040"/>
          <w:sz w:val="18"/>
        </w:rPr>
        <w:t>Operating profit</w:t>
      </w:r>
      <w:r>
        <w:rPr>
          <w:rFonts w:ascii="Times New Roman" w:hAnsi="Times New Roman"/>
          <w:color w:val="404040"/>
          <w:sz w:val="20"/>
        </w:rPr>
        <w:t xml:space="preserve"> </w:t>
      </w:r>
      <w:r>
        <w:rPr>
          <w:rFonts w:ascii="Clario;sans-serif" w:hAnsi="Clario;sans-serif"/>
          <w:color w:val="404040"/>
          <w:sz w:val="18"/>
        </w:rPr>
        <w:t>- Our operating profit does not tend to be significantly impacted by seasonality. As most of our operating expenses are fixed over the short-to-medium term, we generally become more profitable when our revenues increase. When our revenues decline, we generally become less profitable. The increase in operating profit in the third quarter of 2025 reflected an other operating gain on the sale of our remaining minority equity interest in the Elite business and the fourth quarter of 2024 reflected the gains on sales of FindLaw and other non-core businesses.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color w:val="404040"/>
          <w:sz w:val="18"/>
        </w:rPr>
        <w:t>Net earnings</w:t>
      </w:r>
      <w:r>
        <w:rPr>
          <w:rFonts w:ascii="Times New Roman" w:hAnsi="Times New Roman"/>
          <w:color w:val="404040"/>
          <w:sz w:val="20"/>
        </w:rPr>
        <w:t xml:space="preserve"> – </w:t>
      </w:r>
      <w:r>
        <w:rPr>
          <w:rFonts w:ascii="Clario;sans-serif" w:hAnsi="Clario;sans-serif"/>
          <w:color w:val="404040"/>
          <w:sz w:val="18"/>
        </w:rPr>
        <w:t>Net earnings in the third quarter of 2025 reflected a gain on sale of our remaining equity interest in Elite, and the fourth quarter of 2024 included a gain on sale of FindLaw.</w:t>
      </w:r>
      <w:r>
        <w:rPr>
          <w:rFonts w:ascii="Times New Roman" w:hAnsi="Times New Roman"/>
          <w:color w:val="404040"/>
          <w:sz w:val="20"/>
        </w:rPr>
        <w:t xml:space="preserve">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33</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Clario;sans-serif" w:hAnsi="Clario;sans-serif"/>
          <w:b/>
          <w:color w:val="404040"/>
          <w:sz w:val="24"/>
        </w:rPr>
        <w:t>Appendix D</w:t>
      </w:r>
      <w:r>
        <w:rPr>
          <w:rFonts w:ascii="Times New Roman" w:hAnsi="Times New Roman"/>
          <w:color w:val="404040"/>
          <w:sz w:val="20"/>
        </w:rPr>
        <w:t xml:space="preserve"> </w:t>
      </w:r>
    </w:p>
    <w:p>
      <w:pPr>
        <w:pStyle w:val="TextBody"/>
        <w:bidi w:val="0"/>
        <w:spacing w:before="100" w:after="283"/>
        <w:jc w:val="both"/>
        <w:rPr>
          <w:rFonts w:ascii="Times New Roman" w:hAnsi="Times New Roman"/>
          <w:sz w:val="20"/>
        </w:rPr>
      </w:pPr>
      <w:r>
        <w:rPr>
          <w:rFonts w:ascii="Clario;sans-serif" w:hAnsi="Clario;sans-serif"/>
          <w:b/>
          <w:i/>
          <w:color w:val="404040"/>
          <w:sz w:val="18"/>
        </w:rPr>
        <w:t>Subsidiary Issuer and Guarantor Supplemental Financial Information</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following tables set forth consolidating summary financial information in connection with the full and unconditional guarantee by Thomson Reuters Corporation and three U.S. subsidiary guarantors, which are also indirect 100%-owned and consolidated subsidiaries of Thomson Reuters Corporation (referred to as the Subsidiary Guarantors), of any debt securities issued by TR Finance LLC (referred to as the Subsidiary Issuer) under a trust indenture dated as of March 20, 2025, entered into between Thomson Reuters Corporation, TR Finance LLC, the Subsidiary Guarantors, Computershare Trust Company of Canada and Deutsche Bank Trust Company Americas, and the full and unconditional guarantee by the Subsidiary Guarantors of certain outstanding debt securities issued by Thomson Reuters Corporation under a second amended and restated trust indenture dated as of March 20, 2025, entered into between Thomson Reuters Corporation, the Subsidiary Guarantors, Computershare Trust Company of Canada and Deutsche Bank Trust Company Americas, and any debt securities issued by Thomson Reuters Corporation under a trust indenture to be entered into between Thomson Reuters Corporation, the Subsidiary Guarantors, Computershare Trust Company of Canada and Deutsche Bank Trust Company Americas in connection with any future offering of debt securities issued by Thomson Reuters Corporation and guaranteed by the Subsidiary Guarantors. Guarantees by the Subsidiary Guarantors may be subject to customary release provisions in connection with a merger, consolidation or sale of assets.</w:t>
      </w:r>
    </w:p>
    <w:p>
      <w:pPr>
        <w:pStyle w:val="TextBody"/>
        <w:bidi w:val="0"/>
        <w:spacing w:before="100" w:after="283"/>
        <w:jc w:val="left"/>
        <w:rPr>
          <w:rFonts w:ascii="Times New Roman" w:hAnsi="Times New Roman"/>
          <w:sz w:val="20"/>
        </w:rPr>
      </w:pPr>
      <w:r>
        <w:rPr>
          <w:rFonts w:ascii="Clario;sans-serif" w:hAnsi="Clario;sans-serif"/>
          <w:color w:val="404040"/>
          <w:sz w:val="18"/>
        </w:rPr>
        <w:t>TR Finance LLC is an indirect 100%-owned subsidiary of Thomson Reuters Corporation. TR Finance LLC is a financing vehicle for Thomson Reuters Corporation and its consolidated subsidiaries. TR Finance LLC has no independent operations, other than raising debt for use by Thomson Reuters, hedging such debt when appropriate and on-lending funds to companies in the Thomson Reuters group. In connection with each issuance of debt securities by TR Finance LLC to date, TR Finance LLC has loaned the proceeds thereof to, and in connection with each future issuance of debt securities by TR Finance LLC, TR Finance LLC expects that the proceeds thereof will be loaned to the Subsidiary Guarantors, and/or U.S. affiliates that are direct or indirect shareholders of the Subsidiary Guarantors. TR Finance LLC expects to be able to pay interest, premiums, operating expenses and to meet its debt obligations using interest income from the affiliate loans and will be further supported by guarantees provided by the Subsidiary Guarantors and Thomson Reuters Corporation. The ability of TR Finance LLC to pay interest, premiums, operating expenses and to meet its debt obligations depends upon the ability of the Subsidiary Guarantors and/or such other U.S. affiliates to pay interest and meet debt obligations under the affiliate loans and upon the credit support of the Subsidiary Guarantors and Thomson Reuters Corporation</w:t>
      </w:r>
      <w:r>
        <w:rPr>
          <w:rFonts w:ascii="Times New Roman" w:hAnsi="Times New Roman"/>
          <w:color w:val="404040"/>
          <w:sz w:val="18"/>
        </w:rPr>
        <w:t>.</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tables below contain condensed consolidating financial information for the following:</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Parent – Thomson Reuters Corporation, the direct or indirect owner of all of its subsidiaries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Subsidiary Issuer – TR Finance LLC</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Subsidiary Guarantors on a combined basis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Non-Guarantor Subsidiaries – Other subsidiaries of Thomson Reuters Corporation on a combined basis that will not guarantee TR Finance LLC or Thomson Reuters Corporation debt securities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Eliminations – Consolidating adjustments</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Thomson Reuters on a consolidated basis</w:t>
      </w:r>
    </w:p>
    <w:p>
      <w:pPr>
        <w:pStyle w:val="TextBody"/>
        <w:bidi w:val="0"/>
        <w:spacing w:before="100" w:after="283"/>
        <w:jc w:val="left"/>
        <w:rPr>
          <w:rFonts w:ascii="Times New Roman" w:hAnsi="Times New Roman"/>
          <w:sz w:val="20"/>
        </w:rPr>
      </w:pPr>
      <w:r>
        <w:rPr>
          <w:rFonts w:ascii="Clario;sans-serif" w:hAnsi="Clario;sans-serif"/>
          <w:color w:val="404040"/>
          <w:sz w:val="18"/>
        </w:rPr>
        <w:t>The Subsidiary Guarantors referred to above are comprised of the following indirect 100%-owned and consolidated subsidiaries of Thomson Reuters Corporation:</w:t>
      </w:r>
      <w:r>
        <w:rPr>
          <w:rFonts w:ascii="Times New Roman" w:hAnsi="Times New Roman"/>
          <w:color w:val="404040"/>
          <w:sz w:val="20"/>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Thomson Reuters Applications Inc., which operates part of the Company’s Legal Professionals, Tax, Audit &amp; Accounting Professionals and Corporates businesses;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Thomson Reuters (Tax &amp; Accounting) Inc., which operates part of the Company’s Tax, Audit &amp; Accounting Professionals and Corporates businesses;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West Publishing Corporation, which operates part of the Company’s Legal Professionals, Corporates and Global Print businesses.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Thomson Reuters Corporation accounts for its investments in subsidiaries using the equity method for purposes of the condensed consolidating financial information. Where subsidiaries are members of a consolidated tax filing group, Thomson Reuters Corporation allocates income tax expense pursuant to the tax sharing agreement among the members of the group, including application of the percentage method whereby members of the consolidated group are reimbursed for losses when they occur, regardless of the ability to use such losses on a standalone basis. We believe that this allocation is a systematic, rational approach for allocation of income tax balances. Adjustments necessary to consolidate the Parent, Subsidiary Guarantors and Non-Guarantor Subsidiaries are reflected in the “Eliminations” column.</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34</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This basis of presentation is not intended to present the financial position of Thomson Reuters Corporation and the results of its operations for any purpose other than to comply with the specific requirements for subsidiary issuer and guarantor reporting and should be read in conjunction with our consolidated interim financial statements for the three and six months ended June 30, 2026, our 2025 annual consolidated financial statements, as well as our 2025 annual management’s discussion and analysis, which are included in our 2025 annual report.</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The following condensed consolidating financial information is provided in compliance with the requirements of Section 13.4 of National Instrument 51-102 - </w:t>
      </w:r>
      <w:r>
        <w:rPr>
          <w:rFonts w:ascii="Clario;sans-serif" w:hAnsi="Clario;sans-serif"/>
          <w:i/>
          <w:color w:val="404040"/>
          <w:sz w:val="18"/>
        </w:rPr>
        <w:t>Continuous Disclosure Obligations</w:t>
      </w:r>
      <w:r>
        <w:rPr>
          <w:rFonts w:ascii="Times New Roman" w:hAnsi="Times New Roman"/>
          <w:color w:val="404040"/>
          <w:sz w:val="20"/>
        </w:rPr>
        <w:t xml:space="preserve"> </w:t>
      </w:r>
      <w:r>
        <w:rPr>
          <w:rFonts w:ascii="Clario;sans-serif" w:hAnsi="Clario;sans-serif"/>
          <w:color w:val="404040"/>
          <w:sz w:val="18"/>
        </w:rPr>
        <w:t>providing for an exemption for certain credit support issuers.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condensed consolidating financial information has been prepared in accordance with IFRS, as issued by the IASB and is unaudited.</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CONDENSED CONSOLIDATING INCOME STATEMENT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83"/>
        <w:gridCol w:w="146"/>
        <w:gridCol w:w="796"/>
        <w:gridCol w:w="146"/>
        <w:gridCol w:w="1201"/>
        <w:gridCol w:w="146"/>
        <w:gridCol w:w="1261"/>
        <w:gridCol w:w="146"/>
        <w:gridCol w:w="1636"/>
        <w:gridCol w:w="146"/>
        <w:gridCol w:w="1366"/>
        <w:gridCol w:w="146"/>
        <w:gridCol w:w="1486"/>
      </w:tblGrid>
      <w:tr>
        <w:trP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6"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June 30, 2026</w:t>
            </w:r>
          </w:p>
        </w:tc>
      </w:tr>
      <w:tr>
        <w:trPr/>
        <w:tc>
          <w:tcPr>
            <w:tcW w:w="158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w:t>
              <w:br/>
              <w:t>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w:t>
              <w:br/>
              <w:t>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1,954</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(1,211)</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(201)</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r>
      <w:tr>
        <w:trP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(losses)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558</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(47)</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8</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Intercompany net interest income</w:t>
              <w:br/>
              <w: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Income (loss) before tax and equity </w:t>
              <w:br/>
              <w:t>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519</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losses in equity </w:t>
              <w:br/>
              <w:t>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earnings in </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Earnings (loss) from continuing </w:t>
              <w:br/>
              <w:t>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from discontinued </w:t>
              <w:br/>
              <w:t>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r>
      <w:tr>
        <w:trP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 (loss)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r>
      <w:tr>
        <w:trPr/>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(loss) attributable to </w:t>
              <w:br/>
              <w:t>   common 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35</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INCOME STATEMENT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83"/>
        <w:gridCol w:w="146"/>
        <w:gridCol w:w="796"/>
        <w:gridCol w:w="146"/>
        <w:gridCol w:w="1201"/>
        <w:gridCol w:w="146"/>
        <w:gridCol w:w="1261"/>
        <w:gridCol w:w="146"/>
        <w:gridCol w:w="1636"/>
        <w:gridCol w:w="146"/>
        <w:gridCol w:w="1366"/>
        <w:gridCol w:w="146"/>
        <w:gridCol w:w="1486"/>
      </w:tblGrid>
      <w:tr>
        <w:trP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6"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Three months ended June 30, 2025</w:t>
            </w:r>
          </w:p>
        </w:tc>
      </w:tr>
      <w:tr>
        <w:trPr/>
        <w:tc>
          <w:tcPr>
            <w:tcW w:w="158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w:t>
              <w:br/>
              <w:t>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w:t>
              <w:br/>
              <w:t>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1,785</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(1,124)</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r>
      <w:tr>
        <w:trP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436</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(35)</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(48)</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Intercompany net interest income </w:t>
              <w:br/>
              <w: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Income before tax and equity </w:t>
              <w:br/>
              <w:t>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353</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losses in equity </w:t>
              <w:br/>
              <w:t>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earnings in </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 benefit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r>
      <w:tr>
        <w:trPr/>
        <w:tc>
          <w:tcPr>
            <w:tcW w:w="172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Earnings from continuing </w:t>
              <w:br/>
              <w:t>   operations</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297</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from discontinued </w:t>
              <w:br/>
              <w:t>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r>
      <w:tr>
        <w:trPr/>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attributable to common </w:t>
              <w:br/>
              <w:t>   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r>
    </w:tbl>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36</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INCOME STATEMENT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8"/>
        <w:gridCol w:w="146"/>
        <w:gridCol w:w="796"/>
        <w:gridCol w:w="146"/>
        <w:gridCol w:w="1216"/>
        <w:gridCol w:w="146"/>
        <w:gridCol w:w="1261"/>
        <w:gridCol w:w="146"/>
        <w:gridCol w:w="1665"/>
        <w:gridCol w:w="146"/>
        <w:gridCol w:w="1366"/>
        <w:gridCol w:w="146"/>
        <w:gridCol w:w="1487"/>
      </w:tblGrid>
      <w:tr>
        <w:trPr/>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1"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 June 30, 2026</w:t>
            </w:r>
          </w:p>
        </w:tc>
      </w:tr>
      <w:tr>
        <w:trPr/>
        <w:tc>
          <w:tcPr>
            <w:tcW w:w="1538"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 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 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4,041</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(2,414)</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(394)</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w:t>
            </w:r>
          </w:p>
        </w:tc>
      </w:tr>
      <w:tr>
        <w:trPr/>
        <w:tc>
          <w:tcPr>
            <w:tcW w:w="15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(losses)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1,197</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(86)</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17</w:t>
            </w:r>
          </w:p>
        </w:tc>
      </w:tr>
      <w:tr>
        <w:trPr/>
        <w:tc>
          <w:tcPr>
            <w:tcW w:w="153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Intercompany net interest income </w:t>
              <w:br/>
              <w: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Income (loss) before tax and equity </w:t>
              <w:br/>
              <w:t>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1,128</w:t>
            </w:r>
          </w:p>
        </w:tc>
      </w:tr>
      <w:tr>
        <w:trP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losses in equity </w:t>
              <w:br/>
              <w:t>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earnings in </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(196)</w:t>
            </w:r>
          </w:p>
        </w:tc>
      </w:tr>
      <w:tr>
        <w:trP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Earnings (loss) from continuing </w:t>
              <w:br/>
              <w:t>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921</w:t>
            </w:r>
          </w:p>
        </w:tc>
      </w:tr>
      <w:tr>
        <w:trPr/>
        <w:tc>
          <w:tcPr>
            <w:tcW w:w="15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Loss from discontinued </w:t>
              <w:br/>
              <w:t>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r>
      <w:tr>
        <w:trPr/>
        <w:tc>
          <w:tcPr>
            <w:tcW w:w="15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 (loss)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801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(979)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r>
      <w:tr>
        <w:trPr/>
        <w:tc>
          <w:tcPr>
            <w:tcW w:w="15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(loss) attributable to </w:t>
              <w:br/>
              <w:t>   common shareholders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801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(979)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r>
    </w:tbl>
    <w:p>
      <w:pPr>
        <w:pStyle w:val="TextBody"/>
        <w:bidi w:val="0"/>
        <w:spacing w:before="100" w:after="283"/>
        <w:jc w:val="left"/>
        <w:rPr>
          <w:rFonts w:ascii="Times New Roman" w:hAnsi="Times New Roman"/>
          <w:sz w:val="20"/>
        </w:rPr>
      </w:pPr>
      <w:r>
        <w:rPr>
          <w:rFonts w:ascii="Clario;sans-serif" w:hAnsi="Clario;sans-serif"/>
          <w:color w:val="404040"/>
          <w:sz w:val="18"/>
        </w:rPr>
        <w:br/>
      </w:r>
      <w:r>
        <w:rPr>
          <w:rFonts w:ascii="Times New Roman" w:hAnsi="Times New Roman"/>
          <w:color w:val="404040"/>
          <w:sz w:val="20"/>
        </w:rPr>
        <w:t> </w:t>
      </w:r>
    </w:p>
    <w:p>
      <w:pPr>
        <w:pStyle w:val="TextBody"/>
        <w:bidi w:val="0"/>
        <w:spacing w:before="100" w:after="283"/>
        <w:jc w:val="left"/>
        <w:rPr/>
      </w:pPr>
      <w:r>
        <w:rPr/>
        <w:t> </w:t>
      </w:r>
    </w:p>
    <w:p>
      <w:pPr>
        <w:pStyle w:val="TextBody"/>
        <w:bidi w:val="0"/>
        <w:spacing w:before="100" w:after="283"/>
        <w:jc w:val="left"/>
        <w:rPr/>
      </w:pPr>
      <w:r>
        <w:rP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37</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INCOME STATEMENT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3"/>
        <w:gridCol w:w="146"/>
        <w:gridCol w:w="796"/>
        <w:gridCol w:w="146"/>
        <w:gridCol w:w="1214"/>
        <w:gridCol w:w="146"/>
        <w:gridCol w:w="1261"/>
        <w:gridCol w:w="146"/>
        <w:gridCol w:w="1662"/>
        <w:gridCol w:w="146"/>
        <w:gridCol w:w="1366"/>
        <w:gridCol w:w="146"/>
        <w:gridCol w:w="1487"/>
      </w:tblGrid>
      <w:tr>
        <w:trPr/>
        <w:tc>
          <w:tcPr>
            <w:tcW w:w="1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6"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Six months ended June 30, 2025</w:t>
            </w:r>
          </w:p>
        </w:tc>
      </w:tr>
      <w:tr>
        <w:trPr/>
        <w:tc>
          <w:tcPr>
            <w:tcW w:w="154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 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 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000000"/>
                <w:sz w:val="18"/>
              </w:rPr>
            </w:pPr>
            <w:r>
              <w:rPr>
                <w:rFonts w:ascii="Clario;sans-serif" w:hAnsi="Clario;sans-serif"/>
                <w:color w:val="000000"/>
                <w:sz w:val="18"/>
              </w:rPr>
              <w:t>3,685</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000000"/>
                <w:sz w:val="18"/>
              </w:rPr>
            </w:pPr>
            <w:r>
              <w:rPr>
                <w:rFonts w:ascii="Clario;sans-serif" w:hAnsi="Clario;sans-serif"/>
                <w:color w:val="000000"/>
                <w:sz w:val="18"/>
              </w:rPr>
              <w:t>(2,232)</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000000"/>
                <w:sz w:val="18"/>
              </w:rPr>
            </w:pPr>
            <w:r>
              <w:rPr>
                <w:rFonts w:ascii="Clario;sans-serif" w:hAnsi="Clario;sans-serif"/>
                <w:color w:val="000000"/>
                <w:sz w:val="18"/>
              </w:rPr>
              <w:t>(55)</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000000"/>
                <w:sz w:val="18"/>
              </w:rPr>
            </w:pPr>
            <w:r>
              <w:rPr>
                <w:rFonts w:ascii="Clario;sans-serif" w:hAnsi="Clario;sans-serif"/>
                <w:color w:val="000000"/>
                <w:sz w:val="18"/>
              </w:rPr>
              <w:t>(352)</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Amortization of other identifiable </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000000"/>
                <w:sz w:val="18"/>
              </w:rPr>
            </w:pPr>
            <w:r>
              <w:rPr>
                <w:rFonts w:ascii="Clario;sans-serif" w:hAnsi="Clario;sans-serif"/>
                <w:color w:val="000000"/>
                <w:sz w:val="18"/>
              </w:rPr>
              <w:t>(49)</w:t>
            </w:r>
          </w:p>
        </w:tc>
      </w:tr>
      <w:tr>
        <w:trPr/>
        <w:tc>
          <w:tcPr>
            <w:tcW w:w="15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999</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000000"/>
                <w:sz w:val="18"/>
              </w:rPr>
            </w:pPr>
            <w:r>
              <w:rPr>
                <w:rFonts w:ascii="Clario;sans-serif" w:hAnsi="Clario;sans-serif"/>
                <w:color w:val="000000"/>
                <w:sz w:val="18"/>
              </w:rPr>
              <w:t>(65)</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000000"/>
                <w:sz w:val="18"/>
              </w:rPr>
            </w:pPr>
            <w:r>
              <w:rPr>
                <w:rFonts w:ascii="Clario;sans-serif" w:hAnsi="Clario;sans-serif"/>
                <w:color w:val="000000"/>
                <w:sz w:val="18"/>
              </w:rPr>
              <w:t>(58)</w:t>
            </w:r>
          </w:p>
        </w:tc>
      </w:tr>
      <w:tr>
        <w:trPr/>
        <w:tc>
          <w:tcPr>
            <w:tcW w:w="154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Intercompany net interest income</w:t>
              <w:br/>
              <w: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(Loss) income before tax and equity </w:t>
              <w:br/>
              <w:t>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876</w:t>
            </w:r>
          </w:p>
        </w:tc>
      </w:tr>
      <w:tr>
        <w:trP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of post-tax losses in equity</w:t>
              <w:br/>
              <w:t>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of post-tax earnings in</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5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benefit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(144)</w:t>
            </w:r>
          </w:p>
        </w:tc>
      </w:tr>
      <w:tr>
        <w:trP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722</w:t>
            </w:r>
          </w:p>
        </w:tc>
      </w:tr>
      <w:tr>
        <w:trPr/>
        <w:tc>
          <w:tcPr>
            <w:tcW w:w="15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from discontinued </w:t>
              <w:br/>
              <w:t>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r>
      <w:tr>
        <w:trPr/>
        <w:tc>
          <w:tcPr>
            <w:tcW w:w="15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(936)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r>
      <w:tr>
        <w:trPr/>
        <w:tc>
          <w:tcPr>
            <w:tcW w:w="15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attributable to common </w:t>
              <w:br/>
              <w:t>   shareholders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(936)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r>
    </w:tbl>
    <w:p>
      <w:pPr>
        <w:pStyle w:val="TextBody"/>
        <w:bidi w:val="0"/>
        <w:spacing w:before="100" w:after="283"/>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38</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STATEMENT OF FINANCIAL POSITION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7"/>
        <w:gridCol w:w="146"/>
        <w:gridCol w:w="796"/>
        <w:gridCol w:w="146"/>
        <w:gridCol w:w="1204"/>
        <w:gridCol w:w="146"/>
        <w:gridCol w:w="1261"/>
        <w:gridCol w:w="146"/>
        <w:gridCol w:w="1708"/>
        <w:gridCol w:w="146"/>
        <w:gridCol w:w="1366"/>
        <w:gridCol w:w="146"/>
        <w:gridCol w:w="1487"/>
      </w:tblGrid>
      <w:tr>
        <w:trPr/>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2"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June 30, 2026</w:t>
            </w:r>
          </w:p>
        </w:tc>
      </w:tr>
      <w:tr>
        <w:trPr/>
        <w:tc>
          <w:tcPr>
            <w:tcW w:w="1507"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 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1,127</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w:t>
            </w:r>
          </w:p>
        </w:tc>
      </w:tr>
      <w:tr>
        <w:trPr/>
        <w:tc>
          <w:tcPr>
            <w:tcW w:w="15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Prepaid expenses and other current </w:t>
              <w:br/>
              <w: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449</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2,269</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342</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1,711</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identifiable intangible assets, </w:t>
              <w:br/>
              <w: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3,058</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8,094</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469</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705</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Investments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1,036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1,263</w:t>
            </w:r>
          </w:p>
        </w:tc>
      </w:tr>
      <w:tr>
        <w:trPr/>
        <w:tc>
          <w:tcPr>
            <w:tcW w:w="15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18,443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1,871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7,199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22,705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(32,139)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18,079</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1,618</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1,014</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240</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1,256</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318</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4,446</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1,323</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Provisions and other non-current </w:t>
              <w:br/>
              <w: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597</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206</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382</w:t>
            </w:r>
          </w:p>
        </w:tc>
      </w:tr>
      <w:tr>
        <w:trPr/>
        <w:tc>
          <w:tcPr>
            <w:tcW w:w="15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7,318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1,876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10,054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(14,181)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6,954</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equity</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11,125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5,312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12,651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(17,958)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11,125</w:t>
            </w:r>
          </w:p>
        </w:tc>
      </w:tr>
      <w:tr>
        <w:trPr/>
        <w:tc>
          <w:tcPr>
            <w:tcW w:w="15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 and equity</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18,443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1,871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7,199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22,705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(32,139)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18,079</w:t>
            </w:r>
          </w:p>
        </w:tc>
      </w:tr>
    </w:tbl>
    <w:p>
      <w:pPr>
        <w:pStyle w:val="TextBody"/>
        <w:bidi w:val="0"/>
        <w:spacing w:before="100" w:after="283"/>
        <w:jc w:val="left"/>
        <w:rPr/>
      </w:pPr>
      <w:r>
        <w:rP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39</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STATEMENT OF FINANCIAL POSITION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0"/>
        <w:gridCol w:w="146"/>
        <w:gridCol w:w="796"/>
        <w:gridCol w:w="146"/>
        <w:gridCol w:w="1232"/>
        <w:gridCol w:w="146"/>
        <w:gridCol w:w="1261"/>
        <w:gridCol w:w="146"/>
        <w:gridCol w:w="1697"/>
        <w:gridCol w:w="146"/>
        <w:gridCol w:w="1366"/>
        <w:gridCol w:w="146"/>
        <w:gridCol w:w="1487"/>
      </w:tblGrid>
      <w:tr>
        <w:trPr/>
        <w:tc>
          <w:tcPr>
            <w:tcW w:w="1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9"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December 31, 2025</w:t>
            </w:r>
          </w:p>
        </w:tc>
      </w:tr>
      <w:tr>
        <w:trPr/>
        <w:tc>
          <w:tcPr>
            <w:tcW w:w="1490"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 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 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r>
      <w:tr>
        <w:trPr/>
        <w:tc>
          <w:tcPr>
            <w:tcW w:w="14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Prepaid expenses and other current </w:t>
              <w:br/>
              <w: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2,228</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361</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1,645</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identifiable intangible assets, </w:t>
              <w:br/>
              <w: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3,102</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7,913</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466</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680</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Investments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4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1,343</w:t>
            </w:r>
          </w:p>
        </w:tc>
      </w:tr>
      <w:tr>
        <w:trPr/>
        <w:tc>
          <w:tcPr>
            <w:tcW w:w="14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13,598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1,731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7,290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17,732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1,090</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1,251</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4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3,468</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Provisions and other non-current </w:t>
              <w:br/>
              <w: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210</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4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r>
      <w:tr>
        <w:trPr/>
        <w:tc>
          <w:tcPr>
            <w:tcW w:w="14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1,735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2,037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5,554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6,026</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equity</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5,253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12,178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(17,427)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11,914</w:t>
            </w:r>
          </w:p>
        </w:tc>
      </w:tr>
      <w:tr>
        <w:trPr/>
        <w:tc>
          <w:tcPr>
            <w:tcW w:w="14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 and equity</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13,598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1,731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7,290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17,732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bl>
    <w:p>
      <w:pPr>
        <w:pStyle w:val="TextBody"/>
        <w:bidi w:val="0"/>
        <w:spacing w:before="100" w:after="283"/>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40</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supplemental financial information is also being provided in accordance with Article 13 of Regulation S-X in respect of debt securities issued by the Subsidiary Issuer, which are fully and unconditionally guaranteed by the Parent and the Subsidiary Guarantors, and debt securities issued by the Parent, which are fully and unconditionally guaranteed by the Subsidiary Guarantors (in each case, as described above).</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Set forth below is summarized financial information of the Parent, Subsidiary Issuer and Subsidiary Guarantors (collectively, the Obligor Group) and Parent and Subsidiary Guarantors (collectively, the Obligor Group excluding Subsidiary Issuer) as presented on a combined basis with intercompany balances and transactions between entities in the Obligor Group and Obligor Group excluding Subsidiary Issuer eliminated. Investments in and equity in earnings of the non-obligor group, which are not members of these groups and financial information of the non-obligor group have been excluded from the summarized financial information. In addition, the Obligor Group and the Obligor Group excluding Subsidiary Issuer’s amounts due to, amounts due from and transactions with each respective non-obligor group are presented below:</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Clario;sans-serif" w:hAnsi="Clario;sans-serif"/>
          <w:b/>
          <w:color w:val="404040"/>
          <w:sz w:val="20"/>
        </w:rPr>
      </w:pPr>
      <w:r>
        <w:rPr>
          <w:rFonts w:ascii="Clario;sans-serif" w:hAnsi="Clario;sans-serif"/>
          <w:b/>
          <w:color w:val="404040"/>
          <w:sz w:val="20"/>
        </w:rPr>
        <w:t>SUMMARIZED INCOME STATEMENT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72"/>
        <w:gridCol w:w="1528"/>
        <w:gridCol w:w="4405"/>
      </w:tblGrid>
      <w:tr>
        <w:trPr/>
        <w:tc>
          <w:tcPr>
            <w:tcW w:w="427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405" w:type="dxa"/>
            <w:tcBorders/>
            <w:vAlign w:val="center"/>
          </w:tcPr>
          <w:p>
            <w:pPr>
              <w:pStyle w:val="TableContents"/>
              <w:bidi w:val="0"/>
              <w:spacing w:before="0" w:after="283"/>
              <w:jc w:val="left"/>
              <w:rPr>
                <w:sz w:val="4"/>
                <w:szCs w:val="4"/>
              </w:rPr>
            </w:pPr>
            <w:r>
              <w:rPr>
                <w:sz w:val="4"/>
                <w:szCs w:val="4"/>
              </w:rPr>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 June 30, 2026</w:t>
            </w:r>
          </w:p>
        </w:tc>
      </w:tr>
      <w:tr>
        <w:trPr/>
        <w:tc>
          <w:tcPr>
            <w:tcW w:w="427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5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40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rPr/>
        <w:tc>
          <w:tcPr>
            <w:tcW w:w="427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656</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656</w:t>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Operating profit</w:t>
            </w:r>
            <w:r>
              <w:rPr>
                <w:rFonts w:ascii="Clario;sans-serif" w:hAnsi="Clario;sans-serif"/>
                <w:color w:val="404040"/>
                <w:sz w:val="12"/>
              </w:rPr>
              <w:t>(1)</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586</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586</w:t>
            </w:r>
          </w:p>
        </w:tc>
      </w:tr>
      <w:tr>
        <w:trPr/>
        <w:tc>
          <w:tcPr>
            <w:tcW w:w="4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Earnings from continuing operations</w:t>
            </w:r>
            <w:r>
              <w:rPr>
                <w:rFonts w:ascii="Clario;sans-serif" w:hAnsi="Clario;sans-serif"/>
                <w:color w:val="404040"/>
                <w:sz w:val="12"/>
              </w:rPr>
              <w:t>(1)(2)</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617</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618</w:t>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617</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618</w:t>
            </w:r>
          </w:p>
        </w:tc>
      </w:tr>
      <w:tr>
        <w:trPr/>
        <w:tc>
          <w:tcPr>
            <w:tcW w:w="42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5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617</w:t>
            </w:r>
          </w:p>
        </w:tc>
        <w:tc>
          <w:tcPr>
            <w:tcW w:w="44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618</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72"/>
        <w:gridCol w:w="1528"/>
        <w:gridCol w:w="4405"/>
      </w:tblGrid>
      <w:tr>
        <w:trPr/>
        <w:tc>
          <w:tcPr>
            <w:tcW w:w="427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405" w:type="dxa"/>
            <w:tcBorders/>
            <w:vAlign w:val="center"/>
          </w:tcPr>
          <w:p>
            <w:pPr>
              <w:pStyle w:val="TableContents"/>
              <w:bidi w:val="0"/>
              <w:spacing w:before="0" w:after="283"/>
              <w:jc w:val="left"/>
              <w:rPr>
                <w:sz w:val="4"/>
                <w:szCs w:val="4"/>
              </w:rPr>
            </w:pPr>
            <w:r>
              <w:rPr>
                <w:sz w:val="4"/>
                <w:szCs w:val="4"/>
              </w:rPr>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Year ended December 31, 2025</w:t>
            </w:r>
          </w:p>
        </w:tc>
      </w:tr>
      <w:tr>
        <w:trPr/>
        <w:tc>
          <w:tcPr>
            <w:tcW w:w="427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5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40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rPr/>
        <w:tc>
          <w:tcPr>
            <w:tcW w:w="427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1,365</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1,365</w:t>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Operating profit</w:t>
            </w:r>
            <w:r>
              <w:rPr>
                <w:rFonts w:ascii="Clario;sans-serif" w:hAnsi="Clario;sans-serif"/>
                <w:color w:val="404040"/>
                <w:sz w:val="12"/>
              </w:rPr>
              <w:t>(1)</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5,134</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5,134</w:t>
            </w:r>
          </w:p>
        </w:tc>
      </w:tr>
      <w:tr>
        <w:trPr/>
        <w:tc>
          <w:tcPr>
            <w:tcW w:w="4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Earnings from continuing operations</w:t>
            </w:r>
            <w:r>
              <w:rPr>
                <w:rFonts w:ascii="Clario;sans-serif" w:hAnsi="Clario;sans-serif"/>
                <w:color w:val="404040"/>
                <w:sz w:val="12"/>
              </w:rPr>
              <w:t>(1)(2)</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4,989</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4,993</w:t>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4,989</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4,993</w:t>
            </w:r>
          </w:p>
        </w:tc>
      </w:tr>
      <w:tr>
        <w:trPr/>
        <w:tc>
          <w:tcPr>
            <w:tcW w:w="42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5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4,989</w:t>
            </w:r>
          </w:p>
        </w:tc>
        <w:tc>
          <w:tcPr>
            <w:tcW w:w="44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4,993</w:t>
            </w:r>
          </w:p>
        </w:tc>
      </w:tr>
    </w:tbl>
    <w:p>
      <w:pPr>
        <w:pStyle w:val="TextBody"/>
        <w:bidi w:val="0"/>
        <w:jc w:val="left"/>
        <w:rPr/>
      </w:pPr>
      <w:r>
        <w:rPr/>
        <w:t> </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(1)</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Includes $706 million (2025 - $5,302 million) of income, of which $374 million (2025 - $4,596 million) represents dividends received, from operating transactions with each non-obligor group.</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(2)</w:t>
      </w:r>
    </w:p>
    <w:p>
      <w:pPr>
        <w:pStyle w:val="TextBody"/>
        <w:bidi w:val="0"/>
        <w:jc w:val="left"/>
        <w:rPr>
          <w:rFonts w:ascii="Clario;sans-serif" w:hAnsi="Clario;sans-serif"/>
          <w:color w:val="000000"/>
          <w:sz w:val="16"/>
        </w:rPr>
      </w:pPr>
      <w:r>
        <w:rPr>
          <w:rFonts w:ascii="Clario;sans-serif" w:hAnsi="Clario;sans-serif"/>
          <w:color w:val="000000"/>
          <w:sz w:val="16"/>
        </w:rPr>
        <w:t xml:space="preserve">Obligor Group and Obligor Group excluding Subsidiary Issuer includes $166 million and $121 million of net finance income, (2025 - $86 million and $20 million of net finance income), respectively, from transactions with each non-obligor group. </w:t>
      </w:r>
    </w:p>
    <w:p>
      <w:pPr>
        <w:pStyle w:val="TextBody"/>
        <w:bidi w:val="0"/>
        <w:jc w:val="left"/>
        <w:rPr/>
      </w:pPr>
      <w:r>
        <w:rPr/>
        <w:t> </w:t>
      </w:r>
    </w:p>
    <w:p>
      <w:pPr>
        <w:pStyle w:val="TextBody"/>
        <w:bidi w:val="0"/>
        <w:jc w:val="left"/>
        <w:rPr>
          <w:rFonts w:ascii="Clario;sans-serif" w:hAnsi="Clario;sans-serif"/>
          <w:b/>
          <w:color w:val="404040"/>
          <w:sz w:val="20"/>
        </w:rPr>
      </w:pPr>
      <w:r>
        <w:rPr>
          <w:rFonts w:ascii="Clario;sans-serif" w:hAnsi="Clario;sans-serif"/>
          <w:b/>
          <w:color w:val="404040"/>
          <w:sz w:val="20"/>
        </w:rPr>
        <w:t>SUMMARIZED STATEMENT OF FINANCIAL POSITION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2"/>
        <w:gridCol w:w="1442"/>
        <w:gridCol w:w="4001"/>
      </w:tblGrid>
      <w:tr>
        <w:trPr/>
        <w:tc>
          <w:tcPr>
            <w:tcW w:w="476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June 30, 2026</w:t>
            </w:r>
          </w:p>
        </w:tc>
      </w:tr>
      <w:tr>
        <w:trPr/>
        <w:tc>
          <w:tcPr>
            <w:tcW w:w="476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4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0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6,595</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6,028</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 excluding intercompany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530</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505</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7,125</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6,533</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4,421</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4,421</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554</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Non-current assets excluding goodwill and intercompany </w:t>
              <w:br/>
              <w:t>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1,542</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1,539</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assets</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6,517</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6,025</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6,216</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6,196</w:t>
            </w:r>
          </w:p>
        </w:tc>
      </w:tr>
      <w:tr>
        <w:trP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 excluding intercompany payables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2,368</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1,783</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liabilities</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8,584</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7,979</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778</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Non-current liabilities excluding intercompany payables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1,710</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liabilities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1,710</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41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rFonts w:ascii="Clario;sans-serif" w:hAnsi="Clario;sans-serif"/>
          <w:b/>
          <w:color w:val="404040"/>
          <w:sz w:val="20"/>
        </w:rPr>
      </w:pPr>
      <w:r>
        <w:rPr>
          <w:rFonts w:ascii="Clario;sans-serif" w:hAnsi="Clario;sans-serif"/>
          <w:b/>
          <w:color w:val="404040"/>
          <w:sz w:val="20"/>
        </w:rPr>
        <w:t>SUMMARIZED STATEMENT OF FINANCIAL POSITION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2"/>
        <w:gridCol w:w="1442"/>
        <w:gridCol w:w="4001"/>
      </w:tblGrid>
      <w:tr>
        <w:trPr/>
        <w:tc>
          <w:tcPr>
            <w:tcW w:w="476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December 31, 2025</w:t>
            </w:r>
          </w:p>
        </w:tc>
      </w:tr>
      <w:tr>
        <w:trPr/>
        <w:tc>
          <w:tcPr>
            <w:tcW w:w="476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4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0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2,083</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1,638</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 excluding intercompany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599</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592</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2,682</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2,230</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4,422</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4,422</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546</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Non-current assets excluding goodwill and intercompany </w:t>
              <w:br/>
              <w:t>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1,593</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1,590</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6,561</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6,069</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1,542</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1,534</w:t>
            </w:r>
          </w:p>
        </w:tc>
      </w:tr>
      <w:tr>
        <w:trP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 excluding intercompany payables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1,406</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949</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liabilities</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2,948</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2,483</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778</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Non-current liabilities excluding intercompany payables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1,721</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460</w:t>
            </w:r>
          </w:p>
        </w:tc>
      </w:tr>
      <w:tr>
        <w:trP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liabilities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1,721</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1,238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42</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4" w:name="tri-ex99_2.htm"/>
      <w:bookmarkStart w:id="5" w:name="kstriex99_2"/>
      <w:bookmarkEnd w:id="4"/>
      <w:bookmarkEnd w:id="5"/>
      <w:r>
        <w:rPr/>
        <w:t> </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32"/>
        </w:rPr>
        <w:t xml:space="preserve">Unaudited Consolidated Financial Statements </w:t>
      </w:r>
      <w:r>
        <w:rPr>
          <w:rFonts w:ascii="Times New Roman" w:hAnsi="Times New Roman"/>
          <w:b/>
          <w:color w:val="000000"/>
          <w:sz w:val="20"/>
        </w:rPr>
        <w:t>EXHIBIT 99.2</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INCOME STATEMENT</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61"/>
        <w:gridCol w:w="146"/>
        <w:gridCol w:w="691"/>
        <w:gridCol w:w="168"/>
        <w:gridCol w:w="930"/>
        <w:gridCol w:w="168"/>
        <w:gridCol w:w="912"/>
        <w:gridCol w:w="146"/>
        <w:gridCol w:w="893"/>
        <w:gridCol w:w="161"/>
        <w:gridCol w:w="929"/>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8"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983"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506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168"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68"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3,685</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(1,211)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(2,414)</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(2,232)</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(394)</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(352)</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r>
      <w:tr>
        <w:trPr/>
        <w:tc>
          <w:tcPr>
            <w:tcW w:w="50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w:t>
            </w:r>
          </w:p>
        </w:tc>
        <w:tc>
          <w:tcPr>
            <w:tcW w:w="1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1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1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999</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Net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w:t>
            </w:r>
          </w:p>
        </w:tc>
      </w:tr>
      <w:tr>
        <w:trPr/>
        <w:tc>
          <w:tcPr>
            <w:tcW w:w="50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Other finance income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1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1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Income before tax and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876</w:t>
            </w:r>
          </w:p>
        </w:tc>
      </w:tr>
      <w:tr>
        <w:trPr/>
        <w:tc>
          <w:tcPr>
            <w:tcW w:w="5207"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50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w:t>
            </w:r>
          </w:p>
        </w:tc>
        <w:tc>
          <w:tcPr>
            <w:tcW w:w="1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w:t>
            </w:r>
          </w:p>
        </w:tc>
        <w:tc>
          <w:tcPr>
            <w:tcW w:w="1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(196)</w:t>
            </w:r>
          </w:p>
        </w:tc>
        <w:tc>
          <w:tcPr>
            <w:tcW w:w="1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(144)</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921</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722</w:t>
            </w:r>
          </w:p>
        </w:tc>
      </w:tr>
      <w:tr>
        <w:trPr/>
        <w:tc>
          <w:tcPr>
            <w:tcW w:w="50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(loss) from discontinued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r>
      <w:tr>
        <w:trPr/>
        <w:tc>
          <w:tcPr>
            <w:tcW w:w="50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1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c>
          <w:tcPr>
            <w:tcW w:w="1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Basic and diluted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$1.60</w:t>
            </w:r>
          </w:p>
        </w:tc>
      </w:tr>
      <w:tr>
        <w:trPr/>
        <w:tc>
          <w:tcPr>
            <w:tcW w:w="50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From discontinued operations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0.01</w:t>
            </w:r>
          </w:p>
        </w:tc>
        <w:tc>
          <w:tcPr>
            <w:tcW w:w="1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0.03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(0.03)</w:t>
            </w:r>
          </w:p>
        </w:tc>
        <w:tc>
          <w:tcPr>
            <w:tcW w:w="1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0.05</w:t>
            </w:r>
          </w:p>
        </w:tc>
      </w:tr>
      <w:tr>
        <w:trPr/>
        <w:tc>
          <w:tcPr>
            <w:tcW w:w="50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Basic and diluted earnings per share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$1.02</w:t>
            </w:r>
          </w:p>
        </w:tc>
        <w:tc>
          <w:tcPr>
            <w:tcW w:w="1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$0.69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$2.05</w:t>
            </w:r>
          </w:p>
        </w:tc>
        <w:tc>
          <w:tcPr>
            <w:tcW w:w="1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COMPREHENSIVE INCOME</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rPr/>
      </w:pPr>
      <w:r>
        <w:rPr/>
        <w:t> </w:t>
      </w:r>
    </w:p>
    <w:tbl>
      <w:tblPr>
        <w:tblW w:w="10167" w:type="dxa"/>
        <w:jc w:val="left"/>
        <w:tblInd w:w="0" w:type="dxa"/>
        <w:tblLayout w:type="fixed"/>
        <w:tblCellMar>
          <w:top w:w="28" w:type="dxa"/>
          <w:left w:w="28" w:type="dxa"/>
          <w:bottom w:w="28" w:type="dxa"/>
          <w:right w:w="28" w:type="dxa"/>
        </w:tblCellMar>
      </w:tblPr>
      <w:tblGrid>
        <w:gridCol w:w="4938"/>
        <w:gridCol w:w="146"/>
        <w:gridCol w:w="693"/>
        <w:gridCol w:w="222"/>
        <w:gridCol w:w="895"/>
        <w:gridCol w:w="222"/>
        <w:gridCol w:w="895"/>
        <w:gridCol w:w="146"/>
        <w:gridCol w:w="828"/>
        <w:gridCol w:w="206"/>
        <w:gridCol w:w="976"/>
      </w:tblGrid>
      <w:tr>
        <w:trPr/>
        <w:tc>
          <w:tcPr>
            <w:tcW w:w="4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2010"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4938"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9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c>
          <w:tcPr>
            <w:tcW w:w="2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Items that have been or may be subsequently </w:t>
              <w:br/>
              <w:t>   reclassified to 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Cash flow hedges adjustments to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Cash flow hedges adjustments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r>
      <w:tr>
        <w:trPr/>
        <w:tc>
          <w:tcPr>
            <w:tcW w:w="5999" w:type="dxa"/>
            <w:gridSpan w:val="4"/>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Related tax benefit on cash flow hedges adjustments to equity</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Foreign currency translation adjustments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302</w:t>
            </w:r>
          </w:p>
        </w:tc>
      </w:tr>
      <w:tr>
        <w:trPr/>
        <w:tc>
          <w:tcPr>
            <w:tcW w:w="5777"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 xml:space="preserve">Reclassification of foreign currency translation </w:t>
              <w:br/>
              <w:t>      adjustments on disposal of equity method investment</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2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299</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Items that will not be reclassified to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Fair value adjustments on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Related tax benefit on fair value adjustments</w:t>
              <w:br/>
              <w:t>       on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Remeasurement on defined benefit pension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r>
      <w:tr>
        <w:trPr/>
        <w:tc>
          <w:tcPr>
            <w:tcW w:w="5999" w:type="dxa"/>
            <w:gridSpan w:val="4"/>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 xml:space="preserve">Related tax expense on remeasurement on defined benefit </w:t>
              <w:br/>
              <w:t>      pension plans</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2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49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2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rPr/>
        <w:tc>
          <w:tcPr>
            <w:tcW w:w="49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comprehensive income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w:t>
            </w:r>
          </w:p>
        </w:tc>
        <w:tc>
          <w:tcPr>
            <w:tcW w:w="2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326</w:t>
            </w:r>
          </w:p>
        </w:tc>
      </w:tr>
      <w:tr>
        <w:trPr/>
        <w:tc>
          <w:tcPr>
            <w:tcW w:w="49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comprehensive income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501</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926</w:t>
            </w:r>
          </w:p>
        </w:tc>
        <w:tc>
          <w:tcPr>
            <w:tcW w:w="2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1,073</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9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Comprehensive income (loss) for the period attributable to:</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8"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940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1,048</w:t>
            </w:r>
          </w:p>
        </w:tc>
      </w:tr>
      <w:tr>
        <w:trPr/>
        <w:tc>
          <w:tcPr>
            <w:tcW w:w="49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Discontinued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2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r>
      <w:tr>
        <w:trPr/>
        <w:tc>
          <w:tcPr>
            <w:tcW w:w="49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comprehensive income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501</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926</w:t>
            </w:r>
          </w:p>
        </w:tc>
        <w:tc>
          <w:tcPr>
            <w:tcW w:w="2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1,073</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44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FINANCIAL POSITION</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rPr/>
      </w:pPr>
      <w:r>
        <w:rPr/>
        <w:t> </w:t>
      </w:r>
    </w:p>
    <w:tbl>
      <w:tblPr>
        <w:tblW w:w="7200" w:type="dxa"/>
        <w:jc w:val="left"/>
        <w:tblInd w:w="0" w:type="dxa"/>
        <w:tblLayout w:type="fixed"/>
        <w:tblCellMar>
          <w:top w:w="28" w:type="dxa"/>
          <w:left w:w="28" w:type="dxa"/>
          <w:bottom w:w="28" w:type="dxa"/>
          <w:right w:w="28" w:type="dxa"/>
        </w:tblCellMar>
      </w:tblPr>
      <w:tblGrid>
        <w:gridCol w:w="3991"/>
        <w:gridCol w:w="691"/>
        <w:gridCol w:w="931"/>
        <w:gridCol w:w="146"/>
        <w:gridCol w:w="1441"/>
      </w:tblGrid>
      <w:tr>
        <w:trPr/>
        <w:tc>
          <w:tcPr>
            <w:tcW w:w="39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rPr/>
        <w:tc>
          <w:tcPr>
            <w:tcW w:w="39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ASSETS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Prepaid expenses and other current assets</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2,228</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 net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361</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 net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1,645</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identifiable intangible assets, net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3,102</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7,913</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466</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680</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1,343</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18,079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 AND EQUITY</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12</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1,090</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1,251</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3,468</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Provisions and other non-current liabilities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13</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210</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6,954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6,026</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Equity</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Capital</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3,597</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Retained earnings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9,220</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Accumulated other comprehensive loss</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(953)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(903)</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equity</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11,125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11,914</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 and equity</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18,079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Contingencies (note 17)</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45</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CASH FLOW</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14"/>
        <w:gridCol w:w="146"/>
        <w:gridCol w:w="691"/>
        <w:gridCol w:w="189"/>
        <w:gridCol w:w="800"/>
        <w:gridCol w:w="189"/>
        <w:gridCol w:w="1032"/>
        <w:gridCol w:w="146"/>
        <w:gridCol w:w="801"/>
        <w:gridCol w:w="176"/>
        <w:gridCol w:w="1021"/>
      </w:tblGrid>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0"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998"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5014"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189"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89"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7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722</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Adjustments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55</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352</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49</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10</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Deferred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18</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169</w:t>
            </w:r>
          </w:p>
        </w:tc>
      </w:tr>
      <w:tr>
        <w:trPr/>
        <w:tc>
          <w:tcPr>
            <w:tcW w:w="50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Changes in working capital and other items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15</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207</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w:t>
            </w:r>
          </w:p>
        </w:tc>
        <w:tc>
          <w:tcPr>
            <w:tcW w:w="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(186)</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cash flows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1,189</w:t>
            </w:r>
          </w:p>
        </w:tc>
      </w:tr>
      <w:tr>
        <w:trPr/>
        <w:tc>
          <w:tcPr>
            <w:tcW w:w="50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cash flows from discontinued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50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provided by operating activities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920</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1,425</w:t>
            </w:r>
          </w:p>
        </w:tc>
        <w:tc>
          <w:tcPr>
            <w:tcW w:w="1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(630)</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Proceeds related to disposals of businesses and </w:t>
              <w:br/>
              <w:t>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(314)</w:t>
            </w:r>
          </w:p>
        </w:tc>
      </w:tr>
      <w:tr>
        <w:trPr/>
        <w:tc>
          <w:tcPr>
            <w:tcW w:w="50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investing activities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50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used in investing activities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(206)</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(573)</w:t>
            </w:r>
          </w:p>
        </w:tc>
        <w:tc>
          <w:tcPr>
            <w:tcW w:w="1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(938)</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(999)</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borrowings under short-term loan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1,305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Payments of lease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Payments for return of capital on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Repurchases of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 on preference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 on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(519)</w:t>
            </w:r>
          </w:p>
        </w:tc>
      </w:tr>
      <w:tr>
        <w:trPr/>
        <w:tc>
          <w:tcPr>
            <w:tcW w:w="50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financing activities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w:t>
            </w:r>
          </w:p>
        </w:tc>
        <w:tc>
          <w:tcPr>
            <w:tcW w:w="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50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used in financing activities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(537)</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(1,275)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(785)</w:t>
            </w:r>
          </w:p>
        </w:tc>
        <w:tc>
          <w:tcPr>
            <w:tcW w:w="1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(1,563)</w:t>
            </w:r>
          </w:p>
        </w:tc>
      </w:tr>
      <w:tr>
        <w:trPr/>
        <w:tc>
          <w:tcPr>
            <w:tcW w:w="50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Translation adjustments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(1,304)</w:t>
            </w:r>
          </w:p>
        </w:tc>
      </w:tr>
      <w:tr>
        <w:trPr/>
        <w:tc>
          <w:tcPr>
            <w:tcW w:w="50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 at beginning of period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400</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1,371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511</w:t>
            </w:r>
          </w:p>
        </w:tc>
        <w:tc>
          <w:tcPr>
            <w:tcW w:w="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1,968</w:t>
            </w:r>
          </w:p>
        </w:tc>
      </w:tr>
      <w:tr>
        <w:trPr/>
        <w:tc>
          <w:tcPr>
            <w:tcW w:w="50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 at end of period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w:t>
            </w:r>
          </w:p>
        </w:tc>
        <w:tc>
          <w:tcPr>
            <w:tcW w:w="1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664</w:t>
            </w:r>
          </w:p>
        </w:tc>
      </w:tr>
      <w:tr>
        <w:trPr/>
        <w:tc>
          <w:tcPr>
            <w:tcW w:w="684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Supplemental cash flow information is provided in note 15.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paid, net of debt related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r>
      <w:tr>
        <w:trPr/>
        <w:tc>
          <w:tcPr>
            <w:tcW w:w="50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Income taxes paid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15</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(152)</w:t>
            </w:r>
          </w:p>
        </w:tc>
        <w:tc>
          <w:tcPr>
            <w:tcW w:w="1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Interest received and interest paid are reflected as operating cash flows.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Income taxes paid are reflected as either operating or investing cash flows depending on the nature of the underlying transaction.</w:t>
      </w:r>
    </w:p>
    <w:p>
      <w:pPr>
        <w:pStyle w:val="TextBody"/>
        <w:bidi w:val="0"/>
        <w:spacing w:before="100" w:after="283"/>
        <w:jc w:val="left"/>
        <w:rPr>
          <w:rFonts w:ascii="Times New Roman" w:hAnsi="Times New Roman"/>
          <w:sz w:val="20"/>
        </w:rPr>
      </w:pPr>
      <w:r>
        <w:rPr>
          <w:rFonts w:ascii="Clario;sans-serif" w:hAnsi="Clario;sans-serif"/>
          <w:color w:val="404040"/>
          <w:sz w:val="18"/>
        </w:rPr>
        <w:t>The related notes form an integral part of these consolidated financial statements.</w:t>
      </w:r>
      <w:r>
        <w:rPr>
          <w:rFonts w:ascii="Times New Roman" w:hAnsi="Times New Roman"/>
          <w:color w:val="404040"/>
          <w:sz w:val="20"/>
        </w:rPr>
        <w:t xml:space="preserve">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46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CHANGES IN EQUITY</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rPr/>
      </w:pPr>
      <w:r>
        <w:rPr/>
        <w:t> </w:t>
      </w:r>
    </w:p>
    <w:tbl>
      <w:tblPr>
        <w:tblW w:w="9549" w:type="dxa"/>
        <w:jc w:val="left"/>
        <w:tblInd w:w="0" w:type="dxa"/>
        <w:tblLayout w:type="fixed"/>
        <w:tblCellMar>
          <w:top w:w="28" w:type="dxa"/>
          <w:left w:w="28" w:type="dxa"/>
          <w:bottom w:w="28" w:type="dxa"/>
          <w:right w:w="28" w:type="dxa"/>
        </w:tblCellMar>
      </w:tblPr>
      <w:tblGrid>
        <w:gridCol w:w="2641"/>
        <w:gridCol w:w="601"/>
        <w:gridCol w:w="976"/>
        <w:gridCol w:w="601"/>
        <w:gridCol w:w="766"/>
        <w:gridCol w:w="1096"/>
        <w:gridCol w:w="1006"/>
        <w:gridCol w:w="1216"/>
        <w:gridCol w:w="646"/>
      </w:tblGrid>
      <w:tr>
        <w:trPr/>
        <w:tc>
          <w:tcPr>
            <w:tcW w:w="26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4"/>
              </w:rPr>
            </w:pPr>
            <w:r>
              <w:rPr>
                <w:rFonts w:ascii="Clario;sans-serif" w:hAnsi="Clario;sans-serif"/>
                <w:b/>
                <w:color w:val="FFFFFF"/>
                <w:sz w:val="14"/>
              </w:rPr>
              <w:t>(millions of U.S. dollars)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Stated</w:t>
              <w:br/>
              <w:t>share</w:t>
              <w:br/>
              <w:t>capital</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Contributed</w:t>
              <w:br/>
              <w:t>surplus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capital</w:t>
            </w:r>
          </w:p>
        </w:tc>
        <w:tc>
          <w:tcPr>
            <w:tcW w:w="76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Retained</w:t>
              <w:br/>
              <w:t>earnings</w:t>
            </w:r>
          </w:p>
        </w:tc>
        <w:tc>
          <w:tcPr>
            <w:tcW w:w="109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Unrecognized</w:t>
              <w:br/>
              <w:t>gain (loss) on</w:t>
              <w:br/>
              <w:t>financial</w:t>
              <w:br/>
              <w:t>instruments</w:t>
            </w:r>
          </w:p>
        </w:tc>
        <w:tc>
          <w:tcPr>
            <w:tcW w:w="100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Foreign</w:t>
              <w:br/>
              <w:t>currency</w:t>
              <w:br/>
              <w:t>translation</w:t>
              <w:br/>
              <w:t>adjustments</w:t>
            </w:r>
          </w:p>
        </w:tc>
        <w:tc>
          <w:tcPr>
            <w:tcW w:w="121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accumulated</w:t>
              <w:br/>
              <w:t>other</w:t>
              <w:br/>
              <w:t>comprehensive</w:t>
              <w:br/>
              <w:t>loss (“AOCL”)</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equity</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December 31, 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2,189</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1,408</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3,597</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9,220</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38</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(941)</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(903)</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11,914</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Net earnings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907</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907</w:t>
            </w:r>
          </w:p>
        </w:tc>
      </w:tr>
      <w:tr>
        <w:trPr/>
        <w:tc>
          <w:tcPr>
            <w:tcW w:w="26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Other comprehensive income </w:t>
              <w:br/>
              <w:t>   (loss)</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62</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10</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(53)</w:t>
            </w:r>
          </w:p>
        </w:tc>
        <w:tc>
          <w:tcPr>
            <w:tcW w:w="1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(43)</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19</w:t>
            </w:r>
          </w:p>
        </w:tc>
      </w:tr>
      <w:tr>
        <w:trPr/>
        <w:tc>
          <w:tcPr>
            <w:tcW w:w="26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Total comprehensive income</w:t>
              <w:br/>
              <w:t>   (loss)</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969</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10</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(53)</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(43)</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926</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Return of capital on common </w:t>
              <w:br/>
              <w:t>   shares (see note 14)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(607)</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(607)</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(607)</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Transfer of gain on disposal of </w:t>
              <w:br/>
              <w:t xml:space="preserve">   equity investments to retained </w:t>
              <w:br/>
              <w:t>   earnings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preference </w:t>
              <w:br/>
              <w:t>   shares</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common </w:t>
              <w:br/>
              <w:t>   shares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(576)</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(576)</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Shares issued under Dividend </w:t>
              <w:br/>
              <w:t>   Reinvestment Plan (“DRIP”)</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21</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21</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21</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Repurchases of common shares</w:t>
              <w:br/>
              <w:t>   (see note 14)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(27)</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(27)</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(346)</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(373)</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Pre-defined share repurchase plan </w:t>
              <w:br/>
              <w:t>   (see note 14)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(13)</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(13)</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(225)</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(238)</w:t>
            </w:r>
          </w:p>
        </w:tc>
      </w:tr>
      <w:tr>
        <w:trPr/>
        <w:tc>
          <w:tcPr>
            <w:tcW w:w="26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Stock compensation plans</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52</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8</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60</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60</w:t>
            </w:r>
          </w:p>
        </w:tc>
      </w:tr>
      <w:tr>
        <w:trPr/>
        <w:tc>
          <w:tcPr>
            <w:tcW w:w="26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June 30, 2026</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1,615</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1,416</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3,031</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9,047</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41</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(994)</w:t>
            </w:r>
          </w:p>
        </w:tc>
        <w:tc>
          <w:tcPr>
            <w:tcW w:w="1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(953)</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11,125</w:t>
            </w:r>
          </w:p>
        </w:tc>
      </w:tr>
    </w:tbl>
    <w:p>
      <w:pPr>
        <w:pStyle w:val="TextBody"/>
        <w:bidi w:val="0"/>
        <w:jc w:val="left"/>
        <w:rPr/>
      </w:pPr>
      <w:r>
        <w:rPr/>
        <w:t> </w:t>
      </w:r>
    </w:p>
    <w:tbl>
      <w:tblPr>
        <w:tblW w:w="8919" w:type="dxa"/>
        <w:jc w:val="left"/>
        <w:tblInd w:w="0" w:type="dxa"/>
        <w:tblLayout w:type="fixed"/>
        <w:tblCellMar>
          <w:top w:w="28" w:type="dxa"/>
          <w:left w:w="28" w:type="dxa"/>
          <w:bottom w:w="28" w:type="dxa"/>
          <w:right w:w="28" w:type="dxa"/>
        </w:tblCellMar>
      </w:tblPr>
      <w:tblGrid>
        <w:gridCol w:w="2596"/>
        <w:gridCol w:w="601"/>
        <w:gridCol w:w="976"/>
        <w:gridCol w:w="601"/>
        <w:gridCol w:w="766"/>
        <w:gridCol w:w="1096"/>
        <w:gridCol w:w="1006"/>
        <w:gridCol w:w="631"/>
        <w:gridCol w:w="646"/>
      </w:tblGrid>
      <w:tr>
        <w:trPr/>
        <w:tc>
          <w:tcPr>
            <w:tcW w:w="2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4"/>
              </w:rPr>
            </w:pPr>
            <w:r>
              <w:rPr>
                <w:rFonts w:ascii="Clario;sans-serif" w:hAnsi="Clario;sans-serif"/>
                <w:b/>
                <w:color w:val="FFFFFF"/>
                <w:sz w:val="14"/>
              </w:rPr>
              <w:t>(millions of U.S. dollars)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Stated</w:t>
              <w:br/>
              <w:t>share</w:t>
              <w:br/>
              <w:t>capital</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Contributed</w:t>
              <w:br/>
              <w:t>surplus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capital</w:t>
            </w:r>
          </w:p>
        </w:tc>
        <w:tc>
          <w:tcPr>
            <w:tcW w:w="76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Retained</w:t>
              <w:br/>
              <w:t>earnings</w:t>
            </w:r>
          </w:p>
        </w:tc>
        <w:tc>
          <w:tcPr>
            <w:tcW w:w="109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Unrecognized</w:t>
              <w:br/>
              <w:t>gain (loss) on</w:t>
              <w:br/>
              <w:t>financial</w:t>
              <w:br/>
              <w:t>instruments</w:t>
            </w:r>
          </w:p>
        </w:tc>
        <w:tc>
          <w:tcPr>
            <w:tcW w:w="100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Foreign</w:t>
              <w:br/>
              <w:t>currency</w:t>
              <w:br/>
              <w:t>translation</w:t>
              <w:br/>
              <w:t>adjustments</w:t>
            </w:r>
          </w:p>
        </w:tc>
        <w:tc>
          <w:tcPr>
            <w:tcW w:w="63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AOCL</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equity</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December 31, 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2,067</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1,431</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3,498</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9,699</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19</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(1,210)</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(1,191)</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12,006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Net earnings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747</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747</w:t>
            </w:r>
          </w:p>
        </w:tc>
      </w:tr>
      <w:tr>
        <w:trPr/>
        <w:tc>
          <w:tcPr>
            <w:tcW w:w="25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Other comprehensive income </w:t>
              <w:br/>
              <w:t>   (loss)</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29</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(5)</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302</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297</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326</w:t>
            </w:r>
          </w:p>
        </w:tc>
      </w:tr>
      <w:tr>
        <w:trPr/>
        <w:tc>
          <w:tcPr>
            <w:tcW w:w="25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Total comprehensive income </w:t>
              <w:br/>
              <w:t>   (loss)</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776</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(5)</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302</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297</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1,073</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Transfer of gain on disposal of </w:t>
              <w:br/>
              <w:t>   equity investments to retained</w:t>
              <w:br/>
              <w:t>   earnings</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preference </w:t>
              <w:br/>
              <w:t>   shares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common </w:t>
              <w:br/>
              <w:t>   shares</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(536)</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(536)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Shares issued under DRIP</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17</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17</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17</w:t>
            </w:r>
          </w:p>
        </w:tc>
      </w:tr>
      <w:tr>
        <w:trPr/>
        <w:tc>
          <w:tcPr>
            <w:tcW w:w="25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Stock compensation plans</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94</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(31)</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63</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(5)</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58</w:t>
            </w:r>
          </w:p>
        </w:tc>
      </w:tr>
      <w:tr>
        <w:trPr/>
        <w:tc>
          <w:tcPr>
            <w:tcW w:w="25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June 30, 2025</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2,178</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1,400</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3,578</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9,933</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13</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(908)</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(895)</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12,616</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bidi w:val="0"/>
        <w:jc w:val="left"/>
        <w:rPr/>
      </w:pPr>
      <w:r>
        <w:rPr/>
        <w:t> </w:t>
      </w:r>
    </w:p>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47</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left"/>
        <w:rPr>
          <w:rFonts w:ascii="Clario;sans-serif" w:hAnsi="Clario;sans-serif"/>
          <w:color w:val="404040"/>
          <w:sz w:val="32"/>
        </w:rPr>
      </w:pPr>
      <w:r>
        <w:rPr>
          <w:rFonts w:ascii="Clario;sans-serif" w:hAnsi="Clario;sans-serif"/>
          <w:color w:val="404040"/>
          <w:sz w:val="32"/>
        </w:rPr>
        <w:t>Thomson Reuters Corporation</w:t>
      </w:r>
    </w:p>
    <w:p>
      <w:pPr>
        <w:pStyle w:val="Heading1"/>
        <w:bidi w:val="0"/>
        <w:jc w:val="left"/>
        <w:rPr>
          <w:rFonts w:ascii="Clario;sans-serif" w:hAnsi="Clario;sans-serif"/>
          <w:b w:val="false"/>
          <w:color w:val="404040"/>
          <w:sz w:val="32"/>
        </w:rPr>
      </w:pPr>
      <w:r>
        <w:rPr>
          <w:rFonts w:ascii="Clario;sans-serif" w:hAnsi="Clario;sans-serif"/>
          <w:b w:val="false"/>
          <w:color w:val="404040"/>
          <w:sz w:val="32"/>
        </w:rPr>
        <w:t>Notes to Consolidated Financial Statements (unaudited)</w:t>
      </w:r>
    </w:p>
    <w:p>
      <w:pPr>
        <w:pStyle w:val="TextBody"/>
        <w:bidi w:val="0"/>
        <w:spacing w:before="100" w:after="283"/>
        <w:jc w:val="left"/>
        <w:rPr>
          <w:rFonts w:ascii="Clario;sans-serif" w:hAnsi="Clario;sans-serif"/>
          <w:color w:val="404040"/>
          <w:sz w:val="20"/>
        </w:rPr>
      </w:pPr>
      <w:r>
        <w:rPr>
          <w:rFonts w:ascii="Clario;sans-serif" w:hAnsi="Clario;sans-serif"/>
          <w:color w:val="404040"/>
          <w:sz w:val="20"/>
        </w:rPr>
        <w:t>(unless otherwise stated, all amounts are in millions of U.S. dollars)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 Business Description and Basis of Preparation</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General business description</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Thomson Reuters Corporation is an Ontario, Canada corporation with common shares listed on the Toronto Stock Exchange ("TSX") and on the U.S. stock exchange, The Nasdaq Stock Market LLC (“Nasdaq”), under the ticker symbol “TRI”, and its Series II preference shares are listed on the TSX.</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Unless otherwise indicated or the context otherwise requires, references in these consolidated financial statements to the “Company” and “Thomson Reuters” are to Thomson Reuters Corporation and its subsidiaries.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Company serves professionals across legal, tax, audit, accounting, compliance, government, and media. The Company's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These unaudited interim consolidated financial statements (“interim financial statements”) were approved by the Audit Committee of the Board of Directors of the Company on August 4, 2026.</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Basis of preparation</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The interim financial statements were prepared using the same accounting policies and methods as those used in the Company’s consolidated financial statements for the year ended December 31, 2025, except as described below. The interim financial statements comply with International Accounting Standard 34, </w:t>
      </w:r>
      <w:r>
        <w:rPr>
          <w:rFonts w:ascii="Clario;sans-serif" w:hAnsi="Clario;sans-serif"/>
          <w:i/>
          <w:color w:val="404040"/>
          <w:sz w:val="18"/>
        </w:rPr>
        <w:t>Interim Financial Reporting</w:t>
      </w:r>
      <w:r>
        <w:rPr>
          <w:rFonts w:ascii="Times New Roman" w:hAnsi="Times New Roman"/>
          <w:color w:val="404040"/>
          <w:sz w:val="20"/>
        </w:rPr>
        <w:t xml:space="preserve"> </w:t>
      </w:r>
      <w:r>
        <w:rPr>
          <w:rFonts w:ascii="Clario;sans-serif" w:hAnsi="Clario;sans-serif"/>
          <w:color w:val="404040"/>
          <w:sz w:val="18"/>
        </w:rPr>
        <w:t>(“IAS 34”). Accordingly, certain information and footnote disclosure normally included in annual financial statements prepared in accordance with International Financial Reporting Standards (“IFRS”), as issued by the International Accounting Standards Board ("IASB"), have been omitted or condensed.</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preparation of financial statements in accordance with IAS 34 requires the use of certain critical accounting estimates. It also requires management to exercise judgment in applying the Company’s accounting policies. The areas involving more judgment or complexity, or areas where assumptions and estimates are significant to the consolidated financial statements have been disclosed in note 2 of the consolidated financial statements for the year ended December 31, 2025.</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Company continues to operate in an uncertain macroeconomic environment, reflecting ongoing geopolitical risk, uneven economic growth, and an evolving interest rate and inflationary backdrop, among other factors. While the Company is closely monitoring these conditions to assess potential impacts on its businesses, some of management’s estimates and judgments may be more variable and may change materially in the future due to the significant uncertainty created by these circumstances.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accompanying interim financial statements include all adjustments, composed of normal recurring adjustments, considered necessary by management to fairly state the Company’s results of operations, financial position and cash flows. The operating results for interim periods are not necessarily indicative of results that may be expected for any other interim period or for the full year. These interim financial statements should be read in conjunction with the Company’s consolidated financial statements for the year ended December 31, 2025, which are included in the Company’s 2025</w:t>
      </w:r>
      <w:r>
        <w:rPr>
          <w:rFonts w:ascii="Times New Roman" w:hAnsi="Times New Roman"/>
          <w:color w:val="404040"/>
          <w:sz w:val="20"/>
        </w:rPr>
        <w:t xml:space="preserve"> </w:t>
      </w:r>
      <w:r>
        <w:rPr>
          <w:rFonts w:ascii="Clario;sans-serif" w:hAnsi="Clario;sans-serif"/>
          <w:color w:val="404040"/>
          <w:sz w:val="18"/>
        </w:rPr>
        <w:t>annual report.</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Changes in accounting policies</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In May 2024, the IASB issued amendments to IFRS 9, </w:t>
      </w:r>
      <w:r>
        <w:rPr>
          <w:rFonts w:ascii="Clario;sans-serif" w:hAnsi="Clario;sans-serif"/>
          <w:i/>
          <w:color w:val="404040"/>
          <w:sz w:val="18"/>
        </w:rPr>
        <w:t xml:space="preserve">Financial Instruments </w:t>
      </w:r>
      <w:r>
        <w:rPr>
          <w:rFonts w:ascii="Clario;sans-serif" w:hAnsi="Clario;sans-serif"/>
          <w:color w:val="404040"/>
          <w:sz w:val="18"/>
        </w:rPr>
        <w:t xml:space="preserve">and IFRS 7, </w:t>
      </w:r>
      <w:r>
        <w:rPr>
          <w:rFonts w:ascii="Clario;sans-serif" w:hAnsi="Clario;sans-serif"/>
          <w:i/>
          <w:color w:val="404040"/>
          <w:sz w:val="18"/>
        </w:rPr>
        <w:t xml:space="preserve">Financial Instruments: Disclosures. </w:t>
      </w:r>
      <w:r>
        <w:rPr>
          <w:rFonts w:ascii="Clario;sans-serif" w:hAnsi="Clario;sans-serif"/>
          <w:color w:val="404040"/>
          <w:sz w:val="18"/>
        </w:rPr>
        <w:t>The amendments introduce:</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An election permitting derecognition of financial liabilities that are settled through an electronic payment system before the actual settlement date, if certain conditions are met;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Expanded annual disclosures for (a) investments in equity instruments and (b) financial liabilities that have features unrelated to basic lending risks, such as achieving sustainability targets, that could affect the cash flows of those liabilities.</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amendments were effective for reporting periods beginning January 1, 2026 and did not have a material impact on the Company’s financial statements.</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48</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b/>
          <w:color w:val="404040"/>
          <w:sz w:val="18"/>
        </w:rPr>
        <w:t>Recent accounting pronouncements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u w:val="single"/>
        </w:rPr>
        <w:t xml:space="preserve">IFRS 18, </w:t>
      </w:r>
      <w:r>
        <w:rPr>
          <w:rFonts w:ascii="Clario;sans-serif" w:hAnsi="Clario;sans-serif"/>
          <w:i/>
          <w:color w:val="404040"/>
          <w:sz w:val="18"/>
          <w:u w:val="single"/>
        </w:rPr>
        <w:t xml:space="preserve">Presentation and Disclosure in Financial Statements </w:t>
      </w:r>
      <w:r>
        <w:rPr>
          <w:rFonts w:ascii="Clario;sans-serif" w:hAnsi="Clario;sans-serif"/>
          <w:color w:val="404040"/>
          <w:sz w:val="18"/>
          <w:u w:val="single"/>
        </w:rPr>
        <w:t>and</w:t>
      </w:r>
      <w:r>
        <w:rPr>
          <w:rFonts w:ascii="Times New Roman" w:hAnsi="Times New Roman"/>
          <w:color w:val="404040"/>
          <w:sz w:val="20"/>
          <w:u w:val="single"/>
        </w:rPr>
        <w:t xml:space="preserve"> </w:t>
      </w:r>
      <w:r>
        <w:rPr>
          <w:rFonts w:ascii="Clario;sans-serif" w:hAnsi="Clario;sans-serif"/>
          <w:color w:val="404040"/>
          <w:sz w:val="18"/>
          <w:u w:val="single"/>
        </w:rPr>
        <w:t xml:space="preserve">associated amendments to IAS 7, </w:t>
      </w:r>
      <w:r>
        <w:rPr>
          <w:rFonts w:ascii="Clario;sans-serif" w:hAnsi="Clario;sans-serif"/>
          <w:i/>
          <w:color w:val="404040"/>
          <w:sz w:val="18"/>
          <w:u w:val="single"/>
        </w:rPr>
        <w:t>Statement of Cash Flows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In April 2024, the IASB issued IFRS 18 and amendments to IAS 7. IFRS 18 will replace IAS 1, </w:t>
      </w:r>
      <w:r>
        <w:rPr>
          <w:rFonts w:ascii="Clario;sans-serif" w:hAnsi="Clario;sans-serif"/>
          <w:i/>
          <w:color w:val="404040"/>
          <w:sz w:val="18"/>
        </w:rPr>
        <w:t xml:space="preserve">Presentation of Financial Statements. </w:t>
      </w:r>
      <w:r>
        <w:rPr>
          <w:rFonts w:ascii="Clario;sans-serif" w:hAnsi="Clario;sans-serif"/>
          <w:color w:val="404040"/>
          <w:sz w:val="18"/>
        </w:rPr>
        <w:t>IFRS 18 and related interpretations, together with the amendments to IAS 7, are effective for reporting periods beginning January 1, 2027, with retrospective application. Both IFRS 18 and the amendments to IAS 7 are presentation and disclosure related and do not impact the measurement of the Company’s results of operations, financial condition or cash flows.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IFRS 18 will change the presentation of the Company’s financial statements and add new disclosure requirements. Specifically, the new standard requires:</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consolidated income statement to be structured according to operating, investing, financing, income taxes and discontinued operations categories. IFRS 18 also requires subtotals for “Operating Profit” and “Profit Before Financing and Income Taxes”;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Management-defined performance measurements (“MPMs”), which represent certain of the Company’s non-IFRS measures, need to be identified, defined, and have an explanation of why each one is useful. Each MPM must be reconciled to the most directly comparable IFRS subtotal. All disclosures related to MPMs must be disclosed in a single note within the consolidated financial statements;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The application of enhanced guidance related to the grouping of financial information associated with amounts presented within the financial statements, otherwise known as aggregation or disaggregation.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is in the process of assessing its consolidated income statement and other financial statements according to the IFRS 18 and IAS 7 amendments guidance set forth in the standards. Additionally, the Company is evaluating its non-IFRS measures to identify those that meet the definition of a MPM.</w:t>
      </w:r>
    </w:p>
    <w:p>
      <w:pPr>
        <w:pStyle w:val="TextBody"/>
        <w:bidi w:val="0"/>
        <w:spacing w:before="100" w:after="283"/>
        <w:jc w:val="left"/>
        <w:rPr>
          <w:rFonts w:ascii="Times New Roman" w:hAnsi="Times New Roman"/>
          <w:sz w:val="20"/>
        </w:rPr>
      </w:pPr>
      <w:r>
        <w:rPr>
          <w:rFonts w:ascii="Clario;sans-serif" w:hAnsi="Clario;sans-serif"/>
          <w:color w:val="404040"/>
          <w:sz w:val="18"/>
        </w:rPr>
        <w:t>Other pronouncements issued by the IASB and International Financial Reporting Interpretations Committee (“IFRIC”) are not applicable or consequential to the Company.</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Revisions to segment results</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In the first quarter of 2026, the Company changed its segment reporting to reflect how it currently manages its segments. The change reflects the transfer of certain customers and their related revenues and expenses among the Company's Legal Professionals, Corporates and Tax, Audit &amp; Accounting Professionals segments. These changes impact the financial results of the Company's segments, but do not change its consolidated financial results. The following summarizes the changes to the applicable segment's reported amounts.</w:t>
      </w:r>
    </w:p>
    <w:p>
      <w:pPr>
        <w:pStyle w:val="TextBody"/>
        <w:bidi w:val="0"/>
        <w:jc w:val="left"/>
        <w:rPr/>
      </w:pPr>
      <w:r>
        <w:rPr/>
        <w:t> </w:t>
      </w:r>
    </w:p>
    <w:p>
      <w:pPr>
        <w:pStyle w:val="TextBody"/>
        <w:bidi w:val="0"/>
        <w:jc w:val="left"/>
        <w:rPr>
          <w:rFonts w:ascii="Clario;sans-serif" w:hAnsi="Clario;sans-serif"/>
          <w:color w:val="404040"/>
          <w:sz w:val="18"/>
          <w:u w:val="single"/>
        </w:rPr>
      </w:pPr>
      <w:r>
        <w:rPr>
          <w:rFonts w:ascii="Clario;sans-serif" w:hAnsi="Clario;sans-serif"/>
          <w:color w:val="404040"/>
          <w:sz w:val="18"/>
          <w:u w:val="single"/>
        </w:rPr>
        <w:t>Three months ended June 30, 2025</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 xml:space="preserve">Legal Professionals revenues decreased $5 million to $704 million and adjusted EBITDA was unchanged at $339 million;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Corporates revenues increased $8 million to $480 million and adjusted EBITDA increased $3 million to $172 million; and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Tax, Audit &amp; Accounting Professionals revenues decreased $3 million to $274 million and adjusted EBITDA decreased $3 million to $110 million.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u w:val="single"/>
        </w:rPr>
        <w:t>Six months ended June 30, 2025</w:t>
      </w:r>
      <w:r>
        <w:rPr>
          <w:rFonts w:ascii="Times New Roman" w:hAnsi="Times New Roman"/>
          <w:color w:val="404040"/>
          <w:sz w:val="20"/>
        </w:rPr>
        <w:t xml:space="preserve"> </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 xml:space="preserve">Legal Professionals revenues decreased $10 million to $1,392 million and adjusted EBITDA was unchanged at $675 million;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Corporates revenues increased $15 million to $1,028 million and adjusted EBITDA increased $5 million to $387 million; and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Tax, Audit &amp; Accounting Professionals revenues decreased $5 million to $632 million and adjusted EBITDA decreased $5 million to $318 million.</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49</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Times New Roman" w:hAnsi="Times New Roman"/>
          <w:sz w:val="20"/>
        </w:rPr>
      </w:pPr>
      <w:r>
        <w:rPr>
          <w:rFonts w:ascii="Clario;sans-serif" w:hAnsi="Clario;sans-serif"/>
          <w:b/>
          <w:i/>
          <w:color w:val="404040"/>
          <w:sz w:val="18"/>
        </w:rPr>
        <w:t>Note 2: Revenues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Revenues by type and geography</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tables disaggregate revenues by type and geography and reconcile them to reportable segments (see note 3).</w:t>
      </w:r>
      <w:r>
        <w:rPr>
          <w:rFonts w:ascii="Times New Roman" w:hAnsi="Times New Roman"/>
          <w:color w:val="404040"/>
          <w:sz w:val="20"/>
        </w:rPr>
        <w:t xml:space="preserve"> </w:t>
      </w:r>
    </w:p>
    <w:p>
      <w:pPr>
        <w:pStyle w:val="TextBody"/>
        <w:bidi w:val="0"/>
        <w:spacing w:before="1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78"/>
        <w:gridCol w:w="745"/>
        <w:gridCol w:w="670"/>
        <w:gridCol w:w="593"/>
        <w:gridCol w:w="533"/>
        <w:gridCol w:w="814"/>
        <w:gridCol w:w="732"/>
        <w:gridCol w:w="586"/>
        <w:gridCol w:w="526"/>
        <w:gridCol w:w="589"/>
        <w:gridCol w:w="529"/>
        <w:gridCol w:w="708"/>
        <w:gridCol w:w="636"/>
        <w:gridCol w:w="646"/>
        <w:gridCol w:w="620"/>
      </w:tblGrid>
      <w:tr>
        <w:trPr/>
        <w:tc>
          <w:tcPr>
            <w:tcW w:w="127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278"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Revenues by type</w:t>
              <w:br/>
              <w:t>(millions of U.S. dollars)</w:t>
            </w:r>
          </w:p>
        </w:tc>
        <w:tc>
          <w:tcPr>
            <w:tcW w:w="1415"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Legal Professionals</w:t>
            </w:r>
          </w:p>
        </w:tc>
        <w:tc>
          <w:tcPr>
            <w:tcW w:w="112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Corporates</w:t>
            </w:r>
          </w:p>
        </w:tc>
        <w:tc>
          <w:tcPr>
            <w:tcW w:w="154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Tax, Audit &amp; Accounting Professionals</w:t>
            </w:r>
          </w:p>
        </w:tc>
        <w:tc>
          <w:tcPr>
            <w:tcW w:w="111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Reuters</w:t>
            </w:r>
          </w:p>
        </w:tc>
        <w:tc>
          <w:tcPr>
            <w:tcW w:w="1118"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Global Print</w:t>
            </w:r>
          </w:p>
        </w:tc>
        <w:tc>
          <w:tcPr>
            <w:tcW w:w="1344"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Eliminations / Rounding</w:t>
            </w:r>
          </w:p>
        </w:tc>
        <w:tc>
          <w:tcPr>
            <w:tcW w:w="126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Total</w:t>
            </w:r>
          </w:p>
        </w:tc>
      </w:tr>
      <w:tr>
        <w:trPr/>
        <w:tc>
          <w:tcPr>
            <w:tcW w:w="1278" w:type="dxa"/>
            <w:tcBorders/>
            <w:shd w:fill="D0D0D0"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Clario;sans-serif" w:hAnsi="Clario;sans-serif"/>
                <w:b/>
                <w:color w:val="404040"/>
                <w:sz w:val="16"/>
              </w:rPr>
              <w:t xml:space="preserve">Three months ended </w:t>
              <w:br/>
              <w:t>   June 30,</w:t>
            </w:r>
            <w:r>
              <w:rPr>
                <w:rFonts w:ascii="Clario;sans-serif" w:hAnsi="Clario;sans-serif"/>
                <w:b/>
                <w:color w:val="404040"/>
                <w:sz w:val="11"/>
              </w:rPr>
              <w:t>(1)</w:t>
            </w:r>
          </w:p>
        </w:tc>
        <w:tc>
          <w:tcPr>
            <w:tcW w:w="74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7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9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3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81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3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70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2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r>
      <w:tr>
        <w:trPr/>
        <w:tc>
          <w:tcPr>
            <w:tcW w:w="127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Recurring</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748</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684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462</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421</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209</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187</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188</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176</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1,601</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1,463</w:t>
            </w:r>
          </w:p>
        </w:tc>
      </w:tr>
      <w:tr>
        <w:trPr/>
        <w:tc>
          <w:tcPr>
            <w:tcW w:w="127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Transactions</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24</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75</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59</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102</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87</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42</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242</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208</w:t>
            </w:r>
          </w:p>
        </w:tc>
      </w:tr>
      <w:tr>
        <w:trPr/>
        <w:tc>
          <w:tcPr>
            <w:tcW w:w="12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Global Print</w:t>
            </w:r>
          </w:p>
        </w:tc>
        <w:tc>
          <w:tcPr>
            <w:tcW w:w="74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5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8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5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111</w:t>
            </w:r>
          </w:p>
        </w:tc>
        <w:tc>
          <w:tcPr>
            <w:tcW w:w="5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114</w:t>
            </w:r>
          </w:p>
        </w:tc>
        <w:tc>
          <w:tcPr>
            <w:tcW w:w="7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111</w:t>
            </w:r>
          </w:p>
        </w:tc>
        <w:tc>
          <w:tcPr>
            <w:tcW w:w="6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114</w:t>
            </w:r>
          </w:p>
        </w:tc>
      </w:tr>
      <w:tr>
        <w:trPr/>
        <w:tc>
          <w:tcPr>
            <w:tcW w:w="12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Total</w:t>
            </w:r>
          </w:p>
        </w:tc>
        <w:tc>
          <w:tcPr>
            <w:tcW w:w="74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772</w:t>
            </w:r>
          </w:p>
        </w:tc>
        <w:tc>
          <w:tcPr>
            <w:tcW w:w="6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704</w:t>
            </w:r>
          </w:p>
        </w:tc>
        <w:tc>
          <w:tcPr>
            <w:tcW w:w="5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537</w:t>
            </w:r>
          </w:p>
        </w:tc>
        <w:tc>
          <w:tcPr>
            <w:tcW w:w="5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480</w:t>
            </w:r>
          </w:p>
        </w:tc>
        <w:tc>
          <w:tcPr>
            <w:tcW w:w="8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311</w:t>
            </w:r>
          </w:p>
        </w:tc>
        <w:tc>
          <w:tcPr>
            <w:tcW w:w="7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274</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229</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218</w:t>
            </w:r>
          </w:p>
        </w:tc>
        <w:tc>
          <w:tcPr>
            <w:tcW w:w="5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111</w:t>
            </w:r>
          </w:p>
        </w:tc>
        <w:tc>
          <w:tcPr>
            <w:tcW w:w="5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114</w:t>
            </w:r>
          </w:p>
        </w:tc>
        <w:tc>
          <w:tcPr>
            <w:tcW w:w="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w:t>
            </w:r>
          </w:p>
        </w:tc>
        <w:tc>
          <w:tcPr>
            <w:tcW w:w="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1,954</w:t>
            </w:r>
          </w:p>
        </w:tc>
        <w:tc>
          <w:tcPr>
            <w:tcW w:w="6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1,785</w:t>
            </w:r>
          </w:p>
        </w:tc>
      </w:tr>
    </w:tbl>
    <w:p>
      <w:pPr>
        <w:pStyle w:val="TextBody"/>
        <w:bidi w:val="0"/>
        <w:spacing w:before="1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57"/>
        <w:gridCol w:w="746"/>
        <w:gridCol w:w="660"/>
        <w:gridCol w:w="646"/>
        <w:gridCol w:w="571"/>
        <w:gridCol w:w="792"/>
        <w:gridCol w:w="713"/>
        <w:gridCol w:w="586"/>
        <w:gridCol w:w="526"/>
        <w:gridCol w:w="588"/>
        <w:gridCol w:w="528"/>
        <w:gridCol w:w="698"/>
        <w:gridCol w:w="627"/>
        <w:gridCol w:w="646"/>
        <w:gridCol w:w="621"/>
      </w:tblGrid>
      <w:tr>
        <w:trPr/>
        <w:tc>
          <w:tcPr>
            <w:tcW w:w="12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257"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Revenues by type</w:t>
              <w:br/>
              <w:t>(millions of U.S. dollars)</w:t>
            </w:r>
          </w:p>
        </w:tc>
        <w:tc>
          <w:tcPr>
            <w:tcW w:w="140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Legal Professionals</w:t>
            </w:r>
          </w:p>
        </w:tc>
        <w:tc>
          <w:tcPr>
            <w:tcW w:w="1217"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Corporates</w:t>
            </w:r>
          </w:p>
        </w:tc>
        <w:tc>
          <w:tcPr>
            <w:tcW w:w="1505"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Tax, Audit &amp; Accounting Professionals</w:t>
            </w:r>
          </w:p>
        </w:tc>
        <w:tc>
          <w:tcPr>
            <w:tcW w:w="111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Reuters</w:t>
            </w:r>
          </w:p>
        </w:tc>
        <w:tc>
          <w:tcPr>
            <w:tcW w:w="111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Global Print</w:t>
            </w:r>
          </w:p>
        </w:tc>
        <w:tc>
          <w:tcPr>
            <w:tcW w:w="1325"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Eliminations / Rounding</w:t>
            </w:r>
          </w:p>
        </w:tc>
        <w:tc>
          <w:tcPr>
            <w:tcW w:w="1267"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Total</w:t>
            </w:r>
          </w:p>
        </w:tc>
      </w:tr>
      <w:tr>
        <w:trPr/>
        <w:tc>
          <w:tcPr>
            <w:tcW w:w="1257" w:type="dxa"/>
            <w:tcBorders/>
            <w:shd w:fill="D0D0D0"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Clario;sans-serif" w:hAnsi="Clario;sans-serif"/>
                <w:b/>
                <w:color w:val="404040"/>
                <w:sz w:val="16"/>
              </w:rPr>
              <w:t xml:space="preserve">Six months ended </w:t>
              <w:br/>
              <w:t>   June 30,</w:t>
            </w:r>
            <w:r>
              <w:rPr>
                <w:rFonts w:ascii="Clario;sans-serif" w:hAnsi="Clario;sans-serif"/>
                <w:b/>
                <w:color w:val="404040"/>
                <w:sz w:val="11"/>
              </w:rPr>
              <w:t>(1)</w:t>
            </w:r>
          </w:p>
        </w:tc>
        <w:tc>
          <w:tcPr>
            <w:tcW w:w="7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6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7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79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1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9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2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r>
      <w:tr>
        <w:trPr/>
        <w:tc>
          <w:tcPr>
            <w:tcW w:w="125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Recurring</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1,487</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1,354</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911</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828</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438</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392</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374</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351</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3,196</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2,914</w:t>
            </w:r>
          </w:p>
        </w:tc>
      </w:tr>
      <w:tr>
        <w:trPr/>
        <w:tc>
          <w:tcPr>
            <w:tcW w:w="125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Transactions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41</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38</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234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200</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283</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240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63</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622</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541</w:t>
            </w:r>
          </w:p>
        </w:tc>
      </w:tr>
      <w:tr>
        <w:trPr/>
        <w:tc>
          <w:tcPr>
            <w:tcW w:w="12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Global Print</w:t>
            </w:r>
          </w:p>
        </w:tc>
        <w:tc>
          <w:tcPr>
            <w:tcW w:w="7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6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7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5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223</w:t>
            </w:r>
          </w:p>
        </w:tc>
        <w:tc>
          <w:tcPr>
            <w:tcW w:w="5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230</w:t>
            </w:r>
          </w:p>
        </w:tc>
        <w:tc>
          <w:tcPr>
            <w:tcW w:w="6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223</w:t>
            </w:r>
          </w:p>
        </w:tc>
        <w:tc>
          <w:tcPr>
            <w:tcW w:w="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230</w:t>
            </w:r>
          </w:p>
        </w:tc>
      </w:tr>
      <w:tr>
        <w:trPr/>
        <w:tc>
          <w:tcPr>
            <w:tcW w:w="125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Total</w:t>
            </w:r>
          </w:p>
        </w:tc>
        <w:tc>
          <w:tcPr>
            <w:tcW w:w="7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1,528</w:t>
            </w:r>
          </w:p>
        </w:tc>
        <w:tc>
          <w:tcPr>
            <w:tcW w:w="66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1,392</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1,145</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1,028</w:t>
            </w:r>
          </w:p>
        </w:tc>
        <w:tc>
          <w:tcPr>
            <w:tcW w:w="7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721</w:t>
            </w:r>
          </w:p>
        </w:tc>
        <w:tc>
          <w:tcPr>
            <w:tcW w:w="7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632</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441</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414</w:t>
            </w:r>
          </w:p>
        </w:tc>
        <w:tc>
          <w:tcPr>
            <w:tcW w:w="5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223</w:t>
            </w:r>
          </w:p>
        </w:tc>
        <w:tc>
          <w:tcPr>
            <w:tcW w:w="5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230</w:t>
            </w:r>
          </w:p>
        </w:tc>
        <w:tc>
          <w:tcPr>
            <w:tcW w:w="6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(17)</w:t>
            </w:r>
          </w:p>
        </w:tc>
        <w:tc>
          <w:tcPr>
            <w:tcW w:w="6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4,041</w:t>
            </w:r>
          </w:p>
        </w:tc>
        <w:tc>
          <w:tcPr>
            <w:tcW w:w="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3,685</w:t>
            </w:r>
          </w:p>
        </w:tc>
      </w:tr>
    </w:tbl>
    <w:p>
      <w:pPr>
        <w:pStyle w:val="TextBody"/>
        <w:bidi w:val="0"/>
        <w:spacing w:before="1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51"/>
        <w:gridCol w:w="747"/>
        <w:gridCol w:w="672"/>
        <w:gridCol w:w="593"/>
        <w:gridCol w:w="533"/>
        <w:gridCol w:w="822"/>
        <w:gridCol w:w="739"/>
        <w:gridCol w:w="586"/>
        <w:gridCol w:w="526"/>
        <w:gridCol w:w="589"/>
        <w:gridCol w:w="529"/>
        <w:gridCol w:w="712"/>
        <w:gridCol w:w="640"/>
        <w:gridCol w:w="646"/>
        <w:gridCol w:w="620"/>
      </w:tblGrid>
      <w:tr>
        <w:trPr/>
        <w:tc>
          <w:tcPr>
            <w:tcW w:w="12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251" w:type="dxa"/>
            <w:tcBorders/>
            <w:shd w:fill="666666"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Clario;sans-serif" w:hAnsi="Clario;sans-serif"/>
                <w:b/>
                <w:color w:val="FFFFFF"/>
                <w:sz w:val="16"/>
              </w:rPr>
              <w:t>Revenues by geography</w:t>
            </w:r>
            <w:r>
              <w:rPr>
                <w:rFonts w:ascii="Clario;sans-serif" w:hAnsi="Clario;sans-serif"/>
                <w:b/>
                <w:color w:val="FFFFFF"/>
                <w:sz w:val="11"/>
              </w:rPr>
              <w:t>(2)</w:t>
            </w:r>
            <w:r>
              <w:rPr>
                <w:rFonts w:ascii="Clario;sans-serif" w:hAnsi="Clario;sans-serif"/>
                <w:b/>
                <w:color w:val="FFFFFF"/>
                <w:sz w:val="16"/>
              </w:rPr>
              <w:br/>
              <w:t>(millions of U.S. dollars)</w:t>
            </w:r>
          </w:p>
        </w:tc>
        <w:tc>
          <w:tcPr>
            <w:tcW w:w="1419"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Legal Professionals</w:t>
            </w:r>
          </w:p>
        </w:tc>
        <w:tc>
          <w:tcPr>
            <w:tcW w:w="112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Corporates</w:t>
            </w:r>
          </w:p>
        </w:tc>
        <w:tc>
          <w:tcPr>
            <w:tcW w:w="1561"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Tax, Audit &amp; Accounting Professionals</w:t>
            </w:r>
          </w:p>
        </w:tc>
        <w:tc>
          <w:tcPr>
            <w:tcW w:w="111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Reuters</w:t>
            </w:r>
          </w:p>
        </w:tc>
        <w:tc>
          <w:tcPr>
            <w:tcW w:w="1118"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Global Print</w:t>
            </w:r>
          </w:p>
        </w:tc>
        <w:tc>
          <w:tcPr>
            <w:tcW w:w="135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Eliminations / Rounding</w:t>
            </w:r>
          </w:p>
        </w:tc>
        <w:tc>
          <w:tcPr>
            <w:tcW w:w="126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Total</w:t>
            </w:r>
          </w:p>
        </w:tc>
      </w:tr>
      <w:tr>
        <w:trPr/>
        <w:tc>
          <w:tcPr>
            <w:tcW w:w="1251" w:type="dxa"/>
            <w:tcBorders/>
            <w:shd w:fill="D0D0D0"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Clario;sans-serif" w:hAnsi="Clario;sans-serif"/>
                <w:b/>
                <w:color w:val="404040"/>
                <w:sz w:val="16"/>
              </w:rPr>
              <w:t xml:space="preserve">Three months ended </w:t>
              <w:br/>
              <w:t>   June 30,</w:t>
            </w:r>
            <w:r>
              <w:rPr>
                <w:rFonts w:ascii="Clario;sans-serif" w:hAnsi="Clario;sans-serif"/>
                <w:b/>
                <w:color w:val="404040"/>
                <w:sz w:val="11"/>
              </w:rPr>
              <w:t>(1)</w:t>
            </w:r>
          </w:p>
        </w:tc>
        <w:tc>
          <w:tcPr>
            <w:tcW w:w="74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7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9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3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82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3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71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4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2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U.S.</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603</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549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390</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362</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227</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204</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64</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61</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87</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90</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1,365</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1,261</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Canada</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29</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60</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55</w:t>
            </w:r>
          </w:p>
        </w:tc>
      </w:tr>
      <w:tr>
        <w:trPr/>
        <w:tc>
          <w:tcPr>
            <w:tcW w:w="1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Other</w:t>
            </w:r>
          </w:p>
        </w:tc>
        <w:tc>
          <w:tcPr>
            <w:tcW w:w="7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w:t>
            </w:r>
          </w:p>
        </w:tc>
        <w:tc>
          <w:tcPr>
            <w:tcW w:w="6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w:t>
            </w:r>
          </w:p>
        </w:tc>
        <w:tc>
          <w:tcPr>
            <w:tcW w:w="5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32</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58</w:t>
            </w:r>
          </w:p>
        </w:tc>
        <w:tc>
          <w:tcPr>
            <w:tcW w:w="7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44</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w:t>
            </w:r>
          </w:p>
        </w:tc>
        <w:tc>
          <w:tcPr>
            <w:tcW w:w="5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w:t>
            </w:r>
          </w:p>
        </w:tc>
        <w:tc>
          <w:tcPr>
            <w:tcW w:w="5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w:t>
            </w:r>
          </w:p>
        </w:tc>
        <w:tc>
          <w:tcPr>
            <w:tcW w:w="7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105</w:t>
            </w:r>
          </w:p>
        </w:tc>
        <w:tc>
          <w:tcPr>
            <w:tcW w:w="6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81</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Americas</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641</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584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433</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394</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296</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258</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65</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97</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101</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1,530</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1,397</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U.K.</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82</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43</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38</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115</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107</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256</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236</w:t>
            </w:r>
          </w:p>
        </w:tc>
      </w:tr>
      <w:tr>
        <w:trPr/>
        <w:tc>
          <w:tcPr>
            <w:tcW w:w="1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Other</w:t>
            </w:r>
          </w:p>
        </w:tc>
        <w:tc>
          <w:tcPr>
            <w:tcW w:w="7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w:t>
            </w:r>
          </w:p>
        </w:tc>
        <w:tc>
          <w:tcPr>
            <w:tcW w:w="6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w:t>
            </w:r>
          </w:p>
        </w:tc>
        <w:tc>
          <w:tcPr>
            <w:tcW w:w="5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45</w:t>
            </w:r>
          </w:p>
        </w:tc>
        <w:tc>
          <w:tcPr>
            <w:tcW w:w="5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35</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w:t>
            </w:r>
          </w:p>
        </w:tc>
        <w:tc>
          <w:tcPr>
            <w:tcW w:w="7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32</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34</w:t>
            </w:r>
          </w:p>
        </w:tc>
        <w:tc>
          <w:tcPr>
            <w:tcW w:w="5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w:t>
            </w:r>
          </w:p>
        </w:tc>
        <w:tc>
          <w:tcPr>
            <w:tcW w:w="5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w:t>
            </w:r>
          </w:p>
        </w:tc>
        <w:tc>
          <w:tcPr>
            <w:tcW w:w="7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94</w:t>
            </w:r>
          </w:p>
        </w:tc>
        <w:tc>
          <w:tcPr>
            <w:tcW w:w="6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84</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EMEA</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96</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88</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73</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10</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147</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141</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350</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320</w:t>
            </w:r>
          </w:p>
        </w:tc>
      </w:tr>
      <w:tr>
        <w:trPr/>
        <w:tc>
          <w:tcPr>
            <w:tcW w:w="1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Asia Pacific</w:t>
            </w:r>
          </w:p>
        </w:tc>
        <w:tc>
          <w:tcPr>
            <w:tcW w:w="7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35</w:t>
            </w:r>
          </w:p>
        </w:tc>
        <w:tc>
          <w:tcPr>
            <w:tcW w:w="6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33</w:t>
            </w:r>
          </w:p>
        </w:tc>
        <w:tc>
          <w:tcPr>
            <w:tcW w:w="5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16</w:t>
            </w:r>
          </w:p>
        </w:tc>
        <w:tc>
          <w:tcPr>
            <w:tcW w:w="5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w:t>
            </w:r>
          </w:p>
        </w:tc>
        <w:tc>
          <w:tcPr>
            <w:tcW w:w="7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13</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12</w:t>
            </w:r>
          </w:p>
        </w:tc>
        <w:tc>
          <w:tcPr>
            <w:tcW w:w="5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w:t>
            </w:r>
          </w:p>
        </w:tc>
        <w:tc>
          <w:tcPr>
            <w:tcW w:w="5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w:t>
            </w:r>
          </w:p>
        </w:tc>
        <w:tc>
          <w:tcPr>
            <w:tcW w:w="7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74</w:t>
            </w:r>
          </w:p>
        </w:tc>
        <w:tc>
          <w:tcPr>
            <w:tcW w:w="6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68</w:t>
            </w:r>
          </w:p>
        </w:tc>
      </w:tr>
      <w:tr>
        <w:trPr/>
        <w:tc>
          <w:tcPr>
            <w:tcW w:w="1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Total</w:t>
            </w:r>
          </w:p>
        </w:tc>
        <w:tc>
          <w:tcPr>
            <w:tcW w:w="7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772</w:t>
            </w:r>
          </w:p>
        </w:tc>
        <w:tc>
          <w:tcPr>
            <w:tcW w:w="6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704</w:t>
            </w:r>
          </w:p>
        </w:tc>
        <w:tc>
          <w:tcPr>
            <w:tcW w:w="5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537</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480</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311</w:t>
            </w:r>
          </w:p>
        </w:tc>
        <w:tc>
          <w:tcPr>
            <w:tcW w:w="7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274</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229</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218</w:t>
            </w:r>
          </w:p>
        </w:tc>
        <w:tc>
          <w:tcPr>
            <w:tcW w:w="5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111</w:t>
            </w:r>
          </w:p>
        </w:tc>
        <w:tc>
          <w:tcPr>
            <w:tcW w:w="5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114</w:t>
            </w:r>
          </w:p>
        </w:tc>
        <w:tc>
          <w:tcPr>
            <w:tcW w:w="7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w:t>
            </w:r>
          </w:p>
        </w:tc>
        <w:tc>
          <w:tcPr>
            <w:tcW w:w="6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1,954</w:t>
            </w:r>
          </w:p>
        </w:tc>
        <w:tc>
          <w:tcPr>
            <w:tcW w:w="6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1,785</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8"/>
        <w:gridCol w:w="748"/>
        <w:gridCol w:w="662"/>
        <w:gridCol w:w="646"/>
        <w:gridCol w:w="571"/>
        <w:gridCol w:w="801"/>
        <w:gridCol w:w="721"/>
        <w:gridCol w:w="586"/>
        <w:gridCol w:w="526"/>
        <w:gridCol w:w="588"/>
        <w:gridCol w:w="528"/>
        <w:gridCol w:w="702"/>
        <w:gridCol w:w="631"/>
        <w:gridCol w:w="646"/>
        <w:gridCol w:w="621"/>
      </w:tblGrid>
      <w:tr>
        <w:trPr/>
        <w:tc>
          <w:tcPr>
            <w:tcW w:w="1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228" w:type="dxa"/>
            <w:tcBorders/>
            <w:shd w:fill="666666"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Clario;sans-serif" w:hAnsi="Clario;sans-serif"/>
                <w:b/>
                <w:color w:val="FFFFFF"/>
                <w:sz w:val="16"/>
              </w:rPr>
              <w:t>Revenues by geography</w:t>
            </w:r>
            <w:r>
              <w:rPr>
                <w:rFonts w:ascii="Clario;sans-serif" w:hAnsi="Clario;sans-serif"/>
                <w:b/>
                <w:color w:val="FFFFFF"/>
                <w:sz w:val="11"/>
              </w:rPr>
              <w:t>(2)</w:t>
            </w:r>
            <w:r>
              <w:rPr>
                <w:rFonts w:ascii="Clario;sans-serif" w:hAnsi="Clario;sans-serif"/>
                <w:b/>
                <w:color w:val="FFFFFF"/>
                <w:sz w:val="16"/>
              </w:rPr>
              <w:br/>
              <w:t>(millions of U.S. dollars)</w:t>
            </w:r>
          </w:p>
        </w:tc>
        <w:tc>
          <w:tcPr>
            <w:tcW w:w="1410"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Legal Professionals</w:t>
            </w:r>
          </w:p>
        </w:tc>
        <w:tc>
          <w:tcPr>
            <w:tcW w:w="1217"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Corporates</w:t>
            </w:r>
          </w:p>
        </w:tc>
        <w:tc>
          <w:tcPr>
            <w:tcW w:w="152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Tax, Audit &amp; Accounting Professionals</w:t>
            </w:r>
          </w:p>
        </w:tc>
        <w:tc>
          <w:tcPr>
            <w:tcW w:w="111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Reuters</w:t>
            </w:r>
          </w:p>
        </w:tc>
        <w:tc>
          <w:tcPr>
            <w:tcW w:w="111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Global Print</w:t>
            </w:r>
          </w:p>
        </w:tc>
        <w:tc>
          <w:tcPr>
            <w:tcW w:w="1333"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Eliminations / Rounding</w:t>
            </w:r>
          </w:p>
        </w:tc>
        <w:tc>
          <w:tcPr>
            <w:tcW w:w="1267"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Total</w:t>
            </w:r>
          </w:p>
        </w:tc>
      </w:tr>
      <w:tr>
        <w:trPr/>
        <w:tc>
          <w:tcPr>
            <w:tcW w:w="1228" w:type="dxa"/>
            <w:tcBorders/>
            <w:shd w:fill="D0D0D0"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Clario;sans-serif" w:hAnsi="Clario;sans-serif"/>
                <w:b/>
                <w:color w:val="404040"/>
                <w:sz w:val="16"/>
              </w:rPr>
              <w:t xml:space="preserve">Six months ended </w:t>
              <w:br/>
              <w:t>   June 30,</w:t>
            </w:r>
            <w:r>
              <w:rPr>
                <w:rFonts w:ascii="Clario;sans-serif" w:hAnsi="Clario;sans-serif"/>
                <w:b/>
                <w:color w:val="404040"/>
                <w:sz w:val="11"/>
              </w:rPr>
              <w:t>(1)</w:t>
            </w:r>
          </w:p>
        </w:tc>
        <w:tc>
          <w:tcPr>
            <w:tcW w:w="74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6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7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8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70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U.S.</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1,194</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1,092</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837</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780</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558</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499</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116</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175</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182</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(17)</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2,863</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2,644</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Canada</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58</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52</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18</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15</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119</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107</w:t>
            </w:r>
          </w:p>
        </w:tc>
      </w:tr>
      <w:tr>
        <w:trPr/>
        <w:tc>
          <w:tcPr>
            <w:tcW w:w="12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Other</w:t>
            </w:r>
          </w:p>
        </w:tc>
        <w:tc>
          <w:tcPr>
            <w:tcW w:w="7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18</w:t>
            </w:r>
          </w:p>
        </w:tc>
        <w:tc>
          <w:tcPr>
            <w:tcW w:w="6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16</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61</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46</w:t>
            </w:r>
          </w:p>
        </w:tc>
        <w:tc>
          <w:tcPr>
            <w:tcW w:w="8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111</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85</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w:t>
            </w:r>
          </w:p>
        </w:tc>
        <w:tc>
          <w:tcPr>
            <w:tcW w:w="5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w:t>
            </w:r>
          </w:p>
        </w:tc>
        <w:tc>
          <w:tcPr>
            <w:tcW w:w="5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7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200</w:t>
            </w:r>
          </w:p>
        </w:tc>
        <w:tc>
          <w:tcPr>
            <w:tcW w:w="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158</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Americas</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1,270</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1,160</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920</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844</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691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604</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124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109</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194</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203</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3,182</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2,909</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U.K.</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164</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146</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88</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76</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15</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228</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217</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16</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16</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511</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470</w:t>
            </w:r>
          </w:p>
        </w:tc>
      </w:tr>
      <w:tr>
        <w:trPr/>
        <w:tc>
          <w:tcPr>
            <w:tcW w:w="12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Other</w:t>
            </w:r>
          </w:p>
        </w:tc>
        <w:tc>
          <w:tcPr>
            <w:tcW w:w="7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27</w:t>
            </w:r>
          </w:p>
        </w:tc>
        <w:tc>
          <w:tcPr>
            <w:tcW w:w="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24</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98</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76</w:t>
            </w:r>
          </w:p>
        </w:tc>
        <w:tc>
          <w:tcPr>
            <w:tcW w:w="8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w:t>
            </w:r>
          </w:p>
        </w:tc>
        <w:tc>
          <w:tcPr>
            <w:tcW w:w="7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63</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63</w:t>
            </w:r>
          </w:p>
        </w:tc>
        <w:tc>
          <w:tcPr>
            <w:tcW w:w="5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w:t>
            </w:r>
          </w:p>
        </w:tc>
        <w:tc>
          <w:tcPr>
            <w:tcW w:w="5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w:t>
            </w:r>
          </w:p>
        </w:tc>
        <w:tc>
          <w:tcPr>
            <w:tcW w:w="70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195</w:t>
            </w:r>
          </w:p>
        </w:tc>
        <w:tc>
          <w:tcPr>
            <w:tcW w:w="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168</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EMEA</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191</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170</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186</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152</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18</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291</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280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18</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706</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638</w:t>
            </w:r>
          </w:p>
        </w:tc>
      </w:tr>
      <w:tr>
        <w:trPr/>
        <w:tc>
          <w:tcPr>
            <w:tcW w:w="12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Asia Pacific</w:t>
            </w:r>
          </w:p>
        </w:tc>
        <w:tc>
          <w:tcPr>
            <w:tcW w:w="7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67</w:t>
            </w:r>
          </w:p>
        </w:tc>
        <w:tc>
          <w:tcPr>
            <w:tcW w:w="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62</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39</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32</w:t>
            </w:r>
          </w:p>
        </w:tc>
        <w:tc>
          <w:tcPr>
            <w:tcW w:w="8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w:t>
            </w:r>
          </w:p>
        </w:tc>
        <w:tc>
          <w:tcPr>
            <w:tcW w:w="7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26</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25</w:t>
            </w:r>
          </w:p>
        </w:tc>
        <w:tc>
          <w:tcPr>
            <w:tcW w:w="5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10</w:t>
            </w:r>
          </w:p>
        </w:tc>
        <w:tc>
          <w:tcPr>
            <w:tcW w:w="5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w:t>
            </w:r>
          </w:p>
        </w:tc>
        <w:tc>
          <w:tcPr>
            <w:tcW w:w="70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153</w:t>
            </w:r>
          </w:p>
        </w:tc>
        <w:tc>
          <w:tcPr>
            <w:tcW w:w="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138</w:t>
            </w:r>
          </w:p>
        </w:tc>
      </w:tr>
      <w:tr>
        <w:trPr/>
        <w:tc>
          <w:tcPr>
            <w:tcW w:w="12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Total</w:t>
            </w:r>
          </w:p>
        </w:tc>
        <w:tc>
          <w:tcPr>
            <w:tcW w:w="7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1,528</w:t>
            </w:r>
          </w:p>
        </w:tc>
        <w:tc>
          <w:tcPr>
            <w:tcW w:w="6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1,392</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1,145</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1,028</w:t>
            </w:r>
          </w:p>
        </w:tc>
        <w:tc>
          <w:tcPr>
            <w:tcW w:w="8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721</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632</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441</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414</w:t>
            </w:r>
          </w:p>
        </w:tc>
        <w:tc>
          <w:tcPr>
            <w:tcW w:w="5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223</w:t>
            </w:r>
          </w:p>
        </w:tc>
        <w:tc>
          <w:tcPr>
            <w:tcW w:w="5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230</w:t>
            </w:r>
          </w:p>
        </w:tc>
        <w:tc>
          <w:tcPr>
            <w:tcW w:w="7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(17)</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4,041</w:t>
            </w:r>
          </w:p>
        </w:tc>
        <w:tc>
          <w:tcPr>
            <w:tcW w:w="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3,685</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The Company revised its Legal Professionals, Corporates and Tax, Audit &amp; Accounting Professionals segment results for the three and six months ended June 30, 2025. See note 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Revenues by geography are based on the location of the customer. Revenues from the Reuters agreement with the Data &amp; Analytics business of London Stock Exchange Group (“LSEG”), the Company’s largest customer, are included entirely in the U.K. Canada represents the Company's country of domicile. Americas represents North America, Latin America and South America and EMEA represents Europe, Middle East and Africa.</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50</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3: Segment Information</w:t>
      </w:r>
    </w:p>
    <w:p>
      <w:pPr>
        <w:pStyle w:val="TextBody"/>
        <w:bidi w:val="0"/>
        <w:spacing w:before="100" w:after="283"/>
        <w:jc w:val="left"/>
        <w:rPr>
          <w:rFonts w:ascii="Times New Roman" w:hAnsi="Times New Roman"/>
          <w:sz w:val="20"/>
        </w:rPr>
      </w:pPr>
      <w:r>
        <w:rPr>
          <w:rFonts w:ascii="Clario;sans-serif" w:hAnsi="Clario;sans-serif"/>
          <w:color w:val="404040"/>
          <w:sz w:val="18"/>
        </w:rPr>
        <w:t>The Company is organized as five</w:t>
      </w:r>
      <w:r>
        <w:rPr>
          <w:rFonts w:ascii="Times New Roman" w:hAnsi="Times New Roman"/>
          <w:color w:val="404040"/>
          <w:sz w:val="20"/>
        </w:rPr>
        <w:t xml:space="preserve"> </w:t>
      </w:r>
      <w:r>
        <w:rPr>
          <w:rFonts w:ascii="Clario;sans-serif" w:hAnsi="Clario;sans-serif"/>
          <w:color w:val="404040"/>
          <w:sz w:val="18"/>
        </w:rPr>
        <w:t>reportable segments, reflecting how its products and services are managed and offered to target customers as described below.</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Legal Professionals</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Serves law firms and governments with research and workflow products powered by AI-enabled technology focusing on intuitive legal research and integrated legal workflow solutions that combine content, tools and analytics.</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Corporates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Serves corporations, ranging from small businesses to multinational organizations, including the seven largest global accounting firms, with the Company’s full suite of content-driven products, powered by AI-enabled technology and integrated compliance workflow solutions to help them achieve their business outcomes.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Tax, Audit &amp; Accounting Professionals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Serves tax, audit and accounting firms (other than the seven largest, which are served by the Corporates segment) with research and workflow products powered by AI-enabled technology.</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Reuters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Supplies business, financial and global news and data to the world’s media organizations, professionals and news consumers through Reuters News Agency, Reuters.com, Reuters Events, Thomson Reuters products and to financial firms exclusively via LSEG products.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Global Print</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Provides legal and tax information primarily in print format to customers around the world and provides commercial printing services to a wide range of book publishers. See note 19.</w:t>
      </w:r>
      <w:r>
        <w:rPr>
          <w:rFonts w:ascii="Times New Roman" w:hAnsi="Times New Roman"/>
          <w:color w:val="404040"/>
          <w:sz w:val="20"/>
        </w:rPr>
        <w:t xml:space="preserve">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Information by segment and reconciliations to the consolidated income statement are set forth below:</w:t>
      </w:r>
    </w:p>
    <w:p>
      <w:pPr>
        <w:pStyle w:val="TextBody"/>
        <w:bidi w:val="0"/>
        <w:spacing w:before="100" w:after="283"/>
        <w:jc w:val="left"/>
        <w:rPr/>
      </w:pPr>
      <w:r>
        <w:rPr/>
        <w:t> </w:t>
      </w:r>
    </w:p>
    <w:tbl>
      <w:tblPr>
        <w:tblW w:w="9723" w:type="dxa"/>
        <w:jc w:val="left"/>
        <w:tblInd w:w="0" w:type="dxa"/>
        <w:tblLayout w:type="fixed"/>
        <w:tblCellMar>
          <w:top w:w="28" w:type="dxa"/>
          <w:left w:w="28" w:type="dxa"/>
          <w:bottom w:w="28" w:type="dxa"/>
          <w:right w:w="28" w:type="dxa"/>
        </w:tblCellMar>
      </w:tblPr>
      <w:tblGrid>
        <w:gridCol w:w="5041"/>
        <w:gridCol w:w="146"/>
        <w:gridCol w:w="146"/>
        <w:gridCol w:w="191"/>
        <w:gridCol w:w="867"/>
        <w:gridCol w:w="191"/>
        <w:gridCol w:w="985"/>
        <w:gridCol w:w="146"/>
        <w:gridCol w:w="829"/>
        <w:gridCol w:w="183"/>
        <w:gridCol w:w="998"/>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2010"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504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tcBorders/>
            <w:shd w:fill="666666"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Clario;sans-serif" w:hAnsi="Clario;sans-serif"/>
                <w:color w:val="FFFFFF"/>
                <w:sz w:val="18"/>
              </w:rPr>
              <w:t>2025</w:t>
            </w:r>
            <w:r>
              <w:rPr>
                <w:rFonts w:ascii="Clario;sans-serif" w:hAnsi="Clario;sans-serif"/>
                <w:color w:val="FFFFFF"/>
                <w:sz w:val="12"/>
              </w:rPr>
              <w:t>(1)</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83"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tcBorders/>
            <w:shd w:fill="666666"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Clario;sans-serif" w:hAnsi="Clario;sans-serif"/>
                <w:color w:val="FFFFFF"/>
                <w:sz w:val="18"/>
              </w:rPr>
              <w:t>2025</w:t>
            </w:r>
            <w:r>
              <w:rPr>
                <w:rFonts w:ascii="Clario;sans-serif" w:hAnsi="Clario;sans-serif"/>
                <w:color w:val="FFFFFF"/>
                <w:sz w:val="12"/>
              </w:rPr>
              <w:t>(1)</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Legal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1,528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1,392</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Corporates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1,145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1,028</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Tax, Audit &amp; Accounting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632</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414</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Global Print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r>
      <w:tr>
        <w:trPr/>
        <w:tc>
          <w:tcPr>
            <w:tcW w:w="50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rPr/>
        <w:tc>
          <w:tcPr>
            <w:tcW w:w="50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1,954</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4,041</w:t>
            </w:r>
          </w:p>
        </w:tc>
        <w:tc>
          <w:tcPr>
            <w:tcW w:w="1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3,685</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Legal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736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675</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Corporates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387</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Tax, Audit &amp; Accounting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318</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w:t>
            </w:r>
          </w:p>
        </w:tc>
      </w:tr>
      <w:tr>
        <w:trPr/>
        <w:tc>
          <w:tcPr>
            <w:tcW w:w="50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Global Print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85</w:t>
            </w:r>
          </w:p>
        </w:tc>
        <w:tc>
          <w:tcPr>
            <w:tcW w:w="1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85</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reportable segments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1,549</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Fair value adjustments</w:t>
            </w:r>
            <w:r>
              <w:rPr>
                <w:rFonts w:ascii="Clario;sans-serif" w:hAnsi="Clario;sans-serif"/>
                <w:color w:val="40404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(352)</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r>
      <w:tr>
        <w:trPr/>
        <w:tc>
          <w:tcPr>
            <w:tcW w:w="50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1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999</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finance income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50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(196)</w:t>
            </w:r>
          </w:p>
        </w:tc>
        <w:tc>
          <w:tcPr>
            <w:tcW w:w="1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(144)</w:t>
            </w:r>
          </w:p>
        </w:tc>
      </w:tr>
      <w:tr>
        <w:trPr/>
        <w:tc>
          <w:tcPr>
            <w:tcW w:w="50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921</w:t>
            </w:r>
          </w:p>
        </w:tc>
        <w:tc>
          <w:tcPr>
            <w:tcW w:w="1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722</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The Company revised its Legal Professionals, Corporates and Tax, Audit &amp; Accounting Professionals segment results for the three and six months ended June 30, 2025. See note 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jc w:val="left"/>
        <w:rPr>
          <w:rFonts w:ascii="Clario;sans-serif" w:hAnsi="Clario;sans-serif"/>
          <w:sz w:val="18"/>
        </w:rPr>
      </w:pPr>
      <w:r>
        <w:rPr>
          <w:rFonts w:ascii="Clario;sans-serif" w:hAnsi="Clario;sans-serif"/>
          <w:color w:val="404040"/>
          <w:sz w:val="16"/>
        </w:rPr>
        <w:t>Includes acquired deferred revenue of nil (2025 - $10</w:t>
      </w:r>
      <w:r>
        <w:rPr>
          <w:rFonts w:ascii="Clario;sans-serif" w:hAnsi="Clario;sans-serif"/>
          <w:color w:val="404040"/>
          <w:sz w:val="18"/>
        </w:rPr>
        <w:t xml:space="preserve"> </w:t>
      </w:r>
      <w:r>
        <w:rPr>
          <w:rFonts w:ascii="Clario;sans-serif" w:hAnsi="Clario;sans-serif"/>
          <w:color w:val="404040"/>
          <w:sz w:val="16"/>
        </w:rPr>
        <w:t>million) and nil (2025 - $20</w:t>
      </w:r>
      <w:r>
        <w:rPr>
          <w:rFonts w:ascii="Clario;sans-serif" w:hAnsi="Clario;sans-serif"/>
          <w:color w:val="404040"/>
          <w:sz w:val="18"/>
        </w:rPr>
        <w:t xml:space="preserve"> </w:t>
      </w:r>
      <w:r>
        <w:rPr>
          <w:rFonts w:ascii="Clario;sans-serif" w:hAnsi="Clario;sans-serif"/>
          <w:color w:val="404040"/>
          <w:sz w:val="16"/>
        </w:rPr>
        <w:t xml:space="preserve">million) in the three and six months ended June 30, 2026, respectively. </w:t>
      </w:r>
    </w:p>
    <w:p>
      <w:pPr>
        <w:pStyle w:val="TextBody"/>
        <w:bidi w:val="0"/>
        <w:spacing w:before="100" w:after="283"/>
        <w:jc w:val="left"/>
        <w:rPr>
          <w:rFonts w:ascii="Times New Roman" w:hAnsi="Times New Roman"/>
          <w:sz w:val="20"/>
        </w:rPr>
      </w:pPr>
      <w:r>
        <w:rPr>
          <w:rFonts w:ascii="Clario;sans-serif" w:hAnsi="Clario;sans-serif"/>
          <w:color w:val="404040"/>
          <w:sz w:val="18"/>
        </w:rPr>
        <w:t>Reuters revenues included $6</w:t>
      </w:r>
      <w:r>
        <w:rPr>
          <w:rFonts w:ascii="Times New Roman" w:hAnsi="Times New Roman"/>
          <w:color w:val="404040"/>
          <w:sz w:val="20"/>
        </w:rPr>
        <w:t xml:space="preserve"> </w:t>
      </w:r>
      <w:r>
        <w:rPr>
          <w:rFonts w:ascii="Clario;sans-serif" w:hAnsi="Clario;sans-serif"/>
          <w:color w:val="404040"/>
          <w:sz w:val="18"/>
        </w:rPr>
        <w:t>million (2025 - $5</w:t>
      </w:r>
      <w:r>
        <w:rPr>
          <w:rFonts w:ascii="Times New Roman" w:hAnsi="Times New Roman"/>
          <w:color w:val="404040"/>
          <w:sz w:val="20"/>
        </w:rPr>
        <w:t xml:space="preserve"> </w:t>
      </w:r>
      <w:r>
        <w:rPr>
          <w:rFonts w:ascii="Clario;sans-serif" w:hAnsi="Clario;sans-serif"/>
          <w:color w:val="404040"/>
          <w:sz w:val="18"/>
        </w:rPr>
        <w:t>million) and $17</w:t>
      </w:r>
      <w:r>
        <w:rPr>
          <w:rFonts w:ascii="Times New Roman" w:hAnsi="Times New Roman"/>
          <w:color w:val="404040"/>
          <w:sz w:val="20"/>
        </w:rPr>
        <w:t xml:space="preserve"> </w:t>
      </w:r>
      <w:r>
        <w:rPr>
          <w:rFonts w:ascii="Clario;sans-serif" w:hAnsi="Clario;sans-serif"/>
          <w:color w:val="404040"/>
          <w:sz w:val="18"/>
        </w:rPr>
        <w:t>million (2025 - $11</w:t>
      </w:r>
      <w:r>
        <w:rPr>
          <w:rFonts w:ascii="Times New Roman" w:hAnsi="Times New Roman"/>
          <w:color w:val="404040"/>
          <w:sz w:val="20"/>
        </w:rPr>
        <w:t xml:space="preserve"> </w:t>
      </w:r>
      <w:r>
        <w:rPr>
          <w:rFonts w:ascii="Clario;sans-serif" w:hAnsi="Clario;sans-serif"/>
          <w:color w:val="404040"/>
          <w:sz w:val="18"/>
        </w:rPr>
        <w:t>million) in the three and six months ended June 30, 2026, respectively, primarily from content-related services that it provided to the Legal Professionals, Corporates and Tax, Audit &amp; Accounting Professionals segments.</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In accordance with IFRS 8, </w:t>
      </w:r>
      <w:r>
        <w:rPr>
          <w:rFonts w:ascii="Clario;sans-serif" w:hAnsi="Clario;sans-serif"/>
          <w:i/>
          <w:color w:val="404040"/>
          <w:sz w:val="18"/>
        </w:rPr>
        <w:t>Operating Segments</w:t>
      </w:r>
      <w:r>
        <w:rPr>
          <w:rFonts w:ascii="Clario;sans-serif" w:hAnsi="Clario;sans-serif"/>
          <w:color w:val="404040"/>
          <w:sz w:val="18"/>
        </w:rPr>
        <w:t>, the Company discloses certain information about its reportable segments based upon measures used by management in assessing the performance of those reportable segments. The profitability measure is defined below and may not be comparable to similar measures of other companies.</w:t>
      </w:r>
    </w:p>
    <w:p>
      <w:pPr>
        <w:pStyle w:val="TextBody"/>
        <w:bidi w:val="0"/>
        <w:spacing w:before="100" w:after="283"/>
        <w:jc w:val="left"/>
        <w:rPr>
          <w:rFonts w:ascii="Times New Roman" w:hAnsi="Times New Roman"/>
          <w:sz w:val="20"/>
        </w:rPr>
      </w:pPr>
      <w:r>
        <w:rPr>
          <w:rFonts w:ascii="Clario;sans-serif" w:hAnsi="Clario;sans-serif"/>
          <w:i/>
          <w:color w:val="404040"/>
          <w:sz w:val="18"/>
        </w:rPr>
        <w:t>Segment Adjusted EBITDA</w:t>
      </w:r>
      <w:r>
        <w:rPr>
          <w:rFonts w:ascii="Times New Roman" w:hAnsi="Times New Roman"/>
          <w:color w:val="404040"/>
          <w:sz w:val="20"/>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Segment adjusted EBITDA represents earnings or loss from continuing operations before tax expense or benefit, net interest expense, other finance costs or income, depreciation, amortization of software and other identifiable intangible assets, the Company’s share of post-tax earnings or losses in equity method investments, other operating gains or losses, certain asset impairment charges, corporate related items and fair value adjustments, including those related to acquired deferred revenue (see note 16).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The Company does not consider these excluded items to be controllable operating activities for purposes of assessing the current performance of the reportable segments.</w:t>
      </w:r>
    </w:p>
    <w:p>
      <w:pPr>
        <w:pStyle w:val="TextBody"/>
        <w:bidi w:val="0"/>
        <w:spacing w:before="100" w:after="283"/>
        <w:jc w:val="left"/>
        <w:rPr>
          <w:rFonts w:ascii="Times New Roman" w:hAnsi="Times New Roman"/>
          <w:sz w:val="20"/>
        </w:rPr>
      </w:pPr>
      <w:r>
        <w:rPr>
          <w:rFonts w:ascii="Clario;sans-serif" w:hAnsi="Clario;sans-serif"/>
          <w:color w:val="404040"/>
          <w:sz w:val="18"/>
        </w:rPr>
        <w:t>Each segment includes an allocation of costs, based on usage or other applicable measures, for centralized support services such as technology-related services, commercial operations, marketing costs, and product and content development. Additionally, product costs are allocated when one segment sells products managed by another segment. Corporate costs, which includes expenses for centrally managed functions such as finance, legal, human resources and the executive office, are not allocated to the segments.</w:t>
      </w:r>
      <w:r>
        <w:rPr>
          <w:rFonts w:ascii="Times New Roman" w:hAnsi="Times New Roman"/>
          <w:color w:val="404040"/>
          <w:sz w:val="20"/>
        </w:rPr>
        <w:t xml:space="preserve">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Times New Roman" w:hAnsi="Times New Roman"/>
          <w:sz w:val="20"/>
        </w:rPr>
      </w:pPr>
      <w:r>
        <w:rPr>
          <w:rFonts w:ascii="Clario;sans-serif" w:hAnsi="Clario;sans-serif"/>
          <w:b/>
          <w:i/>
          <w:color w:val="404040"/>
          <w:sz w:val="18"/>
        </w:rPr>
        <w:t>Note 4: Seasonality</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Company’s revenues and operating profit on a consolidated basis do not tend to be significantly impacted by seasonality as it records a large portion of its revenues ratably over the contract term and its costs are generally incurred evenly throughout the year. However, at the segment level, revenues on a consecutive quarter basis can be impacted by seasonality, most notably in the Company’s Tax, Audit &amp; Accounting Professionals business, where revenues tend to be concentrated in the first and fourth quarters.</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5: Operating Expenses</w:t>
      </w:r>
    </w:p>
    <w:p>
      <w:pPr>
        <w:pStyle w:val="TextBody"/>
        <w:bidi w:val="0"/>
        <w:spacing w:before="100" w:after="283"/>
        <w:jc w:val="left"/>
        <w:rPr>
          <w:rFonts w:ascii="Times New Roman" w:hAnsi="Times New Roman"/>
          <w:sz w:val="20"/>
        </w:rPr>
      </w:pPr>
      <w:r>
        <w:rPr>
          <w:rFonts w:ascii="Clario;sans-serif" w:hAnsi="Clario;sans-serif"/>
          <w:color w:val="404040"/>
          <w:sz w:val="18"/>
        </w:rPr>
        <w:t>The components of operating expenses include the following:</w:t>
      </w:r>
      <w:r>
        <w:rPr>
          <w:rFonts w:ascii="Times New Roman" w:hAnsi="Times New Roman"/>
          <w:color w:val="404040"/>
          <w:sz w:val="20"/>
        </w:rPr>
        <w:t xml:space="preserve"> </w:t>
      </w:r>
    </w:p>
    <w:p>
      <w:pPr>
        <w:pStyle w:val="TextBody"/>
        <w:bidi w:val="0"/>
        <w:jc w:val="left"/>
        <w:rPr/>
      </w:pPr>
      <w:r>
        <w:rPr/>
        <w:t> </w:t>
      </w:r>
    </w:p>
    <w:tbl>
      <w:tblPr>
        <w:tblW w:w="8208" w:type="dxa"/>
        <w:jc w:val="left"/>
        <w:tblInd w:w="0" w:type="dxa"/>
        <w:tblLayout w:type="fixed"/>
        <w:tblCellMar>
          <w:top w:w="28" w:type="dxa"/>
          <w:left w:w="28" w:type="dxa"/>
          <w:bottom w:w="28" w:type="dxa"/>
          <w:right w:w="28" w:type="dxa"/>
        </w:tblCellMar>
      </w:tblPr>
      <w:tblGrid>
        <w:gridCol w:w="3526"/>
        <w:gridCol w:w="146"/>
        <w:gridCol w:w="146"/>
        <w:gridCol w:w="204"/>
        <w:gridCol w:w="924"/>
        <w:gridCol w:w="204"/>
        <w:gridCol w:w="903"/>
        <w:gridCol w:w="146"/>
        <w:gridCol w:w="887"/>
        <w:gridCol w:w="195"/>
        <w:gridCol w:w="927"/>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200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3526" w:type="dxa"/>
            <w:tcBorders>
              <w:bottom w:val="single" w:sz="4" w:space="0" w:color="58595B"/>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rPr/>
            </w:pPr>
            <w:r>
              <w:rPr/>
              <w:t> </w:t>
            </w:r>
          </w:p>
        </w:tc>
        <w:tc>
          <w:tcPr>
            <w:tcW w:w="924"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4"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rPr/>
            </w:pPr>
            <w:r>
              <w:rPr/>
              <w:t> </w:t>
            </w:r>
          </w:p>
        </w:tc>
        <w:tc>
          <w:tcPr>
            <w:tcW w:w="90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rPr/>
            </w:pPr>
            <w:r>
              <w:rPr/>
              <w:t> </w:t>
            </w:r>
          </w:p>
        </w:tc>
        <w:tc>
          <w:tcPr>
            <w:tcW w:w="887"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9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927"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Salaries, commissions and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1,166</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r>
      <w:tr>
        <w:trPr/>
        <w:tc>
          <w:tcPr>
            <w:tcW w:w="3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Post-employment benefits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w:t>
            </w:r>
          </w:p>
        </w:tc>
        <w:tc>
          <w:tcPr>
            <w:tcW w:w="1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staff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1,395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1,291</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Goods and services</w:t>
            </w:r>
            <w:r>
              <w:rPr>
                <w:rFonts w:ascii="Clario;sans-serif" w:hAnsi="Clario;sans-serif"/>
                <w:color w:val="40404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740</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Content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146</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Telecommunications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r>
      <w:tr>
        <w:trPr/>
        <w:tc>
          <w:tcPr>
            <w:tcW w:w="3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Fair value adjustments</w:t>
            </w:r>
            <w:r>
              <w:rPr>
                <w:rFonts w:ascii="Clario;sans-serif" w:hAnsi="Clario;sans-serif"/>
                <w:color w:val="404040"/>
                <w:sz w:val="12"/>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r>
      <w:tr>
        <w:trPr/>
        <w:tc>
          <w:tcPr>
            <w:tcW w:w="3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operating expenses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1,211</w:t>
            </w:r>
          </w:p>
        </w:tc>
        <w:tc>
          <w:tcPr>
            <w:tcW w:w="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2,414</w:t>
            </w:r>
          </w:p>
        </w:tc>
        <w:tc>
          <w:tcPr>
            <w:tcW w:w="1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2,232</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Goods and services include technology-related expenses, professional fees, consulting, contractors, marketing and other general and administrative costs.</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Fair value adjustments primarily represent gains or losses due to changes in foreign currency exchange rates on intercompany balances that arise in the ordinary course of business.</w:t>
      </w:r>
    </w:p>
    <w:p>
      <w:pPr>
        <w:pStyle w:val="TextBody"/>
        <w:bidi w:val="0"/>
        <w:spacing w:before="100" w:after="283"/>
        <w:jc w:val="left"/>
        <w:rPr>
          <w:rFonts w:ascii="Times New Roman" w:hAnsi="Times New Roman"/>
          <w:sz w:val="20"/>
        </w:rPr>
      </w:pPr>
      <w:r>
        <w:rPr>
          <w:rFonts w:ascii="Clario;sans-serif" w:hAnsi="Clario;sans-serif"/>
          <w:b/>
          <w:i/>
          <w:color w:val="404040"/>
          <w:sz w:val="18"/>
        </w:rPr>
        <w:t>Note 6: Other Operating Gains, Net</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Other operating gains, net were $68</w:t>
      </w:r>
      <w:r>
        <w:rPr>
          <w:rFonts w:ascii="Times New Roman" w:hAnsi="Times New Roman"/>
          <w:color w:val="404040"/>
          <w:sz w:val="20"/>
        </w:rPr>
        <w:t xml:space="preserve"> </w:t>
      </w:r>
      <w:r>
        <w:rPr>
          <w:rFonts w:ascii="Clario;sans-serif" w:hAnsi="Clario;sans-serif"/>
          <w:color w:val="404040"/>
          <w:sz w:val="18"/>
        </w:rPr>
        <w:t>million in the three and six months ended June 30, 2026, respectively, primarily related to acquisitions and investments.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Other operating gains, net were $5</w:t>
      </w:r>
      <w:r>
        <w:rPr>
          <w:rFonts w:ascii="Times New Roman" w:hAnsi="Times New Roman"/>
          <w:color w:val="404040"/>
          <w:sz w:val="20"/>
        </w:rPr>
        <w:t xml:space="preserve"> </w:t>
      </w:r>
      <w:r>
        <w:rPr>
          <w:rFonts w:ascii="Clario;sans-serif" w:hAnsi="Clario;sans-serif"/>
          <w:color w:val="404040"/>
          <w:sz w:val="18"/>
        </w:rPr>
        <w:t>million and $2</w:t>
      </w:r>
      <w:r>
        <w:rPr>
          <w:rFonts w:ascii="Times New Roman" w:hAnsi="Times New Roman"/>
          <w:color w:val="404040"/>
          <w:sz w:val="20"/>
        </w:rPr>
        <w:t xml:space="preserve"> </w:t>
      </w:r>
      <w:r>
        <w:rPr>
          <w:rFonts w:ascii="Clario;sans-serif" w:hAnsi="Clario;sans-serif"/>
          <w:color w:val="404040"/>
          <w:sz w:val="18"/>
        </w:rPr>
        <w:t>million in the three and six months ended June 30, 2025, respectively.</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7: Finance Costs, Net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components of finance costs, net, include interest expense (income) and other finance costs (income). The components of net interest expense are as follows: </w:t>
      </w:r>
    </w:p>
    <w:p>
      <w:pPr>
        <w:pStyle w:val="TextBody"/>
        <w:bidi w:val="0"/>
        <w:jc w:val="left"/>
        <w:rPr/>
      </w:pPr>
      <w:r>
        <w:rPr/>
        <w:t> </w:t>
      </w:r>
    </w:p>
    <w:tbl>
      <w:tblPr>
        <w:tblW w:w="9923" w:type="dxa"/>
        <w:jc w:val="left"/>
        <w:tblInd w:w="0" w:type="dxa"/>
        <w:tblLayout w:type="fixed"/>
        <w:tblCellMar>
          <w:top w:w="28" w:type="dxa"/>
          <w:left w:w="28" w:type="dxa"/>
          <w:bottom w:w="28" w:type="dxa"/>
          <w:right w:w="28" w:type="dxa"/>
        </w:tblCellMar>
      </w:tblPr>
      <w:tblGrid>
        <w:gridCol w:w="5200"/>
        <w:gridCol w:w="167"/>
        <w:gridCol w:w="167"/>
        <w:gridCol w:w="222"/>
        <w:gridCol w:w="895"/>
        <w:gridCol w:w="222"/>
        <w:gridCol w:w="895"/>
        <w:gridCol w:w="146"/>
        <w:gridCol w:w="864"/>
        <w:gridCol w:w="215"/>
        <w:gridCol w:w="930"/>
      </w:tblGrid>
      <w:tr>
        <w:trPr/>
        <w:tc>
          <w:tcPr>
            <w:tcW w:w="52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5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200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5200"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6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20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expense:</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0"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Debt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w:t>
            </w:r>
          </w:p>
        </w:tc>
      </w:tr>
      <w:tr>
        <w:trPr/>
        <w:tc>
          <w:tcPr>
            <w:tcW w:w="5200"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Other, net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r>
      <w:tr>
        <w:trPr/>
        <w:tc>
          <w:tcPr>
            <w:tcW w:w="520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Fair value (gains) losses on financial instruments</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0"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Debt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5200"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Fair value hedges</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5534" w:type="dxa"/>
            <w:gridSpan w:val="3"/>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Cash flow hedges, transfer from equity</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rPr/>
        <w:tc>
          <w:tcPr>
            <w:tcW w:w="52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foreign exchange losses on debt</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rPr/>
        <w:tc>
          <w:tcPr>
            <w:tcW w:w="520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 - debt and other</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w:t>
            </w:r>
          </w:p>
        </w:tc>
      </w:tr>
      <w:tr>
        <w:trPr/>
        <w:tc>
          <w:tcPr>
            <w:tcW w:w="520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 - leases</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553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Net interest expense - pension and other post-employment </w:t>
              <w:br/>
              <w:t>   benefit plans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rPr/>
        <w:tc>
          <w:tcPr>
            <w:tcW w:w="52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income</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rPr/>
        <w:tc>
          <w:tcPr>
            <w:tcW w:w="52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w:t>
            </w:r>
          </w:p>
        </w:tc>
      </w:tr>
    </w:tbl>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components of other finance (income) costs are as follows:</w:t>
      </w:r>
    </w:p>
    <w:p>
      <w:pPr>
        <w:pStyle w:val="TextBody"/>
        <w:bidi w:val="0"/>
        <w:jc w:val="left"/>
        <w:rPr/>
      </w:pPr>
      <w:r>
        <w:rPr/>
        <w:t> </w:t>
      </w:r>
    </w:p>
    <w:p>
      <w:pPr>
        <w:pStyle w:val="TextBody"/>
        <w:bidi w:val="0"/>
        <w:jc w:val="left"/>
        <w:rPr/>
      </w:pPr>
      <w:r>
        <w:rPr/>
        <w:t> </w:t>
      </w:r>
    </w:p>
    <w:tbl>
      <w:tblPr>
        <w:tblW w:w="9414" w:type="dxa"/>
        <w:jc w:val="left"/>
        <w:tblInd w:w="0" w:type="dxa"/>
        <w:tblLayout w:type="fixed"/>
        <w:tblCellMar>
          <w:top w:w="28" w:type="dxa"/>
          <w:left w:w="28" w:type="dxa"/>
          <w:bottom w:w="28" w:type="dxa"/>
          <w:right w:w="28" w:type="dxa"/>
        </w:tblCellMar>
      </w:tblPr>
      <w:tblGrid>
        <w:gridCol w:w="4545"/>
        <w:gridCol w:w="240"/>
        <w:gridCol w:w="240"/>
        <w:gridCol w:w="222"/>
        <w:gridCol w:w="895"/>
        <w:gridCol w:w="222"/>
        <w:gridCol w:w="895"/>
        <w:gridCol w:w="146"/>
        <w:gridCol w:w="864"/>
        <w:gridCol w:w="215"/>
        <w:gridCol w:w="930"/>
      </w:tblGrid>
      <w:tr>
        <w:trPr/>
        <w:tc>
          <w:tcPr>
            <w:tcW w:w="45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45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200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4545"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40"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02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Net (gains) losses due to changes in foreign currency </w:t>
              <w:br/>
              <w:t>   exchange rates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r>
      <w:tr>
        <w:trPr/>
        <w:tc>
          <w:tcPr>
            <w:tcW w:w="454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w:t>
            </w:r>
          </w:p>
        </w:tc>
        <w:tc>
          <w:tcPr>
            <w:tcW w:w="2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454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finance (income) costs</w:t>
            </w:r>
          </w:p>
        </w:tc>
        <w:tc>
          <w:tcPr>
            <w:tcW w:w="2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Net (gains) losses due to changes in foreign currency exchange rates were principally comprised of amounts related to certain intercompany funding arrangements.</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Other includes the ineffective portion of cash flow and fair value hedges and certain other financing costs.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8: Taxation</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Tax expense was $71</w:t>
      </w:r>
      <w:r>
        <w:rPr>
          <w:rFonts w:ascii="Times New Roman" w:hAnsi="Times New Roman"/>
          <w:color w:val="404040"/>
          <w:sz w:val="20"/>
        </w:rPr>
        <w:t xml:space="preserve"> </w:t>
      </w:r>
      <w:r>
        <w:rPr>
          <w:rFonts w:ascii="Clario;sans-serif" w:hAnsi="Clario;sans-serif"/>
          <w:color w:val="404040"/>
          <w:sz w:val="18"/>
        </w:rPr>
        <w:t>million (2025 - $52</w:t>
      </w:r>
      <w:r>
        <w:rPr>
          <w:rFonts w:ascii="Times New Roman" w:hAnsi="Times New Roman"/>
          <w:color w:val="404040"/>
          <w:sz w:val="20"/>
        </w:rPr>
        <w:t xml:space="preserve"> </w:t>
      </w:r>
      <w:r>
        <w:rPr>
          <w:rFonts w:ascii="Clario;sans-serif" w:hAnsi="Clario;sans-serif"/>
          <w:color w:val="404040"/>
          <w:sz w:val="18"/>
        </w:rPr>
        <w:t>million) and $196</w:t>
      </w:r>
      <w:r>
        <w:rPr>
          <w:rFonts w:ascii="Times New Roman" w:hAnsi="Times New Roman"/>
          <w:color w:val="404040"/>
          <w:sz w:val="20"/>
        </w:rPr>
        <w:t xml:space="preserve"> </w:t>
      </w:r>
      <w:r>
        <w:rPr>
          <w:rFonts w:ascii="Clario;sans-serif" w:hAnsi="Clario;sans-serif"/>
          <w:color w:val="404040"/>
          <w:sz w:val="18"/>
        </w:rPr>
        <w:t>million (2025 - $144</w:t>
      </w:r>
      <w:r>
        <w:rPr>
          <w:rFonts w:ascii="Times New Roman" w:hAnsi="Times New Roman"/>
          <w:color w:val="404040"/>
          <w:sz w:val="20"/>
        </w:rPr>
        <w:t xml:space="preserve"> </w:t>
      </w:r>
      <w:r>
        <w:rPr>
          <w:rFonts w:ascii="Clario;sans-serif" w:hAnsi="Clario;sans-serif"/>
          <w:color w:val="404040"/>
          <w:sz w:val="18"/>
        </w:rPr>
        <w:t>million) in the three and six months ended June 30, 2026, respectively.</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Tax expense in each period reflected the mix of taxing jurisdictions in which pre-tax profits and losses were recognized. Tax expense or benefit in interim periods is not necessarily indicative of the tax benefit or expense for the full year because the geographical mix of pre-tax profits and losses in interim periods may be different from that for the full year.</w:t>
      </w:r>
    </w:p>
    <w:p>
      <w:pPr>
        <w:pStyle w:val="TextBody"/>
        <w:bidi w:val="0"/>
        <w:spacing w:before="100" w:after="283"/>
        <w:jc w:val="left"/>
        <w:rPr>
          <w:rFonts w:ascii="Times New Roman" w:hAnsi="Times New Roman"/>
          <w:sz w:val="20"/>
        </w:rPr>
      </w:pPr>
      <w:r>
        <w:rPr>
          <w:rFonts w:ascii="Clario;sans-serif" w:hAnsi="Clario;sans-serif"/>
          <w:color w:val="231F20"/>
          <w:sz w:val="19"/>
        </w:rPr>
        <w:t>I</w:t>
      </w:r>
      <w:r>
        <w:rPr>
          <w:rFonts w:ascii="Clario;sans-serif" w:hAnsi="Clario;sans-serif"/>
          <w:color w:val="404040"/>
          <w:sz w:val="18"/>
        </w:rPr>
        <w:t>n January 2024, the Company began recording tax expense associated with the “Pillar Two model rules” as published by the Organization for Economic Cooperation and Development and enacted by key jurisdictions in which the Company operates. These rules are designed to ensure large multinational enterprises within the scope of the rules pay a minimum level of tax in each jurisdiction where they operate. In general, the “Pillar Two model rules” apply a system of top-up taxes to bring the enterprise’s effective tax rate in each jurisdiction to a minimum of 15%. The Company has applied the exception to recognizing and disclosing information about deferred tax assets and liabilities related to Pillar Two income taxes. The application of the "Pillar Two model rules" did not have a significant impact on the Company's tax expense in the three and six months ended June 30, 2026 and 2025.</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9: Earnings Per Share</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Basic earnings per share was calculated by dividing earnings attributable to common shareholders less dividends declared on preference shares by the sum of the weighted-average number of common shares outstanding and vested deferred share units (“DSUs”) outstanding during the period. DSUs represent common shares that certain employees have elected to receive in the future upon vesting of share-based compensation awards or in lieu of cash compensation.</w:t>
      </w:r>
    </w:p>
    <w:p>
      <w:pPr>
        <w:pStyle w:val="TextBody"/>
        <w:bidi w:val="0"/>
        <w:spacing w:before="100" w:after="283"/>
        <w:jc w:val="left"/>
        <w:rPr>
          <w:rFonts w:ascii="Times New Roman" w:hAnsi="Times New Roman"/>
          <w:sz w:val="20"/>
        </w:rPr>
      </w:pPr>
      <w:r>
        <w:rPr>
          <w:rFonts w:ascii="Clario;sans-serif" w:hAnsi="Clario;sans-serif"/>
          <w:color w:val="404040"/>
          <w:sz w:val="18"/>
        </w:rPr>
        <w:t>Diluted earnings per share was calculated using the denominator of the basic calculation described above adjusted to include the potentially dilutive effect of outstanding stock options and time-based restricted share units (“TRSUs”).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Earnings used in determining consolidated earnings per share and earnings per share from continuing operations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88"/>
        <w:gridCol w:w="175"/>
        <w:gridCol w:w="175"/>
        <w:gridCol w:w="220"/>
        <w:gridCol w:w="889"/>
        <w:gridCol w:w="220"/>
        <w:gridCol w:w="889"/>
        <w:gridCol w:w="146"/>
        <w:gridCol w:w="859"/>
        <w:gridCol w:w="213"/>
        <w:gridCol w:w="931"/>
      </w:tblGrid>
      <w:tr>
        <w:trPr/>
        <w:tc>
          <w:tcPr>
            <w:tcW w:w="54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8"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2003"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5488"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75"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0"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3"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448</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w:t>
            </w:r>
          </w:p>
        </w:tc>
      </w:tr>
      <w:tr>
        <w:trPr/>
        <w:tc>
          <w:tcPr>
            <w:tcW w:w="5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Less: Dividends declared on preference shares</w:t>
            </w:r>
          </w:p>
        </w:tc>
        <w:tc>
          <w:tcPr>
            <w:tcW w:w="17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used in consolidated earnings per share</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745</w:t>
            </w:r>
          </w:p>
        </w:tc>
      </w:tr>
      <w:tr>
        <w:trPr/>
        <w:tc>
          <w:tcPr>
            <w:tcW w:w="583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Less: (Earnings) loss from discontinued operations, net of tax</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2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r>
      <w:tr>
        <w:trPr/>
        <w:tc>
          <w:tcPr>
            <w:tcW w:w="583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used in earnings per share from continuing operations</w:t>
            </w:r>
          </w:p>
        </w:tc>
        <w:tc>
          <w:tcPr>
            <w:tcW w:w="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443</w:t>
            </w:r>
          </w:p>
        </w:tc>
        <w:tc>
          <w:tcPr>
            <w:tcW w:w="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919</w:t>
            </w:r>
          </w:p>
        </w:tc>
        <w:tc>
          <w:tcPr>
            <w:tcW w:w="2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720</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weighted-average number of common shares outstanding, as well as a reconciliation of the weighted-average number of common shares outstanding used in the basic earnings per share computation to the weighted-average number of common shares outstanding used in the diluted earnings per share computation, is presented below:</w:t>
      </w:r>
    </w:p>
    <w:p>
      <w:pPr>
        <w:pStyle w:val="TextBody"/>
        <w:bidi w:val="0"/>
        <w:jc w:val="left"/>
        <w:rPr/>
      </w:pPr>
      <w:r>
        <w:rPr/>
        <w:t> </w:t>
      </w:r>
    </w:p>
    <w:tbl>
      <w:tblPr>
        <w:tblW w:w="9957" w:type="dxa"/>
        <w:jc w:val="left"/>
        <w:tblInd w:w="0" w:type="dxa"/>
        <w:tblLayout w:type="fixed"/>
        <w:tblCellMar>
          <w:top w:w="28" w:type="dxa"/>
          <w:left w:w="28" w:type="dxa"/>
          <w:bottom w:w="28" w:type="dxa"/>
          <w:right w:w="28" w:type="dxa"/>
        </w:tblCellMar>
      </w:tblPr>
      <w:tblGrid>
        <w:gridCol w:w="4336"/>
        <w:gridCol w:w="1336"/>
        <w:gridCol w:w="146"/>
        <w:gridCol w:w="1306"/>
        <w:gridCol w:w="1336"/>
        <w:gridCol w:w="146"/>
        <w:gridCol w:w="1351"/>
      </w:tblGrid>
      <w:tr>
        <w:trPr/>
        <w:tc>
          <w:tcPr>
            <w:tcW w:w="43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2833"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433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3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Weighted-average number of common shares </w:t>
              <w:br/>
              <w:t>   outstanding</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438,384,963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450,543,811</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441,398,585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450,349,667</w:t>
            </w:r>
          </w:p>
        </w:tc>
      </w:tr>
      <w:tr>
        <w:trPr/>
        <w:tc>
          <w:tcPr>
            <w:tcW w:w="4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Weighted-average number of vested DSUs</w:t>
            </w:r>
          </w:p>
        </w:tc>
        <w:tc>
          <w:tcPr>
            <w:tcW w:w="1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115,676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130,015</w:t>
            </w:r>
          </w:p>
        </w:tc>
        <w:tc>
          <w:tcPr>
            <w:tcW w:w="1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116,749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131,439</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Basic</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438,500,639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450,673,826</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441,515,334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450,481,106</w:t>
            </w:r>
          </w:p>
        </w:tc>
      </w:tr>
      <w:tr>
        <w:trPr/>
        <w:tc>
          <w:tcPr>
            <w:tcW w:w="4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Effect of stock options and TRSUs</w:t>
            </w:r>
          </w:p>
        </w:tc>
        <w:tc>
          <w:tcPr>
            <w:tcW w:w="1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110,735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531,006</w:t>
            </w:r>
          </w:p>
        </w:tc>
        <w:tc>
          <w:tcPr>
            <w:tcW w:w="1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193,994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544,701</w:t>
            </w:r>
          </w:p>
        </w:tc>
      </w:tr>
      <w:tr>
        <w:trPr/>
        <w:tc>
          <w:tcPr>
            <w:tcW w:w="4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Diluted</w:t>
            </w:r>
          </w:p>
        </w:tc>
        <w:tc>
          <w:tcPr>
            <w:tcW w:w="1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438,611,374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451,204,832</w:t>
            </w:r>
          </w:p>
        </w:tc>
        <w:tc>
          <w:tcPr>
            <w:tcW w:w="1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441,709,328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451,025,807</w:t>
            </w:r>
          </w:p>
        </w:tc>
      </w:tr>
    </w:tbl>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Note 10: Financial Instruments</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Financial assets and liabilities</w:t>
      </w:r>
    </w:p>
    <w:p>
      <w:pPr>
        <w:pStyle w:val="TextBody"/>
        <w:bidi w:val="0"/>
        <w:spacing w:before="100" w:after="283"/>
        <w:jc w:val="left"/>
        <w:rPr>
          <w:rFonts w:ascii="Times New Roman" w:hAnsi="Times New Roman"/>
          <w:sz w:val="20"/>
        </w:rPr>
      </w:pPr>
      <w:r>
        <w:rPr>
          <w:rFonts w:ascii="Clario;sans-serif" w:hAnsi="Clario;sans-serif"/>
          <w:color w:val="404040"/>
          <w:sz w:val="18"/>
        </w:rPr>
        <w:t>Financial assets and liabilities in the consolidated statement of financial position are as follows:</w:t>
      </w:r>
      <w:r>
        <w:rPr>
          <w:rFonts w:ascii="Times New Roman" w:hAnsi="Times New Roman"/>
          <w:color w:val="40404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8"/>
        <w:gridCol w:w="146"/>
        <w:gridCol w:w="1602"/>
        <w:gridCol w:w="146"/>
        <w:gridCol w:w="1689"/>
        <w:gridCol w:w="146"/>
        <w:gridCol w:w="2306"/>
        <w:gridCol w:w="146"/>
        <w:gridCol w:w="1414"/>
        <w:gridCol w:w="146"/>
        <w:gridCol w:w="796"/>
      </w:tblGrid>
      <w:tr>
        <w:trPr/>
        <w:tc>
          <w:tcPr>
            <w:tcW w:w="1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668"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June 30, 2026 </w:t>
              <w:br/>
              <w:t>(millions of U.S. dollars)</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Amortized Cost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Fair Value through Earnings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Assets at Fair Value through Other Comprehensive Income or Loss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Derivatives Used for Hedging</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Total</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1,127</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w:t>
            </w:r>
          </w:p>
        </w:tc>
      </w:tr>
      <w:tr>
        <w:trPr/>
        <w:tc>
          <w:tcPr>
            <w:tcW w:w="181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financial assets - </w:t>
              <w:br/>
              <w:t>   non-current</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469</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(1,618)</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payables (see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(170)</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Accruals (see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(723)</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 xml:space="preserve">Other financial liabilities - </w:t>
              <w:br/>
              <w:t>   current</w:t>
            </w:r>
            <w:r>
              <w:rPr>
                <w:rFonts w:ascii="Clario;sans-serif" w:hAnsi="Clario;sans-serif"/>
                <w:color w:val="404040"/>
                <w:sz w:val="12"/>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(318)</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(1,323)</w:t>
            </w:r>
          </w:p>
        </w:tc>
      </w:tr>
      <w:tr>
        <w:trPr/>
        <w:tc>
          <w:tcPr>
            <w:tcW w:w="16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 xml:space="preserve">Other financial liabilities - </w:t>
              <w:br/>
              <w:t>   non-current</w:t>
            </w:r>
            <w:r>
              <w:rPr>
                <w:rFonts w:ascii="Clario;sans-serif" w:hAnsi="Clario;sans-serif"/>
                <w:color w:val="404040"/>
                <w:sz w:val="12"/>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(206)</w:t>
            </w:r>
          </w:p>
        </w:tc>
      </w:tr>
      <w:tr>
        <w:trPr/>
        <w:tc>
          <w:tcPr>
            <w:tcW w:w="16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(2,874)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(2,069)</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9"/>
        <w:gridCol w:w="146"/>
        <w:gridCol w:w="1604"/>
        <w:gridCol w:w="146"/>
        <w:gridCol w:w="1693"/>
        <w:gridCol w:w="146"/>
        <w:gridCol w:w="2311"/>
        <w:gridCol w:w="146"/>
        <w:gridCol w:w="1416"/>
        <w:gridCol w:w="146"/>
        <w:gridCol w:w="782"/>
      </w:tblGrid>
      <w:tr>
        <w:trPr/>
        <w:tc>
          <w:tcPr>
            <w:tcW w:w="1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1669"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December 31, 2025 </w:t>
              <w:br/>
              <w:t>(millions of U.S. dollars)</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Amortized Cost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Fair Value through Earnings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Assets at Fair Value through Other Comprehensive Income or Loss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Derivatives Used for Hedging</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Total</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financial assets - </w:t>
              <w:br/>
              <w: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466</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payables (see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Accruals (see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(826)</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 xml:space="preserve">Other financial liabilities - </w:t>
              <w:br/>
              <w:t>   current</w:t>
            </w:r>
            <w:r>
              <w:rPr>
                <w:rFonts w:ascii="Clario;sans-serif" w:hAnsi="Clario;sans-serif"/>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rPr/>
        <w:tc>
          <w:tcPr>
            <w:tcW w:w="166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 xml:space="preserve">Other financial liabilities - </w:t>
              <w:br/>
              <w:t>   non-current</w:t>
            </w:r>
            <w:r>
              <w:rPr>
                <w:rFonts w:ascii="Clario;sans-serif" w:hAnsi="Clario;sans-serif"/>
                <w:color w:val="404040"/>
                <w:sz w:val="12"/>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(210)</w:t>
            </w:r>
          </w:p>
        </w:tc>
      </w:tr>
      <w:tr>
        <w:trPr/>
        <w:tc>
          <w:tcPr>
            <w:tcW w:w="166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(1,919)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(1,200)</w:t>
            </w:r>
          </w:p>
        </w:tc>
      </w:tr>
    </w:tbl>
    <w:p>
      <w:pPr>
        <w:pStyle w:val="TextBody"/>
        <w:bidi w:val="0"/>
        <w:jc w:val="left"/>
        <w:rPr/>
      </w:pPr>
      <w:r>
        <w:rPr/>
        <w:t> </w:t>
      </w:r>
    </w:p>
    <w:p>
      <w:pPr>
        <w:pStyle w:val="TextBody"/>
        <w:bidi w:val="0"/>
        <w:jc w:val="left"/>
        <w:rPr/>
      </w:pPr>
      <w:r>
        <w:rPr/>
        <w:t> </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sz w:val="18"/>
        </w:rPr>
      </w:pPr>
      <w:r>
        <w:rPr>
          <w:rFonts w:ascii="Clario;sans-serif" w:hAnsi="Clario;sans-serif"/>
          <w:color w:val="404040"/>
          <w:sz w:val="16"/>
        </w:rPr>
        <w:t>Includes lease liabilities of $60</w:t>
      </w:r>
      <w:r>
        <w:rPr>
          <w:rFonts w:ascii="Clario;sans-serif" w:hAnsi="Clario;sans-serif"/>
          <w:color w:val="404040"/>
          <w:sz w:val="18"/>
        </w:rPr>
        <w:t xml:space="preserve"> </w:t>
      </w:r>
      <w:r>
        <w:rPr>
          <w:rFonts w:ascii="Clario;sans-serif" w:hAnsi="Clario;sans-serif"/>
          <w:color w:val="404040"/>
          <w:sz w:val="16"/>
        </w:rPr>
        <w:t>million (2025</w:t>
      </w:r>
      <w:r>
        <w:rPr>
          <w:rFonts w:ascii="Clario;sans-serif" w:hAnsi="Clario;sans-serif"/>
          <w:color w:val="404040"/>
          <w:sz w:val="18"/>
        </w:rPr>
        <w:t xml:space="preserve"> </w:t>
      </w:r>
      <w:r>
        <w:rPr>
          <w:rFonts w:ascii="Clario;sans-serif" w:hAnsi="Clario;sans-serif"/>
          <w:color w:val="404040"/>
          <w:sz w:val="16"/>
        </w:rPr>
        <w:t>- $59</w:t>
      </w:r>
      <w:r>
        <w:rPr>
          <w:rFonts w:ascii="Clario;sans-serif" w:hAnsi="Clario;sans-serif"/>
          <w:color w:val="404040"/>
          <w:sz w:val="18"/>
        </w:rPr>
        <w:t xml:space="preserve"> </w:t>
      </w:r>
      <w:r>
        <w:rPr>
          <w:rFonts w:ascii="Clario;sans-serif" w:hAnsi="Clario;sans-serif"/>
          <w:color w:val="404040"/>
          <w:sz w:val="16"/>
        </w:rPr>
        <w:t>million).</w:t>
      </w:r>
      <w:r>
        <w:rPr>
          <w:rFonts w:ascii="Clario;sans-serif" w:hAnsi="Clario;sans-serif"/>
          <w:color w:val="404040"/>
          <w:sz w:val="18"/>
        </w:rPr>
        <w:t xml:space="preserve"> </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(2)</w:t>
      </w:r>
    </w:p>
    <w:p>
      <w:pPr>
        <w:pStyle w:val="TextBody"/>
        <w:bidi w:val="0"/>
        <w:spacing w:before="0" w:after="0"/>
        <w:jc w:val="left"/>
        <w:rPr>
          <w:rFonts w:ascii="Clario;sans-serif" w:hAnsi="Clario;sans-serif"/>
          <w:sz w:val="18"/>
        </w:rPr>
      </w:pPr>
      <w:r>
        <w:rPr>
          <w:rFonts w:ascii="Clario;sans-serif" w:hAnsi="Clario;sans-serif"/>
          <w:color w:val="404040"/>
          <w:sz w:val="16"/>
        </w:rPr>
        <w:t>Includes a commitment to repurchase up to $238</w:t>
      </w:r>
      <w:r>
        <w:rPr>
          <w:rFonts w:ascii="Clario;sans-serif" w:hAnsi="Clario;sans-serif"/>
          <w:color w:val="404040"/>
          <w:sz w:val="18"/>
        </w:rPr>
        <w:t xml:space="preserve"> </w:t>
      </w:r>
      <w:r>
        <w:rPr>
          <w:rFonts w:ascii="Clario;sans-serif" w:hAnsi="Clario;sans-serif"/>
          <w:color w:val="404040"/>
          <w:sz w:val="16"/>
        </w:rPr>
        <w:t>million of shares related to the Company’s pre-defined plan with its broker to repurchase the Company's shares during its internal trading blackout period. See note 14.</w:t>
      </w:r>
      <w:r>
        <w:rPr>
          <w:rFonts w:ascii="Clario;sans-serif" w:hAnsi="Clario;sans-serif"/>
          <w:color w:val="404040"/>
          <w:sz w:val="18"/>
        </w:rPr>
        <w:t xml:space="preserve"> </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(3)</w:t>
      </w:r>
    </w:p>
    <w:p>
      <w:pPr>
        <w:pStyle w:val="TextBody"/>
        <w:bidi w:val="0"/>
        <w:jc w:val="left"/>
        <w:rPr>
          <w:rFonts w:ascii="Clario;sans-serif" w:hAnsi="Clario;sans-serif"/>
          <w:sz w:val="18"/>
        </w:rPr>
      </w:pPr>
      <w:r>
        <w:rPr>
          <w:rFonts w:ascii="Clario;sans-serif" w:hAnsi="Clario;sans-serif"/>
          <w:color w:val="404040"/>
          <w:sz w:val="16"/>
        </w:rPr>
        <w:t>Includes lease liabilities of $181</w:t>
      </w:r>
      <w:r>
        <w:rPr>
          <w:rFonts w:ascii="Clario;sans-serif" w:hAnsi="Clario;sans-serif"/>
          <w:color w:val="404040"/>
          <w:sz w:val="18"/>
        </w:rPr>
        <w:t xml:space="preserve"> </w:t>
      </w:r>
      <w:r>
        <w:rPr>
          <w:rFonts w:ascii="Clario;sans-serif" w:hAnsi="Clario;sans-serif"/>
          <w:color w:val="404040"/>
          <w:sz w:val="16"/>
        </w:rPr>
        <w:t>million (2025</w:t>
      </w:r>
      <w:r>
        <w:rPr>
          <w:rFonts w:ascii="Clario;sans-serif" w:hAnsi="Clario;sans-serif"/>
          <w:color w:val="404040"/>
          <w:sz w:val="18"/>
        </w:rPr>
        <w:t xml:space="preserve"> </w:t>
      </w:r>
      <w:r>
        <w:rPr>
          <w:rFonts w:ascii="Clario;sans-serif" w:hAnsi="Clario;sans-serif"/>
          <w:color w:val="404040"/>
          <w:sz w:val="16"/>
        </w:rPr>
        <w:t>- $190</w:t>
      </w:r>
      <w:r>
        <w:rPr>
          <w:rFonts w:ascii="Clario;sans-serif" w:hAnsi="Clario;sans-serif"/>
          <w:color w:val="404040"/>
          <w:sz w:val="18"/>
        </w:rPr>
        <w:t xml:space="preserve"> </w:t>
      </w:r>
      <w:r>
        <w:rPr>
          <w:rFonts w:ascii="Clario;sans-serif" w:hAnsi="Clario;sans-serif"/>
          <w:color w:val="404040"/>
          <w:sz w:val="16"/>
        </w:rPr>
        <w:t xml:space="preserve">million). </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Clario;sans-serif" w:hAnsi="Clario;sans-serif"/>
          <w:color w:val="404040"/>
          <w:sz w:val="18"/>
        </w:rPr>
        <w:t>Of total cash and cash equivalents, $126</w:t>
      </w:r>
      <w:r>
        <w:rPr>
          <w:rFonts w:ascii="Times New Roman" w:hAnsi="Times New Roman"/>
          <w:color w:val="404040"/>
          <w:sz w:val="20"/>
        </w:rPr>
        <w:t xml:space="preserve"> </w:t>
      </w:r>
      <w:r>
        <w:rPr>
          <w:rFonts w:ascii="Clario;sans-serif" w:hAnsi="Clario;sans-serif"/>
          <w:color w:val="404040"/>
          <w:sz w:val="18"/>
        </w:rPr>
        <w:t>million and $140</w:t>
      </w:r>
      <w:r>
        <w:rPr>
          <w:rFonts w:ascii="Times New Roman" w:hAnsi="Times New Roman"/>
          <w:color w:val="404040"/>
          <w:sz w:val="20"/>
        </w:rPr>
        <w:t xml:space="preserve"> </w:t>
      </w:r>
      <w:r>
        <w:rPr>
          <w:rFonts w:ascii="Clario;sans-serif" w:hAnsi="Clario;sans-serif"/>
          <w:color w:val="404040"/>
          <w:sz w:val="18"/>
        </w:rPr>
        <w:t>million as of June 30, 2026 and December 31, 2025, respectively, were held in subsidiaries which have regulatory restrictions, contractual restrictions or operate in countries where exchange controls and other legal restrictions apply and were therefore not available for general use by the Company.</w:t>
      </w:r>
    </w:p>
    <w:p>
      <w:pPr>
        <w:pStyle w:val="TextBody"/>
        <w:bidi w:val="0"/>
        <w:jc w:val="left"/>
        <w:rPr>
          <w:rFonts w:ascii="Clario;sans-serif" w:hAnsi="Clario;sans-serif"/>
          <w:i/>
          <w:color w:val="404040"/>
          <w:sz w:val="18"/>
        </w:rPr>
      </w:pPr>
      <w:r>
        <w:rPr>
          <w:rFonts w:ascii="Clario;sans-serif" w:hAnsi="Clario;sans-serif"/>
          <w:i/>
          <w:color w:val="404040"/>
          <w:sz w:val="18"/>
        </w:rPr>
        <w:t>Commercial paper program</w:t>
      </w:r>
    </w:p>
    <w:p>
      <w:pPr>
        <w:pStyle w:val="TextBody"/>
        <w:bidi w:val="0"/>
        <w:spacing w:before="100" w:after="120"/>
        <w:jc w:val="left"/>
        <w:rPr>
          <w:rFonts w:ascii="Times New Roman" w:hAnsi="Times New Roman"/>
          <w:sz w:val="20"/>
        </w:rPr>
      </w:pPr>
      <w:r>
        <w:rPr>
          <w:rFonts w:ascii="Clario;sans-serif" w:hAnsi="Clario;sans-serif"/>
          <w:color w:val="404040"/>
          <w:sz w:val="18"/>
        </w:rPr>
        <w:t>The Company’s $2.0</w:t>
      </w:r>
      <w:r>
        <w:rPr>
          <w:rFonts w:ascii="Times New Roman" w:hAnsi="Times New Roman"/>
          <w:color w:val="404040"/>
          <w:sz w:val="20"/>
        </w:rPr>
        <w:t xml:space="preserve"> </w:t>
      </w:r>
      <w:r>
        <w:rPr>
          <w:rFonts w:ascii="Clario;sans-serif" w:hAnsi="Clario;sans-serif"/>
          <w:color w:val="404040"/>
          <w:sz w:val="18"/>
        </w:rPr>
        <w:t>billion commercial paper program provides cost-effective and flexible short-term funding. The carrying amount of outstanding commercial paper of $1,618</w:t>
      </w:r>
      <w:r>
        <w:rPr>
          <w:rFonts w:ascii="Times New Roman" w:hAnsi="Times New Roman"/>
          <w:color w:val="404040"/>
          <w:sz w:val="20"/>
        </w:rPr>
        <w:t xml:space="preserve"> </w:t>
      </w:r>
      <w:r>
        <w:rPr>
          <w:rFonts w:ascii="Clario;sans-serif" w:hAnsi="Clario;sans-serif"/>
          <w:color w:val="404040"/>
          <w:sz w:val="18"/>
        </w:rPr>
        <w:t>million is included in “Current indebtedness” within the consolidated statement of financial position as of June 30, 2026 (December 31, 2025</w:t>
      </w:r>
      <w:r>
        <w:rPr>
          <w:rFonts w:ascii="Times New Roman" w:hAnsi="Times New Roman"/>
          <w:color w:val="404040"/>
          <w:sz w:val="20"/>
        </w:rPr>
        <w:t xml:space="preserve"> </w:t>
      </w:r>
      <w:r>
        <w:rPr>
          <w:rFonts w:ascii="Clario;sans-serif" w:hAnsi="Clario;sans-serif"/>
          <w:color w:val="404040"/>
          <w:sz w:val="18"/>
        </w:rPr>
        <w:t>- $295</w:t>
      </w:r>
      <w:r>
        <w:rPr>
          <w:rFonts w:ascii="Times New Roman" w:hAnsi="Times New Roman"/>
          <w:color w:val="404040"/>
          <w:sz w:val="20"/>
        </w:rPr>
        <w:t xml:space="preserve"> </w:t>
      </w:r>
      <w:r>
        <w:rPr>
          <w:rFonts w:ascii="Clario;sans-serif" w:hAnsi="Clario;sans-serif"/>
          <w:color w:val="404040"/>
          <w:sz w:val="18"/>
        </w:rPr>
        <w:t>million).</w:t>
      </w:r>
      <w:r>
        <w:rPr>
          <w:rFonts w:ascii="Times New Roman" w:hAnsi="Times New Roman"/>
          <w:color w:val="404040"/>
          <w:sz w:val="20"/>
        </w:rPr>
        <w:t xml:space="preserve">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55</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Times New Roman" w:hAnsi="Times New Roman"/>
          <w:sz w:val="20"/>
        </w:rPr>
      </w:pPr>
      <w:r>
        <w:rPr>
          <w:rFonts w:ascii="Clario;sans-serif" w:hAnsi="Clario;sans-serif"/>
          <w:i/>
          <w:color w:val="404040"/>
          <w:sz w:val="18"/>
        </w:rPr>
        <w:t>Credit facility</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Company has a $2.0</w:t>
      </w:r>
      <w:r>
        <w:rPr>
          <w:rFonts w:ascii="Times New Roman" w:hAnsi="Times New Roman"/>
          <w:color w:val="404040"/>
          <w:sz w:val="20"/>
        </w:rPr>
        <w:t xml:space="preserve"> </w:t>
      </w:r>
      <w:r>
        <w:rPr>
          <w:rFonts w:ascii="Clario;sans-serif" w:hAnsi="Clario;sans-serif"/>
          <w:color w:val="404040"/>
          <w:sz w:val="18"/>
        </w:rPr>
        <w:t>billion syndicated credit facility agreement which matures in November 2030 and may be used to provide liquidity for general corporate purposes (including acquisitions or support for its commercial paper program). There were no</w:t>
      </w:r>
      <w:r>
        <w:rPr>
          <w:rFonts w:ascii="Times New Roman" w:hAnsi="Times New Roman"/>
          <w:color w:val="404040"/>
          <w:sz w:val="20"/>
        </w:rPr>
        <w:t xml:space="preserve"> </w:t>
      </w:r>
      <w:r>
        <w:rPr>
          <w:rFonts w:ascii="Clario;sans-serif" w:hAnsi="Clario;sans-serif"/>
          <w:color w:val="404040"/>
          <w:sz w:val="18"/>
        </w:rPr>
        <w:t>outstanding borrowings under the credit facility as of June 30, 2026 and December 31, 2025. Based on the Company’s current credit ratings, the cost of borrowing under the facility is priced at the Term Secured Overnight Financing Rate (“SOFR”)/Euro Interbank Offered Rate (“EURiBOR")/Simple Sterling Overnight Index Average (“SONIA") plus 92</w:t>
      </w:r>
      <w:r>
        <w:rPr>
          <w:rFonts w:ascii="Times New Roman" w:hAnsi="Times New Roman"/>
          <w:color w:val="404040"/>
          <w:sz w:val="20"/>
        </w:rPr>
        <w:t xml:space="preserve"> </w:t>
      </w:r>
      <w:r>
        <w:rPr>
          <w:rFonts w:ascii="Clario;sans-serif" w:hAnsi="Clario;sans-serif"/>
          <w:color w:val="404040"/>
          <w:sz w:val="18"/>
        </w:rPr>
        <w:t>basis points. The Company has the option to request an increase, subject to approval by applicable lenders, in the lenders’ commitments in an aggregate amount of $600</w:t>
      </w:r>
      <w:r>
        <w:rPr>
          <w:rFonts w:ascii="Times New Roman" w:hAnsi="Times New Roman"/>
          <w:color w:val="404040"/>
          <w:sz w:val="20"/>
        </w:rPr>
        <w:t xml:space="preserve"> </w:t>
      </w:r>
      <w:r>
        <w:rPr>
          <w:rFonts w:ascii="Clario;sans-serif" w:hAnsi="Clario;sans-serif"/>
          <w:color w:val="404040"/>
          <w:sz w:val="18"/>
        </w:rPr>
        <w:t>million for a maximum credit facility commitment of $2.6</w:t>
      </w:r>
      <w:r>
        <w:rPr>
          <w:rFonts w:ascii="Times New Roman" w:hAnsi="Times New Roman"/>
          <w:color w:val="404040"/>
          <w:sz w:val="20"/>
        </w:rPr>
        <w:t xml:space="preserve"> </w:t>
      </w:r>
      <w:r>
        <w:rPr>
          <w:rFonts w:ascii="Clario;sans-serif" w:hAnsi="Clario;sans-serif"/>
          <w:color w:val="404040"/>
          <w:sz w:val="18"/>
        </w:rPr>
        <w:t>billion.</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Company guarantees borrowings by its subsidiaries under the credit facility. The Company must also maintain a ratio of net debt as defined in the credit agreement (total debt plus hedging agreements,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the Company were to complete an acquisition with a purchase price of over $500</w:t>
      </w:r>
      <w:r>
        <w:rPr>
          <w:rFonts w:ascii="Times New Roman" w:hAnsi="Times New Roman"/>
          <w:color w:val="404040"/>
          <w:sz w:val="20"/>
        </w:rPr>
        <w:t xml:space="preserve"> </w:t>
      </w:r>
      <w:r>
        <w:rPr>
          <w:rFonts w:ascii="Clario;sans-serif" w:hAnsi="Clario;sans-serif"/>
          <w:color w:val="404040"/>
          <w:sz w:val="18"/>
        </w:rPr>
        <w:t>million, the Company may elect, subject to notification, to temporarily increase the ratio of net debt to EBITDA to 5.0:1 at the end of the quarter within which the transaction closed and for each of the three immediately following fiscal quarters. At the end of that period, the ratio would revert to 4.5:1. As of June 30, 2026, the Company complied with this covenant as its ratio of net debt to EBITDA, as calculated under the terms of its syndicated credit facility, was 0.8:1.</w:t>
      </w:r>
      <w:r>
        <w:rPr>
          <w:rFonts w:ascii="Times New Roman" w:hAnsi="Times New Roman"/>
          <w:color w:val="404040"/>
          <w:sz w:val="20"/>
        </w:rPr>
        <w:t xml:space="preserve">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Fair Value</w:t>
      </w:r>
    </w:p>
    <w:p>
      <w:pPr>
        <w:pStyle w:val="TextBody"/>
        <w:bidi w:val="0"/>
        <w:spacing w:before="100" w:after="283"/>
        <w:jc w:val="left"/>
        <w:rPr>
          <w:rFonts w:ascii="Times New Roman" w:hAnsi="Times New Roman"/>
          <w:sz w:val="20"/>
        </w:rPr>
      </w:pPr>
      <w:r>
        <w:rPr>
          <w:rFonts w:ascii="Clario;sans-serif" w:hAnsi="Clario;sans-serif"/>
          <w:color w:val="404040"/>
          <w:sz w:val="18"/>
        </w:rPr>
        <w:t>The fair values of cash and cash equivalents, trade and other receivables, trade payables and accruals approximate their carrying amounts because of the short-term maturity of these instruments.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Debt and Related Derivative Instruments</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Carrying Amounts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Amounts recorded in the consolidated statement of financial position are referred to as “carrying amounts”. The carrying amounts of primary debt are reflected in “Current indebtedness” or “Long-term indebtedness” and the carrying amounts of related derivative instruments are included in “Other financial assets” and “Other financial liabilities”, current or non-current, within the consolidated statement of financial position, as appropriate.</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Fair Value</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fair value of debt is estimated based on either quoted market prices for similar issues or current rates offered to the Company for debt of the same maturity. The fair value of interest rate swaps is estimated based upon discounted cash flows using applicable current market rates and considering non-performance risk.</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following is a summary of the Company's debt and related derivative instruments that hedge debt: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8"/>
        <w:gridCol w:w="146"/>
        <w:gridCol w:w="1948"/>
        <w:gridCol w:w="146"/>
        <w:gridCol w:w="1819"/>
        <w:gridCol w:w="146"/>
        <w:gridCol w:w="1948"/>
        <w:gridCol w:w="146"/>
        <w:gridCol w:w="1868"/>
      </w:tblGrid>
      <w:tr>
        <w:trPr/>
        <w:tc>
          <w:tcPr>
            <w:tcW w:w="2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pPr>
            <w:r>
              <w:rPr/>
              <w:t> </w:t>
            </w:r>
          </w:p>
        </w:tc>
        <w:tc>
          <w:tcPr>
            <w:tcW w:w="3913"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Carrying Amount</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3962"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Fair Value</w:t>
            </w:r>
          </w:p>
        </w:tc>
      </w:tr>
      <w:tr>
        <w:trPr/>
        <w:tc>
          <w:tcPr>
            <w:tcW w:w="2038" w:type="dxa"/>
            <w:tcBorders>
              <w:bottom w:val="single" w:sz="4" w:space="0" w:color="D0D0D0"/>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June 30, 2026</w:t>
              <w:br/>
              <w:t>(millions of U.S. dollars)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pPr>
            <w:r>
              <w:rPr/>
              <w:t> </w:t>
            </w:r>
          </w:p>
        </w:tc>
        <w:tc>
          <w:tcPr>
            <w:tcW w:w="1948"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819"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948"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868"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Clario;sans-serif" w:hAnsi="Clario;sans-serif"/>
                <w:color w:val="404040"/>
                <w:sz w:val="18"/>
              </w:rPr>
              <w:t>$500</w:t>
            </w:r>
            <w:r>
              <w:rPr>
                <w:rFonts w:ascii="Times New Roman" w:hAnsi="Times New Roman"/>
                <w:color w:val="404040"/>
                <w:sz w:val="20"/>
              </w:rPr>
              <w:t xml:space="preserve"> </w:t>
            </w:r>
            <w:r>
              <w:rPr>
                <w:rFonts w:ascii="Clario;sans-serif" w:hAnsi="Clario;sans-serif"/>
                <w:color w:val="404040"/>
                <w:sz w:val="18"/>
              </w:rPr>
              <w:t>5.85% Notes due 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Clario;sans-serif" w:hAnsi="Clario;sans-serif"/>
                <w:color w:val="404040"/>
                <w:sz w:val="18"/>
              </w:rPr>
              <w:t>$119</w:t>
            </w:r>
            <w:r>
              <w:rPr>
                <w:rFonts w:ascii="Times New Roman" w:hAnsi="Times New Roman"/>
                <w:color w:val="404040"/>
                <w:sz w:val="20"/>
              </w:rPr>
              <w:t xml:space="preserve"> </w:t>
            </w:r>
            <w:r>
              <w:rPr>
                <w:rFonts w:ascii="Clario;sans-serif" w:hAnsi="Clario;sans-serif"/>
                <w:color w:val="404040"/>
                <w:sz w:val="18"/>
              </w:rPr>
              <w:t>4.50% Notes due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r>
      <w:tr>
        <w:trPr/>
        <w:tc>
          <w:tcPr>
            <w:tcW w:w="203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Clario;sans-serif" w:hAnsi="Clario;sans-serif"/>
                <w:color w:val="404040"/>
                <w:sz w:val="18"/>
              </w:rPr>
              <w:t>$350</w:t>
            </w:r>
            <w:r>
              <w:rPr>
                <w:rFonts w:ascii="Times New Roman" w:hAnsi="Times New Roman"/>
                <w:color w:val="404040"/>
                <w:sz w:val="20"/>
              </w:rPr>
              <w:t xml:space="preserve"> </w:t>
            </w:r>
            <w:r>
              <w:rPr>
                <w:rFonts w:ascii="Clario;sans-serif" w:hAnsi="Clario;sans-serif"/>
                <w:color w:val="404040"/>
                <w:sz w:val="18"/>
              </w:rPr>
              <w:t>5.65% Notes due 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r>
      <w:tr>
        <w:trPr/>
        <w:tc>
          <w:tcPr>
            <w:tcW w:w="20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Clario;sans-serif" w:hAnsi="Clario;sans-serif"/>
                <w:color w:val="404040"/>
                <w:sz w:val="18"/>
              </w:rPr>
              <w:t>$400</w:t>
            </w:r>
            <w:r>
              <w:rPr>
                <w:rFonts w:ascii="Times New Roman" w:hAnsi="Times New Roman"/>
                <w:color w:val="404040"/>
                <w:sz w:val="20"/>
              </w:rPr>
              <w:t xml:space="preserve"> </w:t>
            </w:r>
            <w:r>
              <w:rPr>
                <w:rFonts w:ascii="Clario;sans-serif" w:hAnsi="Clario;sans-serif"/>
                <w:color w:val="404040"/>
                <w:sz w:val="18"/>
              </w:rPr>
              <w:t>5.50% Debentures due</w:t>
            </w:r>
            <w:r>
              <w:rPr>
                <w:rFonts w:ascii="Times New Roman" w:hAnsi="Times New Roman"/>
                <w:color w:val="404040"/>
                <w:sz w:val="20"/>
              </w:rPr>
              <w:t xml:space="preserve"> </w:t>
            </w:r>
            <w:r>
              <w:rPr>
                <w:rFonts w:ascii="Clario;sans-serif" w:hAnsi="Clario;sans-serif"/>
                <w:color w:val="404040"/>
                <w:sz w:val="18"/>
              </w:rPr>
              <w:t>2035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20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2,963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r>
      <w:tr>
        <w:trPr/>
        <w:tc>
          <w:tcPr>
            <w:tcW w:w="2038"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Long-term portion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2"/>
        <w:gridCol w:w="146"/>
        <w:gridCol w:w="1947"/>
        <w:gridCol w:w="146"/>
        <w:gridCol w:w="1818"/>
        <w:gridCol w:w="146"/>
        <w:gridCol w:w="1947"/>
        <w:gridCol w:w="146"/>
        <w:gridCol w:w="1867"/>
      </w:tblGrid>
      <w:tr>
        <w:trPr/>
        <w:tc>
          <w:tcPr>
            <w:tcW w:w="2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pPr>
            <w:r>
              <w:rPr/>
              <w:t> </w:t>
            </w:r>
          </w:p>
        </w:tc>
        <w:tc>
          <w:tcPr>
            <w:tcW w:w="3911"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Carrying Amount</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3960"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Fair Value</w:t>
            </w:r>
          </w:p>
        </w:tc>
      </w:tr>
      <w:tr>
        <w:trPr/>
        <w:tc>
          <w:tcPr>
            <w:tcW w:w="2042" w:type="dxa"/>
            <w:tcBorders>
              <w:bottom w:val="single" w:sz="4" w:space="0" w:color="D0D0D0"/>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December 31, 2025</w:t>
              <w:br/>
              <w:t>(millions of U.S. dollars)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pPr>
            <w:r>
              <w:rPr/>
              <w:t> </w:t>
            </w:r>
          </w:p>
        </w:tc>
        <w:tc>
          <w:tcPr>
            <w:tcW w:w="1947"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947"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867"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Clario;sans-serif" w:hAnsi="Clario;sans-serif"/>
                <w:color w:val="404040"/>
                <w:sz w:val="18"/>
              </w:rPr>
              <w:t>$500</w:t>
            </w:r>
            <w:r>
              <w:rPr>
                <w:rFonts w:ascii="Times New Roman" w:hAnsi="Times New Roman"/>
                <w:color w:val="404040"/>
                <w:sz w:val="20"/>
              </w:rPr>
              <w:t xml:space="preserve"> </w:t>
            </w:r>
            <w:r>
              <w:rPr>
                <w:rFonts w:ascii="Clario;sans-serif" w:hAnsi="Clario;sans-serif"/>
                <w:color w:val="404040"/>
                <w:sz w:val="18"/>
              </w:rPr>
              <w:t>3.35% Notes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Clario;sans-serif" w:hAnsi="Clario;sans-serif"/>
                <w:color w:val="404040"/>
                <w:sz w:val="18"/>
              </w:rPr>
              <w:t>$500</w:t>
            </w:r>
            <w:r>
              <w:rPr>
                <w:rFonts w:ascii="Times New Roman" w:hAnsi="Times New Roman"/>
                <w:color w:val="404040"/>
                <w:sz w:val="20"/>
              </w:rPr>
              <w:t xml:space="preserve"> </w:t>
            </w:r>
            <w:r>
              <w:rPr>
                <w:rFonts w:ascii="Clario;sans-serif" w:hAnsi="Clario;sans-serif"/>
                <w:color w:val="404040"/>
                <w:sz w:val="18"/>
              </w:rPr>
              <w:t>5.85% Notes due 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Clario;sans-serif" w:hAnsi="Clario;sans-serif"/>
                <w:color w:val="404040"/>
                <w:sz w:val="18"/>
              </w:rPr>
              <w:t>$119</w:t>
            </w:r>
            <w:r>
              <w:rPr>
                <w:rFonts w:ascii="Times New Roman" w:hAnsi="Times New Roman"/>
                <w:color w:val="404040"/>
                <w:sz w:val="20"/>
              </w:rPr>
              <w:t xml:space="preserve"> </w:t>
            </w:r>
            <w:r>
              <w:rPr>
                <w:rFonts w:ascii="Clario;sans-serif" w:hAnsi="Clario;sans-serif"/>
                <w:color w:val="404040"/>
                <w:sz w:val="18"/>
              </w:rPr>
              <w:t>4.50% Notes due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rPr/>
        <w:tc>
          <w:tcPr>
            <w:tcW w:w="204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Clario;sans-serif" w:hAnsi="Clario;sans-serif"/>
                <w:color w:val="404040"/>
                <w:sz w:val="18"/>
              </w:rPr>
              <w:t>$350</w:t>
            </w:r>
            <w:r>
              <w:rPr>
                <w:rFonts w:ascii="Times New Roman" w:hAnsi="Times New Roman"/>
                <w:color w:val="404040"/>
                <w:sz w:val="20"/>
              </w:rPr>
              <w:t xml:space="preserve"> </w:t>
            </w:r>
            <w:r>
              <w:rPr>
                <w:rFonts w:ascii="Clario;sans-serif" w:hAnsi="Clario;sans-serif"/>
                <w:color w:val="404040"/>
                <w:sz w:val="18"/>
              </w:rPr>
              <w:t>5.65% Notes due</w:t>
            </w:r>
            <w:r>
              <w:rPr>
                <w:rFonts w:ascii="Times New Roman" w:hAnsi="Times New Roman"/>
                <w:color w:val="404040"/>
                <w:sz w:val="20"/>
              </w:rPr>
              <w:t xml:space="preserve"> </w:t>
            </w:r>
            <w:r>
              <w:rPr>
                <w:rFonts w:ascii="Clario;sans-serif" w:hAnsi="Clario;sans-serif"/>
                <w:color w:val="404040"/>
                <w:sz w:val="18"/>
              </w:rPr>
              <w:t>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rPr/>
        <w:tc>
          <w:tcPr>
            <w:tcW w:w="20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Clario;sans-serif" w:hAnsi="Clario;sans-serif"/>
                <w:color w:val="404040"/>
                <w:sz w:val="18"/>
              </w:rPr>
              <w:t>$400</w:t>
            </w:r>
            <w:r>
              <w:rPr>
                <w:rFonts w:ascii="Times New Roman" w:hAnsi="Times New Roman"/>
                <w:color w:val="404040"/>
                <w:sz w:val="20"/>
              </w:rPr>
              <w:t xml:space="preserve"> </w:t>
            </w:r>
            <w:r>
              <w:rPr>
                <w:rFonts w:ascii="Clario;sans-serif" w:hAnsi="Clario;sans-serif"/>
                <w:color w:val="404040"/>
                <w:sz w:val="18"/>
              </w:rPr>
              <w:t>5.50% Debentures due 2035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20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2,182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2042"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Long-term portion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Debt repayment</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In May 2026, the Company repaid its $500</w:t>
      </w:r>
      <w:r>
        <w:rPr>
          <w:rFonts w:ascii="Times New Roman" w:hAnsi="Times New Roman"/>
          <w:color w:val="404040"/>
          <w:sz w:val="20"/>
        </w:rPr>
        <w:t xml:space="preserve"> </w:t>
      </w:r>
      <w:r>
        <w:rPr>
          <w:rFonts w:ascii="Clario;sans-serif" w:hAnsi="Clario;sans-serif"/>
          <w:color w:val="404040"/>
          <w:sz w:val="18"/>
        </w:rPr>
        <w:t>million 3.35% notes upon maturity with cash on hand and commercial paper borrowings.</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Fixed-to-floating interest rate swaps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As of June 30, 2026, the Company entered into fixed-to-floating interest rate swaps totaling $635</w:t>
      </w:r>
      <w:r>
        <w:rPr>
          <w:rFonts w:ascii="Times New Roman" w:hAnsi="Times New Roman"/>
          <w:color w:val="404040"/>
          <w:sz w:val="20"/>
        </w:rPr>
        <w:t xml:space="preserve"> </w:t>
      </w:r>
      <w:r>
        <w:rPr>
          <w:rFonts w:ascii="Clario;sans-serif" w:hAnsi="Clario;sans-serif"/>
          <w:color w:val="404040"/>
          <w:sz w:val="18"/>
        </w:rPr>
        <w:t>million in notional amount, $225</w:t>
      </w:r>
      <w:r>
        <w:rPr>
          <w:rFonts w:ascii="Times New Roman" w:hAnsi="Times New Roman"/>
          <w:color w:val="404040"/>
          <w:sz w:val="20"/>
        </w:rPr>
        <w:t xml:space="preserve"> </w:t>
      </w:r>
      <w:r>
        <w:rPr>
          <w:rFonts w:ascii="Clario;sans-serif" w:hAnsi="Clario;sans-serif"/>
          <w:color w:val="404040"/>
          <w:sz w:val="18"/>
        </w:rPr>
        <w:t>million of which were entered into during the six months ended June 30, 2026</w:t>
      </w:r>
      <w:r>
        <w:rPr>
          <w:rFonts w:ascii="Times New Roman" w:hAnsi="Times New Roman"/>
          <w:color w:val="404040"/>
          <w:sz w:val="20"/>
        </w:rPr>
        <w:t xml:space="preserve"> </w:t>
      </w:r>
      <w:r>
        <w:rPr>
          <w:rFonts w:ascii="Clario;sans-serif" w:hAnsi="Clario;sans-serif"/>
          <w:color w:val="404040"/>
          <w:sz w:val="18"/>
        </w:rPr>
        <w:t>and $410</w:t>
      </w:r>
      <w:r>
        <w:rPr>
          <w:rFonts w:ascii="Times New Roman" w:hAnsi="Times New Roman"/>
          <w:color w:val="404040"/>
          <w:sz w:val="20"/>
        </w:rPr>
        <w:t xml:space="preserve"> </w:t>
      </w:r>
      <w:r>
        <w:rPr>
          <w:rFonts w:ascii="Clario;sans-serif" w:hAnsi="Clario;sans-serif"/>
          <w:color w:val="404040"/>
          <w:sz w:val="18"/>
        </w:rPr>
        <w:t>million in September 2025. Under these arrangements, the Company receives a fixed rate of interest and pays a floating rate based on SOFR plus a spread. These swaps are designated as fair value hedges for a portion of each of the Company's $500</w:t>
      </w:r>
      <w:r>
        <w:rPr>
          <w:rFonts w:ascii="Times New Roman" w:hAnsi="Times New Roman"/>
          <w:color w:val="404040"/>
          <w:sz w:val="20"/>
        </w:rPr>
        <w:t xml:space="preserve"> </w:t>
      </w:r>
      <w:r>
        <w:rPr>
          <w:rFonts w:ascii="Clario;sans-serif" w:hAnsi="Clario;sans-serif"/>
          <w:color w:val="404040"/>
          <w:sz w:val="18"/>
        </w:rPr>
        <w:t>million principal amount of 5.85% notes due</w:t>
      </w:r>
      <w:r>
        <w:rPr>
          <w:rFonts w:ascii="Times New Roman" w:hAnsi="Times New Roman"/>
          <w:color w:val="404040"/>
          <w:sz w:val="20"/>
        </w:rPr>
        <w:t xml:space="preserve"> </w:t>
      </w:r>
      <w:r>
        <w:rPr>
          <w:rFonts w:ascii="Clario;sans-serif" w:hAnsi="Clario;sans-serif"/>
          <w:color w:val="404040"/>
          <w:sz w:val="18"/>
        </w:rPr>
        <w:t>April 2040</w:t>
      </w:r>
      <w:r>
        <w:rPr>
          <w:rFonts w:ascii="Times New Roman" w:hAnsi="Times New Roman"/>
          <w:color w:val="404040"/>
          <w:sz w:val="20"/>
        </w:rPr>
        <w:t xml:space="preserve"> </w:t>
      </w:r>
      <w:r>
        <w:rPr>
          <w:rFonts w:ascii="Clario;sans-serif" w:hAnsi="Clario;sans-serif"/>
          <w:color w:val="404040"/>
          <w:sz w:val="18"/>
        </w:rPr>
        <w:t>($225</w:t>
      </w:r>
      <w:r>
        <w:rPr>
          <w:rFonts w:ascii="Times New Roman" w:hAnsi="Times New Roman"/>
          <w:color w:val="404040"/>
          <w:sz w:val="20"/>
        </w:rPr>
        <w:t xml:space="preserve"> </w:t>
      </w:r>
      <w:r>
        <w:rPr>
          <w:rFonts w:ascii="Clario;sans-serif" w:hAnsi="Clario;sans-serif"/>
          <w:color w:val="404040"/>
          <w:sz w:val="18"/>
        </w:rPr>
        <w:t>million hedged), $119</w:t>
      </w:r>
      <w:r>
        <w:rPr>
          <w:rFonts w:ascii="Times New Roman" w:hAnsi="Times New Roman"/>
          <w:color w:val="404040"/>
          <w:sz w:val="20"/>
        </w:rPr>
        <w:t xml:space="preserve"> </w:t>
      </w:r>
      <w:r>
        <w:rPr>
          <w:rFonts w:ascii="Clario;sans-serif" w:hAnsi="Clario;sans-serif"/>
          <w:color w:val="404040"/>
          <w:sz w:val="18"/>
        </w:rPr>
        <w:t>million principal amount of 4.50% notes due May 2043</w:t>
      </w:r>
      <w:r>
        <w:rPr>
          <w:rFonts w:ascii="Times New Roman" w:hAnsi="Times New Roman"/>
          <w:color w:val="404040"/>
          <w:sz w:val="20"/>
        </w:rPr>
        <w:t xml:space="preserve"> </w:t>
      </w:r>
      <w:r>
        <w:rPr>
          <w:rFonts w:ascii="Clario;sans-serif" w:hAnsi="Clario;sans-serif"/>
          <w:color w:val="404040"/>
          <w:sz w:val="18"/>
        </w:rPr>
        <w:t>($80</w:t>
      </w:r>
      <w:r>
        <w:rPr>
          <w:rFonts w:ascii="Times New Roman" w:hAnsi="Times New Roman"/>
          <w:color w:val="404040"/>
          <w:sz w:val="20"/>
        </w:rPr>
        <w:t xml:space="preserve"> </w:t>
      </w:r>
      <w:r>
        <w:rPr>
          <w:rFonts w:ascii="Clario;sans-serif" w:hAnsi="Clario;sans-serif"/>
          <w:color w:val="404040"/>
          <w:sz w:val="18"/>
        </w:rPr>
        <w:t>million hedged) and $350</w:t>
      </w:r>
      <w:r>
        <w:rPr>
          <w:rFonts w:ascii="Times New Roman" w:hAnsi="Times New Roman"/>
          <w:color w:val="404040"/>
          <w:sz w:val="20"/>
        </w:rPr>
        <w:t xml:space="preserve"> </w:t>
      </w:r>
      <w:r>
        <w:rPr>
          <w:rFonts w:ascii="Clario;sans-serif" w:hAnsi="Clario;sans-serif"/>
          <w:color w:val="404040"/>
          <w:sz w:val="18"/>
        </w:rPr>
        <w:t>million principal amount of 5.65% notes due November 2043</w:t>
      </w:r>
      <w:r>
        <w:rPr>
          <w:rFonts w:ascii="Times New Roman" w:hAnsi="Times New Roman"/>
          <w:color w:val="404040"/>
          <w:sz w:val="20"/>
        </w:rPr>
        <w:t xml:space="preserve"> </w:t>
      </w:r>
      <w:r>
        <w:rPr>
          <w:rFonts w:ascii="Clario;sans-serif" w:hAnsi="Clario;sans-serif"/>
          <w:color w:val="404040"/>
          <w:sz w:val="18"/>
        </w:rPr>
        <w:t>($330</w:t>
      </w:r>
      <w:r>
        <w:rPr>
          <w:rFonts w:ascii="Times New Roman" w:hAnsi="Times New Roman"/>
          <w:color w:val="404040"/>
          <w:sz w:val="20"/>
        </w:rPr>
        <w:t xml:space="preserve"> </w:t>
      </w:r>
      <w:r>
        <w:rPr>
          <w:rFonts w:ascii="Clario;sans-serif" w:hAnsi="Clario;sans-serif"/>
          <w:color w:val="404040"/>
          <w:sz w:val="18"/>
        </w:rPr>
        <w:t>million hedged), covering the remaining term to debt maturity. The swaps were entered into as part of the Company's strategy to manage interest rate risk.</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swaps are reported at fair value in the consolidated statement of financial position with changes in their fair value recorded within “Finance costs, net” in the consolidated income statement. The fair value of the swaps was a liability of $23</w:t>
      </w:r>
      <w:r>
        <w:rPr>
          <w:rFonts w:ascii="Times New Roman" w:hAnsi="Times New Roman"/>
          <w:color w:val="404040"/>
          <w:sz w:val="20"/>
        </w:rPr>
        <w:t xml:space="preserve"> </w:t>
      </w:r>
      <w:r>
        <w:rPr>
          <w:rFonts w:ascii="Clario;sans-serif" w:hAnsi="Clario;sans-serif"/>
          <w:color w:val="404040"/>
          <w:sz w:val="18"/>
        </w:rPr>
        <w:t>million, reported within "Other financial liabilities, non-current", in the consolidated statement of financial position as of June 30, 2026 (December 31, 2025</w:t>
      </w:r>
      <w:r>
        <w:rPr>
          <w:rFonts w:ascii="Times New Roman" w:hAnsi="Times New Roman"/>
          <w:color w:val="404040"/>
          <w:sz w:val="20"/>
        </w:rPr>
        <w:t xml:space="preserve"> </w:t>
      </w:r>
      <w:r>
        <w:rPr>
          <w:rFonts w:ascii="Clario;sans-serif" w:hAnsi="Clario;sans-serif"/>
          <w:color w:val="404040"/>
          <w:sz w:val="18"/>
        </w:rPr>
        <w:t>- $16</w:t>
      </w:r>
      <w:r>
        <w:rPr>
          <w:rFonts w:ascii="Times New Roman" w:hAnsi="Times New Roman"/>
          <w:color w:val="404040"/>
          <w:sz w:val="20"/>
        </w:rPr>
        <w:t xml:space="preserve"> </w:t>
      </w:r>
      <w:r>
        <w:rPr>
          <w:rFonts w:ascii="Clario;sans-serif" w:hAnsi="Clario;sans-serif"/>
          <w:color w:val="404040"/>
          <w:sz w:val="18"/>
        </w:rPr>
        <w:t>million).</w:t>
      </w:r>
      <w:r>
        <w:rPr>
          <w:rFonts w:ascii="Times New Roman" w:hAnsi="Times New Roman"/>
          <w:color w:val="404040"/>
          <w:sz w:val="20"/>
        </w:rPr>
        <w:t xml:space="preserve"> </w:t>
      </w:r>
      <w:r>
        <w:rPr>
          <w:rFonts w:ascii="Clario;sans-serif" w:hAnsi="Clario;sans-serif"/>
          <w:color w:val="404040"/>
          <w:sz w:val="18"/>
        </w:rPr>
        <w:t>The change in fair value was a loss of $7</w:t>
      </w:r>
      <w:r>
        <w:rPr>
          <w:rFonts w:ascii="Times New Roman" w:hAnsi="Times New Roman"/>
          <w:color w:val="404040"/>
          <w:sz w:val="20"/>
        </w:rPr>
        <w:t xml:space="preserve"> </w:t>
      </w:r>
      <w:r>
        <w:rPr>
          <w:rFonts w:ascii="Clario;sans-serif" w:hAnsi="Clario;sans-serif"/>
          <w:color w:val="404040"/>
          <w:sz w:val="18"/>
        </w:rPr>
        <w:t>million in the six months ended June 30, 2026.</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In addition, the Company has credit support agreements with its counterparties under which one party may call on the other party to post cash collateral when the market value of the swaps exceeds specific thresholds, thus limiting credit exposure. As of June 30, 2026, the Company had a cash collateral receivable of $25</w:t>
      </w:r>
      <w:r>
        <w:rPr>
          <w:rFonts w:ascii="Times New Roman" w:hAnsi="Times New Roman"/>
          <w:color w:val="404040"/>
          <w:sz w:val="20"/>
        </w:rPr>
        <w:t xml:space="preserve"> </w:t>
      </w:r>
      <w:r>
        <w:rPr>
          <w:rFonts w:ascii="Clario;sans-serif" w:hAnsi="Clario;sans-serif"/>
          <w:color w:val="404040"/>
          <w:sz w:val="18"/>
        </w:rPr>
        <w:t>million (December 31, 2025</w:t>
      </w:r>
      <w:r>
        <w:rPr>
          <w:rFonts w:ascii="Times New Roman" w:hAnsi="Times New Roman"/>
          <w:color w:val="404040"/>
          <w:sz w:val="20"/>
        </w:rPr>
        <w:t xml:space="preserve"> </w:t>
      </w:r>
      <w:r>
        <w:rPr>
          <w:rFonts w:ascii="Clario;sans-serif" w:hAnsi="Clario;sans-serif"/>
          <w:color w:val="404040"/>
          <w:sz w:val="18"/>
        </w:rPr>
        <w:t>- $7</w:t>
      </w:r>
      <w:r>
        <w:rPr>
          <w:rFonts w:ascii="Times New Roman" w:hAnsi="Times New Roman"/>
          <w:color w:val="404040"/>
          <w:sz w:val="20"/>
        </w:rPr>
        <w:t xml:space="preserve"> </w:t>
      </w:r>
      <w:r>
        <w:rPr>
          <w:rFonts w:ascii="Clario;sans-serif" w:hAnsi="Clario;sans-serif"/>
          <w:color w:val="404040"/>
          <w:sz w:val="18"/>
        </w:rPr>
        <w:t>million) related to its fixed-to-floating interest rate swaps. Cash flows associated with collateral movements were classified as financing activities in the consolidated statement of cash flow.</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Fair value estimation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following fair value measurement hierarchy is used for financial instruments that are measured in the consolidated statement of financial position at fair value:</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Level 1 - quoted prices (unadjusted) in active markets for identical assets or liabilities;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Level 2 - inputs other than quoted prices included within level 1 that are observable for the asset or liability, either directly (that is, as prices) or indirectly (that is, derived from prices);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Level 3 - inputs for the asset or liability that are not based on observable market data (that is, unobservable inputs).</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57</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levels used to determine fair value measurements for those instruments carried at fair value in the consolidated statement of financial position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74"/>
        <w:gridCol w:w="317"/>
        <w:gridCol w:w="317"/>
        <w:gridCol w:w="146"/>
        <w:gridCol w:w="822"/>
        <w:gridCol w:w="146"/>
        <w:gridCol w:w="822"/>
        <w:gridCol w:w="146"/>
        <w:gridCol w:w="822"/>
        <w:gridCol w:w="146"/>
        <w:gridCol w:w="947"/>
      </w:tblGrid>
      <w:tr>
        <w:trPr/>
        <w:tc>
          <w:tcPr>
            <w:tcW w:w="55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5574"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June 30, 2026</w:t>
              <w:br/>
              <w:t>(millions of U.S. dollars)</w:t>
            </w:r>
          </w:p>
        </w:tc>
        <w:tc>
          <w:tcPr>
            <w:tcW w:w="317"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1</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2</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3</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Total </w:t>
              <w:br/>
              <w:t>Balance</w:t>
            </w:r>
          </w:p>
        </w:tc>
      </w:tr>
      <w:tr>
        <w:trPr/>
        <w:tc>
          <w:tcPr>
            <w:tcW w:w="557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Assets</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Money market accounts and other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292</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Other receivables</w:t>
            </w:r>
            <w:r>
              <w:rPr>
                <w:rFonts w:ascii="Clario;sans-serif" w:hAnsi="Clario;sans-serif"/>
                <w:color w:val="404040"/>
                <w:sz w:val="12"/>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362</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assets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654</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Financial assets at fair value through other comprehensive income</w:t>
            </w:r>
            <w:r>
              <w:rPr>
                <w:rFonts w:ascii="Clario;sans-serif" w:hAnsi="Clario;sans-serif"/>
                <w:color w:val="404040"/>
                <w:sz w:val="12"/>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184</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838</w:t>
            </w:r>
          </w:p>
        </w:tc>
      </w:tr>
      <w:tr>
        <w:trPr/>
        <w:tc>
          <w:tcPr>
            <w:tcW w:w="620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Derivatives used for hedging</w:t>
            </w:r>
            <w:r>
              <w:rPr>
                <w:rFonts w:ascii="Clario;sans-serif" w:hAnsi="Clario;sans-serif"/>
                <w:color w:val="404040"/>
                <w:sz w:val="12"/>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(23)</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Contingent consideration</w:t>
            </w:r>
            <w:r>
              <w:rPr>
                <w:rFonts w:ascii="Clario;sans-serif" w:hAnsi="Clario;sans-serif"/>
                <w:color w:val="404040"/>
                <w:sz w:val="12"/>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liabilities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94"/>
        <w:gridCol w:w="357"/>
        <w:gridCol w:w="357"/>
        <w:gridCol w:w="146"/>
        <w:gridCol w:w="821"/>
        <w:gridCol w:w="146"/>
        <w:gridCol w:w="821"/>
        <w:gridCol w:w="146"/>
        <w:gridCol w:w="821"/>
        <w:gridCol w:w="146"/>
        <w:gridCol w:w="950"/>
      </w:tblGrid>
      <w:tr>
        <w:trPr/>
        <w:tc>
          <w:tcPr>
            <w:tcW w:w="549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5494"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December 31, 2025</w:t>
              <w:br/>
              <w:t>(millions of U.S. dollars)</w:t>
            </w:r>
          </w:p>
        </w:tc>
        <w:tc>
          <w:tcPr>
            <w:tcW w:w="357"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1</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2</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3</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Total </w:t>
              <w:br/>
              <w:t>Balance</w:t>
            </w:r>
          </w:p>
        </w:tc>
      </w:tr>
      <w:tr>
        <w:trPr/>
        <w:tc>
          <w:tcPr>
            <w:tcW w:w="549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Assets</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Money market accounts and other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235</w:t>
            </w:r>
          </w:p>
        </w:tc>
      </w:tr>
      <w:tr>
        <w:trPr/>
        <w:tc>
          <w:tcPr>
            <w:tcW w:w="5494"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Other receivables</w:t>
            </w:r>
            <w:r>
              <w:rPr>
                <w:rFonts w:ascii="Clario;sans-serif" w:hAnsi="Clario;sans-serif"/>
                <w:color w:val="404040"/>
                <w:sz w:val="12"/>
              </w:rPr>
              <w:t>(1)</w:t>
            </w:r>
          </w:p>
        </w:tc>
        <w:tc>
          <w:tcPr>
            <w:tcW w:w="3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assets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607</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Financial assets at fair value through other comprehensive income</w:t>
            </w:r>
            <w:r>
              <w:rPr>
                <w:rFonts w:ascii="Clario;sans-serif" w:hAnsi="Clario;sans-serif"/>
                <w:color w:val="404040"/>
                <w:sz w:val="12"/>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775</w:t>
            </w:r>
          </w:p>
        </w:tc>
      </w:tr>
      <w:tr>
        <w:trPr/>
        <w:tc>
          <w:tcPr>
            <w:tcW w:w="620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Derivatives used for hedging</w:t>
            </w:r>
            <w:r>
              <w:rPr>
                <w:rFonts w:ascii="Clario;sans-serif" w:hAnsi="Clario;sans-serif"/>
                <w:color w:val="40404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(16)</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Contingent consideration</w:t>
            </w:r>
            <w:r>
              <w:rPr>
                <w:rFonts w:ascii="Clario;sans-serif" w:hAnsi="Clario;sans-serif"/>
                <w:color w:val="404040"/>
                <w:sz w:val="12"/>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liabilities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Receivables under an indemnification and other arrangements.</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Investments in entities over which the Company does not have control, joint control or significant influence.</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(3)</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Comprised of fixed-to-floating interest rate swaps on indebtedness maturing in 2040 and 2043.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(4)</w:t>
      </w:r>
    </w:p>
    <w:p>
      <w:pPr>
        <w:pStyle w:val="TextBody"/>
        <w:bidi w:val="0"/>
        <w:jc w:val="left"/>
        <w:rPr>
          <w:rFonts w:ascii="Clario;sans-serif" w:hAnsi="Clario;sans-serif"/>
          <w:color w:val="404040"/>
          <w:sz w:val="16"/>
        </w:rPr>
      </w:pPr>
      <w:r>
        <w:rPr>
          <w:rFonts w:ascii="Clario;sans-serif" w:hAnsi="Clario;sans-serif"/>
          <w:color w:val="404040"/>
          <w:sz w:val="16"/>
        </w:rPr>
        <w:t xml:space="preserve">Obligations to pay additional consideration for prior acquisitions, based upon performance measures contractually agreed at the time of purchase, and in 2025, to purchase shares from minority owners of a subsidiary.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As of June 30, 2026, other receivables in level 3 of the fair value measurement hierarchy primarily includes $277</w:t>
      </w:r>
      <w:r>
        <w:rPr>
          <w:rFonts w:ascii="Times New Roman" w:hAnsi="Times New Roman"/>
          <w:color w:val="404040"/>
          <w:sz w:val="20"/>
        </w:rPr>
        <w:t xml:space="preserve"> </w:t>
      </w:r>
      <w:r>
        <w:rPr>
          <w:rFonts w:ascii="Clario;sans-serif" w:hAnsi="Clario;sans-serif"/>
          <w:color w:val="404040"/>
          <w:sz w:val="18"/>
        </w:rPr>
        <w:t>million (December 31, 2025 - $288</w:t>
      </w:r>
      <w:r>
        <w:rPr>
          <w:rFonts w:ascii="Times New Roman" w:hAnsi="Times New Roman"/>
          <w:color w:val="404040"/>
          <w:sz w:val="20"/>
        </w:rPr>
        <w:t xml:space="preserve"> </w:t>
      </w:r>
      <w:r>
        <w:rPr>
          <w:rFonts w:ascii="Clario;sans-serif" w:hAnsi="Clario;sans-serif"/>
          <w:color w:val="404040"/>
          <w:sz w:val="18"/>
        </w:rPr>
        <w:t>million) due from an indemnification arrangement and $85</w:t>
      </w:r>
      <w:r>
        <w:rPr>
          <w:rFonts w:ascii="Times New Roman" w:hAnsi="Times New Roman"/>
          <w:color w:val="404040"/>
          <w:sz w:val="20"/>
        </w:rPr>
        <w:t xml:space="preserve"> </w:t>
      </w:r>
      <w:r>
        <w:rPr>
          <w:rFonts w:ascii="Clario;sans-serif" w:hAnsi="Clario;sans-serif"/>
          <w:color w:val="404040"/>
          <w:sz w:val="18"/>
        </w:rPr>
        <w:t>million (December 31, 2025 - $84</w:t>
      </w:r>
      <w:r>
        <w:rPr>
          <w:rFonts w:ascii="Times New Roman" w:hAnsi="Times New Roman"/>
          <w:color w:val="404040"/>
          <w:sz w:val="20"/>
        </w:rPr>
        <w:t xml:space="preserve"> </w:t>
      </w:r>
      <w:r>
        <w:rPr>
          <w:rFonts w:ascii="Clario;sans-serif" w:hAnsi="Clario;sans-serif"/>
          <w:color w:val="404040"/>
          <w:sz w:val="18"/>
        </w:rPr>
        <w:t>million) in receivables from the sale of the Company's FindLaw business in December 2024. The decrease in the receivable from the indemnification arrangement between June 30, 2026 and December 31, 2025 is primarily comprised of losses recognized from the resolution of a tax dispute. The losses also included impacts from changes in foreign exchange and interest rates associated with the indemnifying party’s credit profile. All such losses are included in “Earnings (loss) from discontinued operations, net of tax”, within the consolidated income statement.</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As of June 30, 2026, investments in level 3 financial assets measured at fair value through other comprehensive income was $184</w:t>
      </w:r>
      <w:r>
        <w:rPr>
          <w:rFonts w:ascii="Times New Roman" w:hAnsi="Times New Roman"/>
          <w:color w:val="404040"/>
          <w:sz w:val="20"/>
        </w:rPr>
        <w:t xml:space="preserve"> </w:t>
      </w:r>
      <w:r>
        <w:rPr>
          <w:rFonts w:ascii="Clario;sans-serif" w:hAnsi="Clario;sans-serif"/>
          <w:color w:val="404040"/>
          <w:sz w:val="18"/>
        </w:rPr>
        <w:t>million (2025</w:t>
      </w:r>
      <w:r>
        <w:rPr>
          <w:rFonts w:ascii="Times New Roman" w:hAnsi="Times New Roman"/>
          <w:color w:val="404040"/>
          <w:sz w:val="20"/>
        </w:rPr>
        <w:t xml:space="preserve"> </w:t>
      </w:r>
      <w:r>
        <w:rPr>
          <w:rFonts w:ascii="Clario;sans-serif" w:hAnsi="Clario;sans-serif"/>
          <w:color w:val="404040"/>
          <w:sz w:val="18"/>
        </w:rPr>
        <w:t>- $168</w:t>
      </w:r>
      <w:r>
        <w:rPr>
          <w:rFonts w:ascii="Times New Roman" w:hAnsi="Times New Roman"/>
          <w:color w:val="404040"/>
          <w:sz w:val="20"/>
        </w:rPr>
        <w:t xml:space="preserve"> </w:t>
      </w:r>
      <w:r>
        <w:rPr>
          <w:rFonts w:ascii="Clario;sans-serif" w:hAnsi="Clario;sans-serif"/>
          <w:color w:val="404040"/>
          <w:sz w:val="18"/>
        </w:rPr>
        <w:t>million). The increase between June 30, 2026 and December 31, 2025</w:t>
      </w:r>
      <w:r>
        <w:rPr>
          <w:rFonts w:ascii="Times New Roman" w:hAnsi="Times New Roman"/>
          <w:color w:val="404040"/>
          <w:sz w:val="20"/>
        </w:rPr>
        <w:t xml:space="preserve"> </w:t>
      </w:r>
      <w:r>
        <w:rPr>
          <w:rFonts w:ascii="Clario;sans-serif" w:hAnsi="Clario;sans-serif"/>
          <w:color w:val="404040"/>
          <w:sz w:val="18"/>
        </w:rPr>
        <w:t>was primarily due to additional investments of $19</w:t>
      </w:r>
      <w:r>
        <w:rPr>
          <w:rFonts w:ascii="Times New Roman" w:hAnsi="Times New Roman"/>
          <w:color w:val="404040"/>
          <w:sz w:val="20"/>
        </w:rPr>
        <w:t xml:space="preserve"> </w:t>
      </w:r>
      <w:r>
        <w:rPr>
          <w:rFonts w:ascii="Clario;sans-serif" w:hAnsi="Clario;sans-serif"/>
          <w:color w:val="404040"/>
          <w:sz w:val="18"/>
        </w:rPr>
        <w:t>million and fair value net gains, reflecting pricing from equity funding rounds during the period, which were partly offset by disposals.</w:t>
      </w:r>
    </w:p>
    <w:p>
      <w:pPr>
        <w:pStyle w:val="TextBody"/>
        <w:bidi w:val="0"/>
        <w:spacing w:before="100" w:after="283"/>
        <w:jc w:val="left"/>
        <w:rPr>
          <w:rFonts w:ascii="Times New Roman" w:hAnsi="Times New Roman"/>
          <w:sz w:val="20"/>
        </w:rPr>
      </w:pPr>
      <w:r>
        <w:rPr>
          <w:rFonts w:ascii="Clario;sans-serif" w:hAnsi="Clario;sans-serif"/>
          <w:color w:val="404040"/>
          <w:sz w:val="18"/>
        </w:rPr>
        <w:t>The Company recognizes transfers into and out of the fair value measurement hierarchy levels at the end of the reporting period in which the event or change in circumstances that caused the transfer occurred. There were no transfers between hierarchy levels for the six months ended June 30, 2026.</w:t>
      </w:r>
      <w:r>
        <w:rPr>
          <w:rFonts w:ascii="Times New Roman" w:hAnsi="Times New Roman"/>
          <w:color w:val="404040"/>
          <w:sz w:val="20"/>
        </w:rPr>
        <w:t xml:space="preserve">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58</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Valuation Techniques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fair value of financial instruments that are not traded in an active market (for example, over-the-counter derivatives)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 If one or more of the significant inputs is not based on observable market data, the instrument is included in level 3.</w:t>
      </w:r>
    </w:p>
    <w:p>
      <w:pPr>
        <w:pStyle w:val="TextBody"/>
        <w:bidi w:val="0"/>
        <w:spacing w:before="100" w:after="283"/>
        <w:jc w:val="left"/>
        <w:rPr>
          <w:rFonts w:ascii="Times New Roman" w:hAnsi="Times New Roman"/>
          <w:sz w:val="20"/>
        </w:rPr>
      </w:pPr>
      <w:r>
        <w:rPr>
          <w:rFonts w:ascii="Clario;sans-serif" w:hAnsi="Clario;sans-serif"/>
          <w:color w:val="404040"/>
          <w:sz w:val="18"/>
        </w:rPr>
        <w:t>Specific valuation techniques used to value financial instruments include:</w:t>
      </w:r>
      <w:r>
        <w:rPr>
          <w:rFonts w:ascii="Times New Roman" w:hAnsi="Times New Roman"/>
          <w:color w:val="404040"/>
          <w:sz w:val="20"/>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fair value of investments predominantly reflect pricing from equity funding rounds;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The fair value of receivables due under indemnification and other arrangements primarily considers estimated future cash flows, current market interest rates and non-performance risk;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The fair value of contingent consideration liability is calculated based on estimates of future revenue performance or the achievement of certain commercial milestones; and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Interest rate swaps are calculated as the present value of the estimated cash flows based on observable yield curves.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11: Other Non-Current Assets</w:t>
      </w:r>
    </w:p>
    <w:p>
      <w:pPr>
        <w:pStyle w:val="TextBody"/>
        <w:bidi w:val="0"/>
        <w:spacing w:before="100" w:after="283"/>
        <w:jc w:val="left"/>
        <w:rPr>
          <w:rFonts w:ascii="Times New Roman" w:hAnsi="Times New Roman"/>
          <w:sz w:val="20"/>
        </w:rPr>
      </w:pPr>
      <w:r>
        <w:rPr>
          <w:rFonts w:ascii="Clario;sans-serif" w:hAnsi="Clario;sans-serif"/>
          <w:color w:val="404040"/>
          <w:sz w:val="18"/>
        </w:rPr>
        <w:t>The components of other non-current assets include the following:</w:t>
      </w:r>
      <w:r>
        <w:rPr>
          <w:rFonts w:ascii="Times New Roman" w:hAnsi="Times New Roman"/>
          <w:color w:val="404040"/>
          <w:sz w:val="20"/>
        </w:rPr>
        <w:t xml:space="preserve"> </w:t>
      </w:r>
    </w:p>
    <w:p>
      <w:pPr>
        <w:pStyle w:val="TextBody"/>
        <w:bidi w:val="0"/>
        <w:jc w:val="left"/>
        <w:rPr/>
      </w:pPr>
      <w:r>
        <w:rPr/>
        <w:t> </w:t>
      </w:r>
    </w:p>
    <w:tbl>
      <w:tblPr>
        <w:tblW w:w="6910" w:type="dxa"/>
        <w:jc w:val="left"/>
        <w:tblInd w:w="0" w:type="dxa"/>
        <w:tblLayout w:type="fixed"/>
        <w:tblCellMar>
          <w:top w:w="28" w:type="dxa"/>
          <w:left w:w="28" w:type="dxa"/>
          <w:bottom w:w="28" w:type="dxa"/>
          <w:right w:w="28" w:type="dxa"/>
        </w:tblCellMar>
      </w:tblPr>
      <w:tblGrid>
        <w:gridCol w:w="4246"/>
        <w:gridCol w:w="146"/>
        <w:gridCol w:w="931"/>
        <w:gridCol w:w="146"/>
        <w:gridCol w:w="144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rPr/>
        <w:tc>
          <w:tcPr>
            <w:tcW w:w="42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surrender value of life insurance policies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384</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defined benefit plan surpluses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83</w:t>
            </w:r>
          </w:p>
        </w:tc>
      </w:tr>
      <w:tr>
        <w:trPr/>
        <w:tc>
          <w:tcPr>
            <w:tcW w:w="4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Other non-current assets</w:t>
            </w:r>
            <w:r>
              <w:rPr>
                <w:rFonts w:ascii="Clario;sans-serif" w:hAnsi="Clario;sans-serif"/>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103</w:t>
            </w:r>
          </w:p>
        </w:tc>
      </w:tr>
      <w:tr>
        <w:trPr/>
        <w:tc>
          <w:tcPr>
            <w:tcW w:w="4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other non-current assets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680</w:t>
            </w:r>
          </w:p>
        </w:tc>
      </w:tr>
    </w:tbl>
    <w:p>
      <w:pPr>
        <w:pStyle w:val="TextBody"/>
        <w:bidi w:val="0"/>
        <w:jc w:val="left"/>
        <w:rPr/>
      </w:pPr>
      <w:r>
        <w:rP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sz w:val="18"/>
        </w:rPr>
      </w:pPr>
      <w:r>
        <w:rPr>
          <w:rFonts w:ascii="Clario;sans-serif" w:hAnsi="Clario;sans-serif"/>
          <w:color w:val="404040"/>
          <w:sz w:val="16"/>
        </w:rPr>
        <w:t>Includes a tax receivable from HM Revenue &amp; Customs (“HMRC”) of $94</w:t>
      </w:r>
      <w:r>
        <w:rPr>
          <w:rFonts w:ascii="Clario;sans-serif" w:hAnsi="Clario;sans-serif"/>
          <w:color w:val="404040"/>
          <w:sz w:val="18"/>
        </w:rPr>
        <w:t xml:space="preserve"> </w:t>
      </w:r>
      <w:r>
        <w:rPr>
          <w:rFonts w:ascii="Clario;sans-serif" w:hAnsi="Clario;sans-serif"/>
          <w:color w:val="404040"/>
          <w:sz w:val="16"/>
        </w:rPr>
        <w:t>million and $96</w:t>
      </w:r>
      <w:r>
        <w:rPr>
          <w:rFonts w:ascii="Clario;sans-serif" w:hAnsi="Clario;sans-serif"/>
          <w:color w:val="404040"/>
          <w:sz w:val="18"/>
        </w:rPr>
        <w:t xml:space="preserve"> </w:t>
      </w:r>
      <w:r>
        <w:rPr>
          <w:rFonts w:ascii="Clario;sans-serif" w:hAnsi="Clario;sans-serif"/>
          <w:color w:val="404040"/>
          <w:sz w:val="16"/>
        </w:rPr>
        <w:t>million as of June 30, 2026 and December 31, 2025, respectively (see note 17).</w:t>
      </w:r>
      <w:r>
        <w:rPr>
          <w:rFonts w:ascii="Clario;sans-serif" w:hAnsi="Clario;sans-serif"/>
          <w:color w:val="404040"/>
          <w:sz w:val="18"/>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12: Payables, Accruals and Provisions</w:t>
      </w:r>
    </w:p>
    <w:p>
      <w:pPr>
        <w:pStyle w:val="TextBody"/>
        <w:bidi w:val="0"/>
        <w:spacing w:before="100" w:after="283"/>
        <w:jc w:val="left"/>
        <w:rPr>
          <w:rFonts w:ascii="Times New Roman" w:hAnsi="Times New Roman"/>
          <w:sz w:val="20"/>
        </w:rPr>
      </w:pPr>
      <w:bookmarkStart w:id="6" w:name="pic25payables"/>
      <w:bookmarkEnd w:id="6"/>
      <w:r>
        <w:rPr>
          <w:rFonts w:ascii="Clario;sans-serif" w:hAnsi="Clario;sans-serif"/>
          <w:color w:val="404040"/>
          <w:sz w:val="18"/>
        </w:rPr>
        <w:t>The components of payables, accruals and provisions include the following:</w:t>
      </w:r>
      <w:r>
        <w:rPr>
          <w:rFonts w:ascii="Times New Roman" w:hAnsi="Times New Roman"/>
          <w:color w:val="404040"/>
          <w:sz w:val="20"/>
        </w:rPr>
        <w:t xml:space="preserve"> </w:t>
      </w:r>
    </w:p>
    <w:p>
      <w:pPr>
        <w:pStyle w:val="TextBody"/>
        <w:bidi w:val="0"/>
        <w:jc w:val="left"/>
        <w:rPr/>
      </w:pPr>
      <w:r>
        <w:rPr/>
        <w:t> </w:t>
      </w:r>
    </w:p>
    <w:tbl>
      <w:tblPr>
        <w:tblW w:w="6310" w:type="dxa"/>
        <w:jc w:val="left"/>
        <w:tblInd w:w="0" w:type="dxa"/>
        <w:tblLayout w:type="fixed"/>
        <w:tblCellMar>
          <w:top w:w="28" w:type="dxa"/>
          <w:left w:w="28" w:type="dxa"/>
          <w:bottom w:w="28" w:type="dxa"/>
          <w:right w:w="28" w:type="dxa"/>
        </w:tblCellMar>
      </w:tblPr>
      <w:tblGrid>
        <w:gridCol w:w="3646"/>
        <w:gridCol w:w="146"/>
        <w:gridCol w:w="931"/>
        <w:gridCol w:w="146"/>
        <w:gridCol w:w="144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rPr/>
        <w:tc>
          <w:tcPr>
            <w:tcW w:w="36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826</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w:t>
            </w:r>
          </w:p>
        </w:tc>
      </w:tr>
      <w:tr>
        <w:trPr/>
        <w:tc>
          <w:tcPr>
            <w:tcW w:w="3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current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r>
      <w:tr>
        <w:trPr/>
        <w:tc>
          <w:tcPr>
            <w:tcW w:w="3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payables, accruals and provisions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1,014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1,090</w:t>
            </w:r>
          </w:p>
        </w:tc>
      </w:tr>
    </w:tbl>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Note 13: Provisions and Other Non-Current Liabilities</w:t>
      </w:r>
    </w:p>
    <w:p>
      <w:pPr>
        <w:pStyle w:val="TextBody"/>
        <w:bidi w:val="0"/>
        <w:spacing w:before="100" w:after="283"/>
        <w:jc w:val="left"/>
        <w:rPr>
          <w:rFonts w:ascii="Times New Roman" w:hAnsi="Times New Roman"/>
          <w:sz w:val="20"/>
        </w:rPr>
      </w:pPr>
      <w:r>
        <w:rPr>
          <w:rFonts w:ascii="Clario;sans-serif" w:hAnsi="Clario;sans-serif"/>
          <w:color w:val="404040"/>
          <w:sz w:val="18"/>
        </w:rPr>
        <w:t>The components of provisions and other non-current liabilities include the following:</w:t>
      </w:r>
      <w:r>
        <w:rPr>
          <w:rFonts w:ascii="Times New Roman" w:hAnsi="Times New Roman"/>
          <w:color w:val="404040"/>
          <w:sz w:val="20"/>
        </w:rPr>
        <w:t xml:space="preserve"> </w:t>
      </w:r>
    </w:p>
    <w:p>
      <w:pPr>
        <w:pStyle w:val="TextBody"/>
        <w:bidi w:val="0"/>
        <w:jc w:val="left"/>
        <w:rPr/>
      </w:pPr>
      <w:r>
        <w:rPr/>
        <w:t> </w:t>
      </w:r>
    </w:p>
    <w:tbl>
      <w:tblPr>
        <w:tblW w:w="7210" w:type="dxa"/>
        <w:jc w:val="left"/>
        <w:tblInd w:w="0" w:type="dxa"/>
        <w:tblLayout w:type="fixed"/>
        <w:tblCellMar>
          <w:top w:w="28" w:type="dxa"/>
          <w:left w:w="28" w:type="dxa"/>
          <w:bottom w:w="28" w:type="dxa"/>
          <w:right w:w="28" w:type="dxa"/>
        </w:tblCellMar>
      </w:tblPr>
      <w:tblGrid>
        <w:gridCol w:w="4546"/>
        <w:gridCol w:w="146"/>
        <w:gridCol w:w="931"/>
        <w:gridCol w:w="146"/>
        <w:gridCol w:w="144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rPr/>
        <w:tc>
          <w:tcPr>
            <w:tcW w:w="45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defined benefit plan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504</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compensation and employee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w:t>
            </w:r>
          </w:p>
        </w:tc>
      </w:tr>
      <w:tr>
        <w:trPr/>
        <w:tc>
          <w:tcPr>
            <w:tcW w:w="45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rPr/>
        <w:tc>
          <w:tcPr>
            <w:tcW w:w="4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provisions and other non-current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w:t>
            </w:r>
          </w:p>
        </w:tc>
      </w:tr>
    </w:tbl>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Note 14: Capital</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Share repurchases – Normal Course Issuer Bid (“NCIB”)</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Company buys back shares (and subsequently cancels them) from time to time as part of its capital strategy. Share repurchases are typically executed under a NCIB program, which is approved by the TSX. The current NCIB program, as amended in February 2026, allows the Company to repurchase up to 16</w:t>
      </w:r>
      <w:r>
        <w:rPr>
          <w:rFonts w:ascii="Times New Roman" w:hAnsi="Times New Roman"/>
          <w:color w:val="404040"/>
          <w:sz w:val="20"/>
        </w:rPr>
        <w:t xml:space="preserve"> </w:t>
      </w:r>
      <w:r>
        <w:rPr>
          <w:rFonts w:ascii="Clario;sans-serif" w:hAnsi="Clario;sans-serif"/>
          <w:color w:val="404040"/>
          <w:sz w:val="18"/>
        </w:rPr>
        <w:t>million common shares between August 19, 2025 and August 18, 2026, of which 6.0</w:t>
      </w:r>
      <w:r>
        <w:rPr>
          <w:rFonts w:ascii="Times New Roman" w:hAnsi="Times New Roman"/>
          <w:color w:val="404040"/>
          <w:sz w:val="20"/>
        </w:rPr>
        <w:t xml:space="preserve"> </w:t>
      </w:r>
      <w:r>
        <w:rPr>
          <w:rFonts w:ascii="Clario;sans-serif" w:hAnsi="Clario;sans-serif"/>
          <w:color w:val="404040"/>
          <w:sz w:val="18"/>
        </w:rPr>
        <w:t>million common shares were repurchased from August through October of 2025. In February 2026, the Company announced its plan to repurchase up to $600</w:t>
      </w:r>
      <w:r>
        <w:rPr>
          <w:rFonts w:ascii="Times New Roman" w:hAnsi="Times New Roman"/>
          <w:color w:val="404040"/>
          <w:sz w:val="20"/>
        </w:rPr>
        <w:t xml:space="preserve"> </w:t>
      </w:r>
      <w:r>
        <w:rPr>
          <w:rFonts w:ascii="Clario;sans-serif" w:hAnsi="Clario;sans-serif"/>
          <w:color w:val="404040"/>
          <w:sz w:val="18"/>
        </w:rPr>
        <w:t>million of its common shares.</w:t>
      </w:r>
      <w:r>
        <w:rPr>
          <w:rFonts w:ascii="Times New Roman" w:hAnsi="Times New Roman"/>
          <w:color w:val="404040"/>
          <w:sz w:val="20"/>
        </w:rPr>
        <w:t xml:space="preserve"> </w:t>
      </w:r>
    </w:p>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59</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Company may repurchase common shares in open market transactions on the TSX, Nasdaq and/or other exchanges and alternative trading systems, if eligible, or by such other means as may be permitted by the TSX and/or Nasdaq or under applicable law, including private agreement purchases or share purchase program agreement purchases, if the Company receives, if applicable, an issuer bid exemption order in the future from applicable securities regulatory authorities in Canada for such purchases. The price that the Company will pay for common shares in open market transactions will be the market price at the time of purchase or such other price as may be permitted by the TSX.</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Details of share repurchases are as follows:</w:t>
      </w:r>
      <w:r>
        <w:rPr>
          <w:rFonts w:ascii="Times New Roman" w:hAnsi="Times New Roman"/>
          <w:color w:val="404040"/>
          <w:sz w:val="20"/>
        </w:rPr>
        <w:t xml:space="preserve"> </w:t>
      </w:r>
    </w:p>
    <w:p>
      <w:pPr>
        <w:pStyle w:val="TextBody"/>
        <w:bidi w:val="0"/>
        <w:jc w:val="left"/>
        <w:rPr/>
      </w:pPr>
      <w:r>
        <w:rPr/>
        <w:t> </w:t>
      </w:r>
    </w:p>
    <w:tbl>
      <w:tblPr>
        <w:tblW w:w="8970" w:type="dxa"/>
        <w:jc w:val="left"/>
        <w:tblInd w:w="0" w:type="dxa"/>
        <w:tblLayout w:type="fixed"/>
        <w:tblCellMar>
          <w:top w:w="28" w:type="dxa"/>
          <w:left w:w="28" w:type="dxa"/>
          <w:bottom w:w="28" w:type="dxa"/>
          <w:right w:w="28" w:type="dxa"/>
        </w:tblCellMar>
      </w:tblPr>
      <w:tblGrid>
        <w:gridCol w:w="4141"/>
        <w:gridCol w:w="146"/>
        <w:gridCol w:w="146"/>
        <w:gridCol w:w="146"/>
        <w:gridCol w:w="304"/>
        <w:gridCol w:w="304"/>
        <w:gridCol w:w="1627"/>
        <w:gridCol w:w="146"/>
        <w:gridCol w:w="237"/>
        <w:gridCol w:w="237"/>
        <w:gridCol w:w="153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Six months ended</w:t>
              <w:br/>
              <w:t>June 30,</w:t>
            </w:r>
          </w:p>
        </w:tc>
      </w:tr>
      <w:tr>
        <w:trPr/>
        <w:tc>
          <w:tcPr>
            <w:tcW w:w="4141"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rPr/>
            </w:pPr>
            <w:r>
              <w:rPr/>
              <w:t> </w:t>
            </w:r>
          </w:p>
        </w:tc>
        <w:tc>
          <w:tcPr>
            <w:tcW w:w="304"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1627"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1536"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repurchases (millions of U.S. dollars)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362</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Shares repurchased (number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r>
      <w:tr>
        <w:trPr/>
        <w:tc>
          <w:tcPr>
            <w:tcW w:w="4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repurchases - average price per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$100.97</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There were no share repurchases in the three and six months ended June 30, 2025.</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Decisions regarding any future repurchases will depend on certain factors, such as market conditions, share price, and other opportunities to invest capital for growth. The Company may elect to suspend or discontinue share repurchases at any time, in accordance with applicable laws. From time to time when the Company does not possess material nonpublic information about itself or its securities, it may enter into a pre-defined plan with its broker to allow for the repurchase of shares at times when the Company ordinarily would not be active in the market due to its own internal trading blackout periods, insider trading rules or otherwise. Any such plans entered into with the Company’s broker will be adopted in accordance with applicable Canadian securities laws and the requirements of Rule 10b5-1 under the U.S. Securities Exchange Act of 1934, as amended. The Company entered into such a plan with its broker on March 2, 2026. As a result, the Company recorded a $238</w:t>
      </w:r>
      <w:r>
        <w:rPr>
          <w:rFonts w:ascii="Times New Roman" w:hAnsi="Times New Roman"/>
          <w:color w:val="404040"/>
          <w:sz w:val="20"/>
        </w:rPr>
        <w:t xml:space="preserve"> </w:t>
      </w:r>
      <w:r>
        <w:rPr>
          <w:rFonts w:ascii="Clario;sans-serif" w:hAnsi="Clario;sans-serif"/>
          <w:color w:val="404040"/>
          <w:sz w:val="18"/>
        </w:rPr>
        <w:t>million liability in “Other financial liabilities” within current liabilities as of June 30, 2026</w:t>
      </w:r>
      <w:r>
        <w:rPr>
          <w:rFonts w:ascii="Times New Roman" w:hAnsi="Times New Roman"/>
          <w:color w:val="404040"/>
          <w:sz w:val="20"/>
        </w:rPr>
        <w:t xml:space="preserve"> </w:t>
      </w:r>
      <w:r>
        <w:rPr>
          <w:rFonts w:ascii="Clario;sans-serif" w:hAnsi="Clario;sans-serif"/>
          <w:color w:val="404040"/>
          <w:sz w:val="18"/>
        </w:rPr>
        <w:t>with a corresponding amount recorded in equity in the consolidated statement of financial position. In July 2026, the Company completed its $600</w:t>
      </w:r>
      <w:r>
        <w:rPr>
          <w:rFonts w:ascii="Times New Roman" w:hAnsi="Times New Roman"/>
          <w:color w:val="404040"/>
          <w:sz w:val="20"/>
        </w:rPr>
        <w:t xml:space="preserve"> </w:t>
      </w:r>
      <w:r>
        <w:rPr>
          <w:rFonts w:ascii="Clario;sans-serif" w:hAnsi="Clario;sans-serif"/>
          <w:color w:val="404040"/>
          <w:sz w:val="18"/>
        </w:rPr>
        <w:t>million share repurchase program by repurchasing an additional 2.6</w:t>
      </w:r>
      <w:r>
        <w:rPr>
          <w:rFonts w:ascii="Times New Roman" w:hAnsi="Times New Roman"/>
          <w:color w:val="404040"/>
          <w:sz w:val="20"/>
        </w:rPr>
        <w:t xml:space="preserve"> </w:t>
      </w:r>
      <w:r>
        <w:rPr>
          <w:rFonts w:ascii="Clario;sans-serif" w:hAnsi="Clario;sans-serif"/>
          <w:color w:val="404040"/>
          <w:sz w:val="18"/>
        </w:rPr>
        <w:t>million common shares totaling $238</w:t>
      </w:r>
      <w:r>
        <w:rPr>
          <w:rFonts w:ascii="Times New Roman" w:hAnsi="Times New Roman"/>
          <w:color w:val="404040"/>
          <w:sz w:val="20"/>
        </w:rPr>
        <w:t xml:space="preserve"> </w:t>
      </w:r>
      <w:r>
        <w:rPr>
          <w:rFonts w:ascii="Clario;sans-serif" w:hAnsi="Clario;sans-serif"/>
          <w:color w:val="404040"/>
          <w:sz w:val="18"/>
        </w:rPr>
        <w:t>million (see note 19).</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Excise taxes payable totaled $11</w:t>
      </w:r>
      <w:r>
        <w:rPr>
          <w:rFonts w:ascii="Times New Roman" w:hAnsi="Times New Roman"/>
          <w:color w:val="404040"/>
          <w:sz w:val="20"/>
        </w:rPr>
        <w:t xml:space="preserve"> </w:t>
      </w:r>
      <w:r>
        <w:rPr>
          <w:rFonts w:ascii="Clario;sans-serif" w:hAnsi="Clario;sans-serif"/>
          <w:color w:val="404040"/>
          <w:sz w:val="18"/>
        </w:rPr>
        <w:t>million as of June 30, 2026, and are reflected as part of the repurchases of common shares included in the consolidated statement of changes in equity.</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Dividends</w:t>
      </w:r>
    </w:p>
    <w:p>
      <w:pPr>
        <w:pStyle w:val="TextBody"/>
        <w:bidi w:val="0"/>
        <w:spacing w:before="100" w:after="283"/>
        <w:jc w:val="left"/>
        <w:rPr>
          <w:rFonts w:ascii="Times New Roman" w:hAnsi="Times New Roman"/>
          <w:sz w:val="20"/>
        </w:rPr>
      </w:pPr>
      <w:r>
        <w:rPr>
          <w:rFonts w:ascii="Clario;sans-serif" w:hAnsi="Clario;sans-serif"/>
          <w:color w:val="404040"/>
          <w:sz w:val="18"/>
        </w:rPr>
        <w:t>Dividends on common shares are declared in U.S. dollars. In the consolidated statement of cash flow, dividends paid on common shares are shown net of amounts reinvested in the Company under its dividend reinvestment plan.</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Details of dividends declared per common share and dividends paid on common shares are as follows:</w:t>
      </w:r>
    </w:p>
    <w:p>
      <w:pPr>
        <w:pStyle w:val="TextBody"/>
        <w:bidi w:val="0"/>
        <w:jc w:val="left"/>
        <w:rPr/>
      </w:pPr>
      <w:r>
        <w:rPr/>
        <w:t> </w:t>
      </w:r>
    </w:p>
    <w:tbl>
      <w:tblPr>
        <w:tblW w:w="10067" w:type="dxa"/>
        <w:jc w:val="left"/>
        <w:tblInd w:w="0" w:type="dxa"/>
        <w:tblLayout w:type="fixed"/>
        <w:tblCellMar>
          <w:top w:w="28" w:type="dxa"/>
          <w:left w:w="28" w:type="dxa"/>
          <w:bottom w:w="28" w:type="dxa"/>
          <w:right w:w="28" w:type="dxa"/>
        </w:tblCellMar>
      </w:tblPr>
      <w:tblGrid>
        <w:gridCol w:w="5386"/>
        <w:gridCol w:w="146"/>
        <w:gridCol w:w="146"/>
        <w:gridCol w:w="177"/>
        <w:gridCol w:w="949"/>
        <w:gridCol w:w="177"/>
        <w:gridCol w:w="931"/>
        <w:gridCol w:w="146"/>
        <w:gridCol w:w="887"/>
        <w:gridCol w:w="195"/>
        <w:gridCol w:w="927"/>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200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53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7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95"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3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 per common share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$0.655</w:t>
            </w:r>
          </w:p>
        </w:tc>
        <w:tc>
          <w:tcPr>
            <w:tcW w:w="1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$0.595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$1.31</w:t>
            </w:r>
          </w:p>
        </w:tc>
        <w:tc>
          <w:tcPr>
            <w:tcW w:w="1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536</w:t>
            </w:r>
          </w:p>
        </w:tc>
      </w:tr>
      <w:tr>
        <w:trPr/>
        <w:tc>
          <w:tcPr>
            <w:tcW w:w="53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reinvested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1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r>
      <w:tr>
        <w:trPr/>
        <w:tc>
          <w:tcPr>
            <w:tcW w:w="53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275</w:t>
            </w:r>
          </w:p>
        </w:tc>
        <w:tc>
          <w:tcPr>
            <w:tcW w:w="1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555</w:t>
            </w:r>
          </w:p>
        </w:tc>
        <w:tc>
          <w:tcPr>
            <w:tcW w:w="1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519</w:t>
            </w:r>
          </w:p>
        </w:tc>
      </w:tr>
    </w:tbl>
    <w:p>
      <w:pPr>
        <w:pStyle w:val="TextBody"/>
        <w:bidi w:val="0"/>
        <w:spacing w:before="100" w:after="120"/>
        <w:jc w:val="left"/>
        <w:rPr>
          <w:rFonts w:ascii="Times New Roman" w:hAnsi="Times New Roman"/>
          <w:sz w:val="20"/>
        </w:rPr>
      </w:pPr>
      <w:r>
        <w:rPr>
          <w:rFonts w:ascii="Clario;sans-serif" w:hAnsi="Clario;sans-serif"/>
          <w:b/>
          <w:color w:val="404040"/>
          <w:sz w:val="18"/>
        </w:rPr>
        <w:t>Return of capital and share consolidation transactions</w:t>
      </w:r>
      <w:r>
        <w:rPr>
          <w:rFonts w:ascii="Times New Roman" w:hAnsi="Times New Roman"/>
          <w:color w:val="404040"/>
          <w:sz w:val="20"/>
        </w:rPr>
        <w:t xml:space="preserve"> </w:t>
      </w:r>
    </w:p>
    <w:p>
      <w:pPr>
        <w:pStyle w:val="TextBody"/>
        <w:bidi w:val="0"/>
        <w:spacing w:before="0" w:after="120"/>
        <w:jc w:val="left"/>
        <w:rPr>
          <w:rFonts w:ascii="Times New Roman" w:hAnsi="Times New Roman"/>
          <w:sz w:val="20"/>
        </w:rPr>
      </w:pPr>
      <w:r>
        <w:rPr>
          <w:rFonts w:ascii="Clario;sans-serif" w:hAnsi="Clario;sans-serif"/>
          <w:color w:val="404040"/>
          <w:sz w:val="18"/>
        </w:rPr>
        <w:t>On May 4, 2026, the Company returned $605</w:t>
      </w:r>
      <w:r>
        <w:rPr>
          <w:rFonts w:ascii="Times New Roman" w:hAnsi="Times New Roman"/>
          <w:color w:val="404040"/>
          <w:sz w:val="20"/>
        </w:rPr>
        <w:t xml:space="preserve"> </w:t>
      </w:r>
      <w:r>
        <w:rPr>
          <w:rFonts w:ascii="Clario;sans-serif" w:hAnsi="Clario;sans-serif"/>
          <w:color w:val="404040"/>
          <w:sz w:val="18"/>
        </w:rPr>
        <w:t>million to its shareholders and reduced its common shares outstanding by approximately 6.5</w:t>
      </w:r>
      <w:r>
        <w:rPr>
          <w:rFonts w:ascii="Times New Roman" w:hAnsi="Times New Roman"/>
          <w:color w:val="404040"/>
          <w:sz w:val="20"/>
        </w:rPr>
        <w:t xml:space="preserve"> </w:t>
      </w:r>
      <w:r>
        <w:rPr>
          <w:rFonts w:ascii="Clario;sans-serif" w:hAnsi="Clario;sans-serif"/>
          <w:color w:val="404040"/>
          <w:sz w:val="18"/>
        </w:rPr>
        <w:t>million shares through return of capital and share consolidation transactions, which was derived from the May 2024 sales of LSEG shares. The transactions consisted of a special cash distribution of $1.435518</w:t>
      </w:r>
      <w:r>
        <w:rPr>
          <w:rFonts w:ascii="Times New Roman" w:hAnsi="Times New Roman"/>
          <w:color w:val="404040"/>
          <w:sz w:val="20"/>
        </w:rPr>
        <w:t xml:space="preserve"> </w:t>
      </w:r>
      <w:r>
        <w:rPr>
          <w:rFonts w:ascii="Clario;sans-serif" w:hAnsi="Clario;sans-serif"/>
          <w:color w:val="404040"/>
          <w:sz w:val="18"/>
        </w:rPr>
        <w:t>per participating common share and a share consolidation, or “reverse stock split”, which reduced the number of outstanding common shares at a ratio of 1 pre-consolidated share for 0.984560</w:t>
      </w:r>
      <w:r>
        <w:rPr>
          <w:rFonts w:ascii="Times New Roman" w:hAnsi="Times New Roman"/>
          <w:color w:val="404040"/>
          <w:sz w:val="20"/>
        </w:rPr>
        <w:t xml:space="preserve"> </w:t>
      </w:r>
      <w:r>
        <w:rPr>
          <w:rFonts w:ascii="Clario;sans-serif" w:hAnsi="Clario;sans-serif"/>
          <w:color w:val="404040"/>
          <w:sz w:val="18"/>
        </w:rPr>
        <w:t>post-consolidated shares. Shareholders who were subject to income tax in a jurisdiction other than Canada were given the opportunity to opt-out of the return of capital. The share consolidation was proportional to the special cash distribution, and the share consolidation ratio was based on the volume weighted-average trading price of the Company's common shares on the Nasdaq for the five-trading day period immediately preceding the May 4, 2026 effective date. Woodbridge, the Company's principal shareholder, participated in this transaction.</w:t>
      </w:r>
      <w:r>
        <w:rPr>
          <w:rFonts w:ascii="Times New Roman" w:hAnsi="Times New Roman"/>
          <w:color w:val="404040"/>
          <w:sz w:val="20"/>
        </w:rPr>
        <w:t xml:space="preserve"> </w:t>
      </w:r>
    </w:p>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60</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Note 15: Supplemental Cash Flow Information</w:t>
      </w:r>
    </w:p>
    <w:p>
      <w:pPr>
        <w:pStyle w:val="TextBody"/>
        <w:bidi w:val="0"/>
        <w:spacing w:before="100" w:after="283"/>
        <w:jc w:val="left"/>
        <w:rPr>
          <w:rFonts w:ascii="Times New Roman" w:hAnsi="Times New Roman"/>
          <w:sz w:val="20"/>
        </w:rPr>
      </w:pPr>
      <w:r>
        <w:rPr>
          <w:rFonts w:ascii="Clario;sans-serif" w:hAnsi="Clario;sans-serif"/>
          <w:color w:val="404040"/>
          <w:sz w:val="18"/>
        </w:rPr>
        <w:t>Details of “Other” within the net cash provided by operating activities section in the consolidated statement of cash flow are as follows:</w:t>
      </w:r>
      <w:r>
        <w:rPr>
          <w:rFonts w:ascii="Times New Roman" w:hAnsi="Times New Roman"/>
          <w:color w:val="000000"/>
          <w:sz w:val="20"/>
        </w:rPr>
        <w:t xml:space="preserve"> </w:t>
      </w:r>
    </w:p>
    <w:p>
      <w:pPr>
        <w:pStyle w:val="TextBody"/>
        <w:bidi w:val="0"/>
        <w:jc w:val="left"/>
        <w:rPr/>
      </w:pPr>
      <w:r>
        <w:rPr/>
        <w:t> </w:t>
      </w:r>
    </w:p>
    <w:tbl>
      <w:tblPr>
        <w:tblW w:w="9428" w:type="dxa"/>
        <w:jc w:val="left"/>
        <w:tblInd w:w="0" w:type="dxa"/>
        <w:tblLayout w:type="fixed"/>
        <w:tblCellMar>
          <w:top w:w="28" w:type="dxa"/>
          <w:left w:w="28" w:type="dxa"/>
          <w:bottom w:w="28" w:type="dxa"/>
          <w:right w:w="28" w:type="dxa"/>
        </w:tblCellMar>
      </w:tblPr>
      <w:tblGrid>
        <w:gridCol w:w="4639"/>
        <w:gridCol w:w="200"/>
        <w:gridCol w:w="200"/>
        <w:gridCol w:w="222"/>
        <w:gridCol w:w="895"/>
        <w:gridCol w:w="222"/>
        <w:gridCol w:w="895"/>
        <w:gridCol w:w="146"/>
        <w:gridCol w:w="864"/>
        <w:gridCol w:w="215"/>
        <w:gridCol w:w="930"/>
      </w:tblGrid>
      <w:tr>
        <w:trPr/>
        <w:tc>
          <w:tcPr>
            <w:tcW w:w="46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4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200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4639"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00"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63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Non-cash employee benefit charges</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85</w:t>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Net (gains) losses on foreign exchange and derivative </w:t>
              <w:br/>
              <w:t>   financial instruments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w:t>
            </w:r>
          </w:p>
        </w:tc>
      </w:tr>
      <w:tr>
        <w:trPr/>
        <w:tc>
          <w:tcPr>
            <w:tcW w:w="463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Fair value adjustments (see note 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r>
      <w:tr>
        <w:trPr/>
        <w:tc>
          <w:tcPr>
            <w:tcW w:w="46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w:t>
            </w:r>
          </w:p>
        </w:tc>
        <w:tc>
          <w:tcPr>
            <w:tcW w:w="2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r>
      <w:tr>
        <w:trPr/>
        <w:tc>
          <w:tcPr>
            <w:tcW w:w="46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169</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Details of “Changes in working capital and other items” within the net cash provided by operating activities section in the consolidated statement of cash flow are as follows:</w:t>
      </w:r>
      <w:r>
        <w:rPr>
          <w:rFonts w:ascii="Times New Roman" w:hAnsi="Times New Roman"/>
          <w:color w:val="000000"/>
          <w:sz w:val="20"/>
        </w:rPr>
        <w:t xml:space="preserve"> </w:t>
      </w:r>
    </w:p>
    <w:p>
      <w:pPr>
        <w:pStyle w:val="TextBody"/>
        <w:bidi w:val="0"/>
        <w:jc w:val="left"/>
        <w:rPr/>
      </w:pPr>
      <w:r>
        <w:rPr/>
        <w:t> </w:t>
      </w:r>
    </w:p>
    <w:tbl>
      <w:tblPr>
        <w:tblW w:w="8673" w:type="dxa"/>
        <w:jc w:val="left"/>
        <w:tblInd w:w="0" w:type="dxa"/>
        <w:tblLayout w:type="fixed"/>
        <w:tblCellMar>
          <w:top w:w="28" w:type="dxa"/>
          <w:left w:w="28" w:type="dxa"/>
          <w:bottom w:w="28" w:type="dxa"/>
          <w:right w:w="28" w:type="dxa"/>
        </w:tblCellMar>
      </w:tblPr>
      <w:tblGrid>
        <w:gridCol w:w="3991"/>
        <w:gridCol w:w="146"/>
        <w:gridCol w:w="146"/>
        <w:gridCol w:w="222"/>
        <w:gridCol w:w="895"/>
        <w:gridCol w:w="222"/>
        <w:gridCol w:w="895"/>
        <w:gridCol w:w="146"/>
        <w:gridCol w:w="870"/>
        <w:gridCol w:w="206"/>
        <w:gridCol w:w="934"/>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2010"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39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(239)</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w:t>
            </w:r>
          </w:p>
        </w:tc>
        <w:tc>
          <w:tcPr>
            <w:tcW w:w="2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207</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w:t>
            </w:r>
          </w:p>
        </w:tc>
        <w:tc>
          <w:tcPr>
            <w:tcW w:w="2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(186)</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Details of income taxes (paid) received are as follows:</w:t>
      </w:r>
    </w:p>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4036"/>
        <w:gridCol w:w="146"/>
        <w:gridCol w:w="146"/>
        <w:gridCol w:w="222"/>
        <w:gridCol w:w="895"/>
        <w:gridCol w:w="222"/>
        <w:gridCol w:w="895"/>
        <w:gridCol w:w="146"/>
        <w:gridCol w:w="870"/>
        <w:gridCol w:w="206"/>
        <w:gridCol w:w="934"/>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2010"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4036" w:type="dxa"/>
            <w:tcBorders>
              <w:bottom w:val="single" w:sz="4" w:space="0" w:color="58595B"/>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870"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934"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activities -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w:t>
            </w:r>
          </w:p>
        </w:tc>
      </w:tr>
      <w:tr>
        <w:trPr/>
        <w:tc>
          <w:tcPr>
            <w:tcW w:w="40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Investing activities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2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40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income taxes paid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(152)</w:t>
            </w:r>
          </w:p>
        </w:tc>
        <w:tc>
          <w:tcPr>
            <w:tcW w:w="2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w:t>
            </w:r>
          </w:p>
        </w:tc>
      </w:tr>
    </w:tbl>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Note 16: Acquisitions</w:t>
      </w:r>
    </w:p>
    <w:p>
      <w:pPr>
        <w:pStyle w:val="TextBody"/>
        <w:bidi w:val="0"/>
        <w:spacing w:before="100" w:after="283"/>
        <w:jc w:val="left"/>
        <w:rPr>
          <w:rFonts w:ascii="Times New Roman" w:hAnsi="Times New Roman"/>
          <w:sz w:val="20"/>
        </w:rPr>
      </w:pPr>
      <w:r>
        <w:rPr>
          <w:rFonts w:ascii="Clario;sans-serif" w:hAnsi="Clario;sans-serif"/>
          <w:color w:val="404040"/>
          <w:sz w:val="18"/>
        </w:rPr>
        <w:t>Acquisitions include the purchase of a controlling or a non-controlling interest in a business. Acquisitions also include asset acquisitions for the purchase of other identifiable intangible assets. Acquisitions where control is acquired are integrated into existing operations of the Company to broaden its offerings to customers as well as its presence in global markets. The results of acquired businesses are included in the consolidated financial statements from the date of acquisition.</w:t>
      </w:r>
      <w:r>
        <w:rPr>
          <w:rFonts w:ascii="Times New Roman" w:hAnsi="Times New Roman"/>
          <w:color w:val="404040"/>
          <w:sz w:val="20"/>
        </w:rPr>
        <w:t xml:space="preserve">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Acquisition activity</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Acquisition consideration is as follows:</w:t>
      </w:r>
    </w:p>
    <w:p>
      <w:pPr>
        <w:pStyle w:val="TextBody"/>
        <w:bidi w:val="0"/>
        <w:jc w:val="left"/>
        <w:rPr/>
      </w:pPr>
      <w:r>
        <w:rPr/>
        <w:t> </w:t>
      </w:r>
    </w:p>
    <w:tbl>
      <w:tblPr>
        <w:tblW w:w="8227" w:type="dxa"/>
        <w:jc w:val="left"/>
        <w:tblInd w:w="0" w:type="dxa"/>
        <w:tblLayout w:type="fixed"/>
        <w:tblCellMar>
          <w:top w:w="28" w:type="dxa"/>
          <w:left w:w="28" w:type="dxa"/>
          <w:bottom w:w="28" w:type="dxa"/>
          <w:right w:w="28" w:type="dxa"/>
        </w:tblCellMar>
      </w:tblPr>
      <w:tblGrid>
        <w:gridCol w:w="3691"/>
        <w:gridCol w:w="146"/>
        <w:gridCol w:w="994"/>
        <w:gridCol w:w="247"/>
        <w:gridCol w:w="994"/>
        <w:gridCol w:w="146"/>
        <w:gridCol w:w="864"/>
        <w:gridCol w:w="215"/>
        <w:gridCol w:w="930"/>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200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Six months ended</w:t>
              <w:br/>
              <w:t>June 30,</w:t>
            </w:r>
          </w:p>
        </w:tc>
      </w:tr>
      <w:tr>
        <w:trPr/>
        <w:tc>
          <w:tcPr>
            <w:tcW w:w="36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47"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6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Businesses acquired, net of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585</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Investments in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Deferred and contingent consideration </w:t>
              <w:br/>
              <w:t>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r>
      <w:tr>
        <w:trPr/>
        <w:tc>
          <w:tcPr>
            <w:tcW w:w="3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630</w:t>
            </w:r>
          </w:p>
        </w:tc>
      </w:tr>
    </w:tbl>
    <w:p>
      <w:pPr>
        <w:pStyle w:val="TextBody"/>
        <w:bidi w:val="0"/>
        <w:jc w:val="left"/>
        <w:rPr/>
      </w:pPr>
      <w:r>
        <w:rPr/>
        <w:t> </w:t>
      </w:r>
    </w:p>
    <w:p>
      <w:pPr>
        <w:pStyle w:val="TextBody"/>
        <w:pBdr/>
        <w:bidi w:val="0"/>
        <w:ind w:left="0" w:right="0" w:hanging="360"/>
        <w:jc w:val="left"/>
        <w:rPr/>
      </w:pPr>
      <w:r>
        <w:rP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61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following provides a brief description of the most significant acquisitions completed in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1"/>
        <w:gridCol w:w="1518"/>
        <w:gridCol w:w="1863"/>
        <w:gridCol w:w="5763"/>
      </w:tblGrid>
      <w:tr>
        <w:trPr/>
        <w:tc>
          <w:tcPr>
            <w:tcW w:w="106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5763" w:type="dxa"/>
            <w:tcBorders/>
            <w:vAlign w:val="center"/>
          </w:tcPr>
          <w:p>
            <w:pPr>
              <w:pStyle w:val="TableContents"/>
              <w:bidi w:val="0"/>
              <w:spacing w:before="0" w:after="283"/>
              <w:jc w:val="left"/>
              <w:rPr>
                <w:sz w:val="4"/>
                <w:szCs w:val="4"/>
              </w:rPr>
            </w:pPr>
            <w:r>
              <w:rPr>
                <w:sz w:val="4"/>
                <w:szCs w:val="4"/>
              </w:rPr>
            </w:r>
          </w:p>
        </w:tc>
      </w:tr>
      <w:tr>
        <w:trPr/>
        <w:tc>
          <w:tcPr>
            <w:tcW w:w="1061"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Date</w:t>
            </w:r>
            <w:r>
              <w:rPr>
                <w:rFonts w:ascii="Times New Roman" w:hAnsi="Times New Roman"/>
                <w:color w:val="404040"/>
                <w:sz w:val="18"/>
              </w:rPr>
              <w:t xml:space="preserve"> </w:t>
            </w:r>
          </w:p>
        </w:tc>
        <w:tc>
          <w:tcPr>
            <w:tcW w:w="1518"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Company</w:t>
            </w:r>
          </w:p>
        </w:tc>
        <w:tc>
          <w:tcPr>
            <w:tcW w:w="1863"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Acquiring Segments</w:t>
            </w:r>
          </w:p>
        </w:tc>
        <w:tc>
          <w:tcPr>
            <w:tcW w:w="5763"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Description</w:t>
            </w:r>
          </w:p>
        </w:tc>
      </w:tr>
      <w:tr>
        <w:trPr/>
        <w:tc>
          <w:tcPr>
            <w:tcW w:w="1061"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February 2026</w:t>
            </w:r>
          </w:p>
        </w:tc>
        <w:tc>
          <w:tcPr>
            <w:tcW w:w="1518"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Noetica, Inc.</w:t>
            </w:r>
          </w:p>
        </w:tc>
        <w:tc>
          <w:tcPr>
            <w:tcW w:w="1863"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Legal Professionals</w:t>
            </w:r>
          </w:p>
        </w:tc>
        <w:tc>
          <w:tcPr>
            <w:tcW w:w="5763"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A New York-based AI-native start-up that transforms transaction-deal data into structured market intelligence for deal professionals. </w:t>
            </w:r>
          </w:p>
        </w:tc>
      </w:tr>
      <w:tr>
        <w:trPr/>
        <w:tc>
          <w:tcPr>
            <w:tcW w:w="1061"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January 2025</w:t>
            </w:r>
          </w:p>
        </w:tc>
        <w:tc>
          <w:tcPr>
            <w:tcW w:w="1518"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cPaperless, LLC ("SafeSend")</w:t>
            </w:r>
          </w:p>
        </w:tc>
        <w:tc>
          <w:tcPr>
            <w:tcW w:w="1863"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Audit &amp; Accounting Professionals</w:t>
            </w:r>
          </w:p>
        </w:tc>
        <w:tc>
          <w:tcPr>
            <w:tcW w:w="5763"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A U.S. based cloud-native provider of technology for tax and accounting professionals. SafeSend automates the “last-mile” of the tax return, including assembly, review, taxpayer e-signature, and delivery. </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details of net assets acquired, including purchase price adjustments are as follows:</w:t>
      </w:r>
    </w:p>
    <w:p>
      <w:pPr>
        <w:pStyle w:val="TextBody"/>
        <w:bidi w:val="0"/>
        <w:jc w:val="left"/>
        <w:rPr/>
      </w:pPr>
      <w:r>
        <w:rPr/>
        <w:t> </w:t>
      </w:r>
    </w:p>
    <w:tbl>
      <w:tblPr>
        <w:tblW w:w="8288" w:type="dxa"/>
        <w:jc w:val="left"/>
        <w:tblInd w:w="0" w:type="dxa"/>
        <w:tblLayout w:type="fixed"/>
        <w:tblCellMar>
          <w:top w:w="28" w:type="dxa"/>
          <w:left w:w="28" w:type="dxa"/>
          <w:bottom w:w="28" w:type="dxa"/>
          <w:right w:w="28" w:type="dxa"/>
        </w:tblCellMar>
      </w:tblPr>
      <w:tblGrid>
        <w:gridCol w:w="4231"/>
        <w:gridCol w:w="146"/>
        <w:gridCol w:w="239"/>
        <w:gridCol w:w="239"/>
        <w:gridCol w:w="239"/>
        <w:gridCol w:w="239"/>
        <w:gridCol w:w="1009"/>
        <w:gridCol w:w="146"/>
        <w:gridCol w:w="185"/>
        <w:gridCol w:w="185"/>
        <w:gridCol w:w="1430"/>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5"/>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Six months ended</w:t>
              <w:br/>
              <w:t>June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Six months ended</w:t>
              <w:br/>
              <w:t>June 30,</w:t>
            </w:r>
          </w:p>
        </w:tc>
      </w:tr>
      <w:tr>
        <w:trPr/>
        <w:tc>
          <w:tcPr>
            <w:tcW w:w="423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5"/>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SafeSend</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Prepaid expenses and other current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225</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4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and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Deferred revenue</w:t>
            </w:r>
            <w:r>
              <w:rPr>
                <w:rFonts w:ascii="Clario;sans-serif" w:hAnsi="Clario;sans-serif"/>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4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r>
      <w:tr>
        <w:trP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376</w:t>
            </w:r>
          </w:p>
        </w:tc>
      </w:tr>
      <w:tr>
        <w:trPr/>
        <w:tc>
          <w:tcPr>
            <w:tcW w:w="4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Less: Fair value of previously held investment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599</w:t>
            </w:r>
          </w:p>
        </w:tc>
      </w:tr>
      <w:tr>
        <w:trPr/>
        <w:tc>
          <w:tcPr>
            <w:tcW w:w="4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Businesses acquired, net of cash</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585</w:t>
            </w:r>
          </w:p>
        </w:tc>
      </w:tr>
    </w:tbl>
    <w:p>
      <w:pPr>
        <w:pStyle w:val="TextBody"/>
        <w:bidi w:val="0"/>
        <w:jc w:val="left"/>
        <w:rPr/>
      </w:pPr>
      <w:r>
        <w:rPr/>
        <w:t> </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Represents the fair value of deferred revenue, which is computed as the cost of providing services to customers in the post-acquisition period plus a reasonable profit margin. Under IFRS, the acquired deferred revenue is typically lower than the amount the seller recognized.</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excess of the purchase price over the net assets acquired was recorded as goodwill and reflects synergies and the value of the acquired workforce. Relative to the acquisitions completed in the six months ended June 30, 2026 and 2025, the majority of goodwill is not expected to be deductible for tax purposes.</w:t>
      </w:r>
      <w:r>
        <w:rPr>
          <w:rFonts w:ascii="Times New Roman" w:hAnsi="Times New Roman"/>
          <w:color w:val="404040"/>
          <w:sz w:val="20"/>
        </w:rPr>
        <w:t xml:space="preserve">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Purchase price allocation</w:t>
      </w:r>
    </w:p>
    <w:p>
      <w:pPr>
        <w:pStyle w:val="TextBody"/>
        <w:bidi w:val="0"/>
        <w:spacing w:before="100" w:after="283"/>
        <w:jc w:val="left"/>
        <w:rPr>
          <w:rFonts w:ascii="Times New Roman" w:hAnsi="Times New Roman"/>
          <w:sz w:val="20"/>
        </w:rPr>
      </w:pPr>
      <w:r>
        <w:rPr>
          <w:rFonts w:ascii="Clario;sans-serif" w:hAnsi="Clario;sans-serif"/>
          <w:color w:val="404040"/>
          <w:sz w:val="18"/>
        </w:rPr>
        <w:t>Purchase price allocations related to certain acquisitions may be subject to adjustment pending completion of final valuations.</w:t>
      </w:r>
      <w:r>
        <w:rPr>
          <w:rFonts w:ascii="Times New Roman" w:hAnsi="Times New Roman"/>
          <w:color w:val="404040"/>
          <w:sz w:val="20"/>
        </w:rPr>
        <w:t xml:space="preserve">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Other</w:t>
      </w:r>
    </w:p>
    <w:p>
      <w:pPr>
        <w:pStyle w:val="TextBody"/>
        <w:bidi w:val="0"/>
        <w:spacing w:before="100" w:after="283"/>
        <w:jc w:val="left"/>
        <w:rPr>
          <w:rFonts w:ascii="Times New Roman" w:hAnsi="Times New Roman"/>
          <w:sz w:val="20"/>
        </w:rPr>
      </w:pPr>
      <w:r>
        <w:rPr>
          <w:rFonts w:ascii="Clario;sans-serif" w:hAnsi="Clario;sans-serif"/>
          <w:color w:val="404040"/>
          <w:sz w:val="18"/>
        </w:rPr>
        <w:t>The revenues and operating profit of acquired businesses were not material to the Company’s results of operations.</w:t>
      </w:r>
      <w:r>
        <w:rPr>
          <w:rFonts w:ascii="Times New Roman" w:hAnsi="Times New Roman"/>
          <w:color w:val="404040"/>
          <w:sz w:val="20"/>
        </w:rPr>
        <w:t xml:space="preserve">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62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Times New Roman" w:hAnsi="Times New Roman"/>
          <w:sz w:val="20"/>
        </w:rPr>
      </w:pPr>
      <w:r>
        <w:rPr>
          <w:rFonts w:ascii="Clario;sans-serif" w:hAnsi="Clario;sans-serif"/>
          <w:b/>
          <w:i/>
          <w:color w:val="404040"/>
          <w:sz w:val="18"/>
        </w:rPr>
        <w:t>Note 17: Contingencies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Lawsuits and legal claims</w:t>
      </w:r>
    </w:p>
    <w:p>
      <w:pPr>
        <w:pStyle w:val="TextBody"/>
        <w:bidi w:val="0"/>
        <w:spacing w:before="100" w:after="283"/>
        <w:jc w:val="left"/>
        <w:rPr>
          <w:rFonts w:ascii="Times New Roman" w:hAnsi="Times New Roman"/>
          <w:sz w:val="20"/>
        </w:rPr>
      </w:pPr>
      <w:r>
        <w:rPr>
          <w:rFonts w:ascii="Clario;sans-serif" w:hAnsi="Clario;sans-serif"/>
          <w:color w:val="404040"/>
          <w:sz w:val="18"/>
        </w:rPr>
        <w:t>The Company is engaged in various legal proceedings, claims, audits and investigations that have arisen in the ordinary course of business. These matters include, but are not limited to, employment matters, commercial matters, privacy and data protection matters, defamation matters and intellectual property infringement matters. The outcome of all the matters against the Company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 Based on information currently known to the Company and after consultation with outside legal counsel, management believes that the ultimate resolution of any such matters, individually or in the aggregate, will not have a material adverse impact on the Company’s financial condition taken as a whole.</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Uncertain tax positions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is subject to taxation in numerous jurisdictions and is routinely under audit by many different taxing authorities in the ordinary course of business. There are many transactions and calculations during the course of business for which the ultimate tax determination is uncertain, as taxing authorities may challenge some of the Company’s positions and propose adjustments or changes to its tax filings.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a result, the Company maintains provisions for uncertain tax positions that it believes appropriately reflect its risk. These provisions are made using the Company’s best estimates of the amount expected to be paid based on a qualitative assessment of all relevant factors. When appropriate, the Company performs an expected value calculation to determine its provisions. The Company reviews the adequacy of these provisions at the end of each reporting period and adjusts them based on changing facts and circumstances.</w:t>
      </w:r>
    </w:p>
    <w:p>
      <w:pPr>
        <w:pStyle w:val="TextBody"/>
        <w:bidi w:val="0"/>
        <w:spacing w:before="100" w:after="283"/>
        <w:jc w:val="left"/>
        <w:rPr>
          <w:rFonts w:ascii="Times New Roman" w:hAnsi="Times New Roman"/>
          <w:sz w:val="20"/>
        </w:rPr>
      </w:pPr>
      <w:r>
        <w:rPr>
          <w:rFonts w:ascii="Clario;sans-serif" w:hAnsi="Clario;sans-serif"/>
          <w:color w:val="404040"/>
          <w:sz w:val="18"/>
        </w:rPr>
        <w:t>Prior to December 31, 2023, the Company paid $430</w:t>
      </w:r>
      <w:r>
        <w:rPr>
          <w:rFonts w:ascii="Times New Roman" w:hAnsi="Times New Roman"/>
          <w:color w:val="404040"/>
          <w:sz w:val="20"/>
        </w:rPr>
        <w:t xml:space="preserve"> </w:t>
      </w:r>
      <w:r>
        <w:rPr>
          <w:rFonts w:ascii="Clario;sans-serif" w:hAnsi="Clario;sans-serif"/>
          <w:color w:val="404040"/>
          <w:sz w:val="18"/>
        </w:rPr>
        <w:t>million of tax as required under notices of assessment issued by the U.K. tax authority, HM Revenue &amp; Customs (“HMRC”), under the Diverted Profits Tax (“DPT”) regime that collectively related to the 2015, 2016, 2017 and 2018 taxation years of certain of its current and former U.K. affiliates. The Company does not believe these current and former U.K. affiliates fall within the scope of the DPT regime. Because the Company believes its position is supported by the weight of law, it intends to vigorously defend its position and will continue contesting these assessments through all available administrative and judicial remedies. As the assessments largely relate to businesses that the Company has sold, the majority are subject to indemnity arrangements under which the Company has been required to pay additional taxes to HMRC or the indemnity counterparty. Payments made by the Company are not a reflection of its view on the merits of the case. As the Company expects to receive refunds of substantially all of the amounts paid pursuant to these notices of assessment, it has recorded substantially all of these payments as non-current receivables from HMRC or the indemnity counterparty, in its financial statements.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Due to the uncertainty associated with tax audits, it is possible that at some future date, liabilities resulting from such audits or related litigation could vary significantly from the Company’s provisions. However, based on currently enacted legislation, information currently known by the Company, and after consultation with outside tax advisors, management believes that the ultimate resolution of any such matters, individually or in the aggregate, will not have a material adverse impact on the Company’s financial condition taken as a whole.</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Guarantees</w:t>
      </w:r>
    </w:p>
    <w:p>
      <w:pPr>
        <w:pStyle w:val="TextBody"/>
        <w:bidi w:val="0"/>
        <w:spacing w:before="100" w:after="283"/>
        <w:jc w:val="left"/>
        <w:rPr>
          <w:rFonts w:ascii="Times New Roman" w:hAnsi="Times New Roman"/>
          <w:sz w:val="20"/>
        </w:rPr>
      </w:pPr>
      <w:r>
        <w:rPr>
          <w:rFonts w:ascii="Clario;sans-serif" w:hAnsi="Clario;sans-serif"/>
          <w:color w:val="404040"/>
          <w:sz w:val="18"/>
        </w:rPr>
        <w:t>The Company has an investment in 3 Times Square Associates LLC (“3XSQ Associates”), an entity jointly owned by a subsidiary of the Company and Rudin Times Square Associates LLC (“Rudin”), that owns and operates the 3 Times Square office building (“the building”) in New York, New York. In May 2025, 3XSQ Associates extended the maturity of its 3-year term loan facility from June 2025 for an additional 2 years to June 2027</w:t>
      </w:r>
      <w:r>
        <w:rPr>
          <w:rFonts w:ascii="Times New Roman" w:hAnsi="Times New Roman"/>
          <w:color w:val="404040"/>
          <w:sz w:val="20"/>
        </w:rPr>
        <w:t xml:space="preserve"> </w:t>
      </w:r>
      <w:r>
        <w:rPr>
          <w:rFonts w:ascii="Clario;sans-serif" w:hAnsi="Clario;sans-serif"/>
          <w:color w:val="404040"/>
          <w:sz w:val="18"/>
        </w:rPr>
        <w:t>and reduced the facility to $385</w:t>
      </w:r>
      <w:r>
        <w:rPr>
          <w:rFonts w:ascii="Times New Roman" w:hAnsi="Times New Roman"/>
          <w:color w:val="404040"/>
          <w:sz w:val="20"/>
        </w:rPr>
        <w:t xml:space="preserve"> </w:t>
      </w:r>
      <w:r>
        <w:rPr>
          <w:rFonts w:ascii="Clario;sans-serif" w:hAnsi="Clario;sans-serif"/>
          <w:color w:val="404040"/>
          <w:sz w:val="18"/>
        </w:rPr>
        <w:t>million from $415</w:t>
      </w:r>
      <w:r>
        <w:rPr>
          <w:rFonts w:ascii="Times New Roman" w:hAnsi="Times New Roman"/>
          <w:color w:val="404040"/>
          <w:sz w:val="20"/>
        </w:rPr>
        <w:t xml:space="preserve"> </w:t>
      </w:r>
      <w:r>
        <w:rPr>
          <w:rFonts w:ascii="Clario;sans-serif" w:hAnsi="Clario;sans-serif"/>
          <w:color w:val="404040"/>
          <w:sz w:val="18"/>
        </w:rPr>
        <w:t>million. The facility was obtained in 2022 to refinance existing debt, fund the building’s redevelopment, and cover interest and operating costs during the redevelopment period. The building is pledged as loan collateral. Thomson Reuters and Rudin each guarantee 50% of (i) certain principal loan amounts and (ii) interest and operating costs. Thomson Reuters and Rudin also jointly and severally guarantee (i) completion of commenced works and (ii) lender losses arising from disallowed acts, environmental or otherwise. To minimize economic exposure to 50% for the joint and several obligations, Thomson Reuters and a parent entity of Rudin entered into a cross-indemnification arrangement. The Company believes the value of the building is expected to be sufficient to cover obligations that could arise from the guarantees. The guarantees do not impact the Company’s ability to borrow funds under its $2.0</w:t>
      </w:r>
      <w:r>
        <w:rPr>
          <w:rFonts w:ascii="Times New Roman" w:hAnsi="Times New Roman"/>
          <w:color w:val="404040"/>
          <w:sz w:val="20"/>
        </w:rPr>
        <w:t xml:space="preserve"> </w:t>
      </w:r>
      <w:r>
        <w:rPr>
          <w:rFonts w:ascii="Clario;sans-serif" w:hAnsi="Clario;sans-serif"/>
          <w:color w:val="404040"/>
          <w:sz w:val="18"/>
        </w:rPr>
        <w:t>billion syndicated credit facility or the related covenant calculation.</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63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18: Related Party Transactions</w:t>
      </w:r>
    </w:p>
    <w:p>
      <w:pPr>
        <w:pStyle w:val="TextBody"/>
        <w:bidi w:val="0"/>
        <w:spacing w:before="100" w:after="283"/>
        <w:jc w:val="left"/>
        <w:rPr>
          <w:rFonts w:ascii="Times New Roman" w:hAnsi="Times New Roman"/>
          <w:sz w:val="20"/>
        </w:rPr>
      </w:pPr>
      <w:r>
        <w:rPr>
          <w:rFonts w:ascii="Clario;sans-serif" w:hAnsi="Clario;sans-serif"/>
          <w:color w:val="404040"/>
          <w:sz w:val="18"/>
        </w:rPr>
        <w:t>As of June 30, 2026, the Company’s principal shareholder, Woodbridge (together with its affiliates), beneficially owned approximately 71% of the Company’s common shares.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In the six months ended June 30, 2026, the Company contributed $7</w:t>
      </w:r>
      <w:r>
        <w:rPr>
          <w:rFonts w:ascii="Times New Roman" w:hAnsi="Times New Roman"/>
          <w:color w:val="404040"/>
          <w:sz w:val="20"/>
        </w:rPr>
        <w:t xml:space="preserve"> </w:t>
      </w:r>
      <w:r>
        <w:rPr>
          <w:rFonts w:ascii="Clario;sans-serif" w:hAnsi="Clario;sans-serif"/>
          <w:color w:val="404040"/>
          <w:sz w:val="18"/>
        </w:rPr>
        <w:t>million in cash to 3XSQ Associates pursuant to a capital call.</w:t>
      </w:r>
    </w:p>
    <w:p>
      <w:pPr>
        <w:pStyle w:val="TextBody"/>
        <w:bidi w:val="0"/>
        <w:spacing w:before="100" w:after="283"/>
        <w:jc w:val="left"/>
        <w:rPr>
          <w:rFonts w:ascii="Times New Roman" w:hAnsi="Times New Roman"/>
          <w:sz w:val="20"/>
        </w:rPr>
      </w:pPr>
      <w:r>
        <w:rPr>
          <w:rFonts w:ascii="Clario;sans-serif" w:hAnsi="Clario;sans-serif"/>
          <w:color w:val="404040"/>
          <w:sz w:val="18"/>
        </w:rPr>
        <w:t>Except for the above transaction, there were no new significant related party transactions during the first six months of 2026. Refer to “Related Party Transactions” disclosed in note 32 of the Company’s consolidated financial statements for the year ended December 31, 2025, which are included in the Company’s 2025</w:t>
      </w:r>
      <w:r>
        <w:rPr>
          <w:rFonts w:ascii="Times New Roman" w:hAnsi="Times New Roman"/>
          <w:color w:val="404040"/>
          <w:sz w:val="20"/>
        </w:rPr>
        <w:t xml:space="preserve"> </w:t>
      </w:r>
      <w:r>
        <w:rPr>
          <w:rFonts w:ascii="Clario;sans-serif" w:hAnsi="Clario;sans-serif"/>
          <w:color w:val="404040"/>
          <w:sz w:val="18"/>
        </w:rPr>
        <w:t>annual report, for information regarding related party transactions.</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19: Subsequent Events</w:t>
      </w:r>
    </w:p>
    <w:p>
      <w:pPr>
        <w:pStyle w:val="TextBody"/>
        <w:bidi w:val="0"/>
        <w:spacing w:before="100" w:after="283"/>
        <w:jc w:val="left"/>
        <w:rPr>
          <w:rFonts w:ascii="sans-serif" w:hAnsi="sans-serif"/>
          <w:b/>
          <w:color w:val="000000"/>
          <w:sz w:val="20"/>
        </w:rPr>
      </w:pPr>
      <w:r>
        <w:rPr>
          <w:rFonts w:ascii="sans-serif" w:hAnsi="sans-serif"/>
          <w:b/>
          <w:color w:val="000000"/>
          <w:sz w:val="20"/>
        </w:rPr>
        <w:t>Global Print Transaction</w:t>
      </w:r>
    </w:p>
    <w:p>
      <w:pPr>
        <w:pStyle w:val="TextBody"/>
        <w:bidi w:val="0"/>
        <w:spacing w:before="100" w:after="283"/>
        <w:jc w:val="left"/>
        <w:rPr>
          <w:rFonts w:ascii="Times New Roman" w:hAnsi="Times New Roman"/>
          <w:sz w:val="20"/>
        </w:rPr>
      </w:pPr>
      <w:r>
        <w:rPr>
          <w:rFonts w:ascii="Clario;sans-serif" w:hAnsi="Clario;sans-serif"/>
          <w:color w:val="404040"/>
          <w:sz w:val="18"/>
        </w:rPr>
        <w:t>On July 14, 2026, the Company announced a definitive agreement to enter into a joint venture with KKR, a leading global investment firm. As part of the transaction, the Company will sell a 51% stake in its Global Print business to capital accounts advised by KKR and retain a 49% equity interest in the joint venture. The Company expects to receive approximately $500</w:t>
      </w:r>
      <w:r>
        <w:rPr>
          <w:rFonts w:ascii="Times New Roman" w:hAnsi="Times New Roman"/>
          <w:color w:val="404040"/>
          <w:sz w:val="20"/>
        </w:rPr>
        <w:t xml:space="preserve"> </w:t>
      </w:r>
      <w:r>
        <w:rPr>
          <w:rFonts w:ascii="Clario;sans-serif" w:hAnsi="Clario;sans-serif"/>
          <w:color w:val="404040"/>
          <w:sz w:val="18"/>
        </w:rPr>
        <w:t>million in gross proceeds at closing and expects the transaction to close in the fourth quarter of 2026, subject to specified regulatory approvals and customary closing conditions. The Company expects to record a pre-tax gain on the transaction at the time of closing.</w:t>
      </w:r>
    </w:p>
    <w:p>
      <w:pPr>
        <w:pStyle w:val="TextBody"/>
        <w:bidi w:val="0"/>
        <w:spacing w:before="100" w:after="283"/>
        <w:jc w:val="left"/>
        <w:rPr>
          <w:rFonts w:ascii="Times New Roman" w:hAnsi="Times New Roman"/>
          <w:sz w:val="20"/>
        </w:rPr>
      </w:pPr>
      <w:r>
        <w:rPr>
          <w:rFonts w:ascii="Clario;sans-serif" w:hAnsi="Clario;sans-serif"/>
          <w:color w:val="404040"/>
          <w:sz w:val="18"/>
        </w:rPr>
        <w:t>The Company will maintain intellectual property rights and full editorial control over its content portfolio. This new joint venture will hold an exclusive license to distribute the content in print and on ProView, Global Print’s eBook platform, under which it will pay the Company a royalty in return. The Company will also provide certain operational services to the joint venture under a multi-year transition services agreement.</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As part of the transaction, the Company has agreed to provide certain financial support designed to give KKR a minimum return on its equity investment in the joint venture under certain circumstances.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Global Print business will be classified as a discontinued operation in the third quarter of 2026 and will no longer be a reportable segment.</w:t>
      </w:r>
    </w:p>
    <w:p>
      <w:pPr>
        <w:pStyle w:val="TextBody"/>
        <w:bidi w:val="0"/>
        <w:spacing w:before="100" w:after="120"/>
        <w:jc w:val="left"/>
        <w:rPr>
          <w:rFonts w:ascii="Times New Roman" w:hAnsi="Times New Roman"/>
          <w:sz w:val="20"/>
        </w:rPr>
      </w:pPr>
      <w:r>
        <w:rPr>
          <w:rFonts w:ascii="Clario;sans-serif" w:hAnsi="Clario;sans-serif"/>
          <w:b/>
          <w:color w:val="404040"/>
          <w:sz w:val="18"/>
        </w:rPr>
        <w:t>Share Repurchases</w:t>
      </w:r>
      <w:r>
        <w:rPr>
          <w:rFonts w:ascii="Times New Roman" w:hAnsi="Times New Roman"/>
          <w:color w:val="404040"/>
          <w:sz w:val="20"/>
        </w:rPr>
        <w:t xml:space="preserve"> </w:t>
      </w:r>
    </w:p>
    <w:p>
      <w:pPr>
        <w:pStyle w:val="TextBody"/>
        <w:bidi w:val="0"/>
        <w:jc w:val="left"/>
        <w:rPr>
          <w:rFonts w:ascii="Times New Roman" w:hAnsi="Times New Roman"/>
          <w:sz w:val="20"/>
        </w:rPr>
      </w:pPr>
      <w:r>
        <w:rPr>
          <w:rFonts w:ascii="Clario;sans-serif" w:hAnsi="Clario;sans-serif"/>
          <w:color w:val="404040"/>
          <w:sz w:val="18"/>
        </w:rPr>
        <w:t>In July 2026, the Company completed its $600</w:t>
      </w:r>
      <w:r>
        <w:rPr>
          <w:rFonts w:ascii="Times New Roman" w:hAnsi="Times New Roman"/>
          <w:color w:val="404040"/>
          <w:sz w:val="20"/>
        </w:rPr>
        <w:t xml:space="preserve"> </w:t>
      </w:r>
      <w:r>
        <w:rPr>
          <w:rFonts w:ascii="Clario;sans-serif" w:hAnsi="Clario;sans-serif"/>
          <w:color w:val="404040"/>
          <w:sz w:val="18"/>
        </w:rPr>
        <w:t>million share repurchase program announced in February 2026 by repurchasing an additional 2.6</w:t>
      </w:r>
      <w:r>
        <w:rPr>
          <w:rFonts w:ascii="Times New Roman" w:hAnsi="Times New Roman"/>
          <w:color w:val="404040"/>
          <w:sz w:val="20"/>
        </w:rPr>
        <w:t xml:space="preserve"> </w:t>
      </w:r>
      <w:r>
        <w:rPr>
          <w:rFonts w:ascii="Clario;sans-serif" w:hAnsi="Clario;sans-serif"/>
          <w:color w:val="404040"/>
          <w:sz w:val="18"/>
        </w:rPr>
        <w:t>million common shares totaling $238</w:t>
      </w:r>
      <w:r>
        <w:rPr>
          <w:rFonts w:ascii="Times New Roman" w:hAnsi="Times New Roman"/>
          <w:color w:val="404040"/>
          <w:sz w:val="20"/>
        </w:rPr>
        <w:t xml:space="preserve"> </w:t>
      </w:r>
      <w:r>
        <w:rPr>
          <w:rFonts w:ascii="Clario;sans-serif" w:hAnsi="Clario;sans-serif"/>
          <w:color w:val="404040"/>
          <w:sz w:val="18"/>
        </w:rPr>
        <w:t>million. The</w:t>
      </w:r>
      <w:r>
        <w:rPr>
          <w:rFonts w:ascii="Times New Roman" w:hAnsi="Times New Roman"/>
          <w:color w:val="404040"/>
          <w:sz w:val="20"/>
        </w:rPr>
        <w:t xml:space="preserve"> </w:t>
      </w:r>
      <w:r>
        <w:rPr>
          <w:rFonts w:ascii="Clario;sans-serif" w:hAnsi="Clario;sans-serif"/>
          <w:color w:val="404040"/>
          <w:sz w:val="18"/>
        </w:rPr>
        <w:t>average price per share was $92.61.</w:t>
      </w:r>
      <w:r>
        <w:rPr>
          <w:rFonts w:ascii="Times New Roman" w:hAnsi="Times New Roman"/>
          <w:color w:val="404040"/>
          <w:sz w:val="20"/>
        </w:rPr>
        <w:t xml:space="preserve"> </w:t>
      </w:r>
    </w:p>
    <w:p>
      <w:pPr>
        <w:pStyle w:val="TextBody"/>
        <w:bidi w:val="0"/>
        <w:jc w:val="left"/>
        <w:rPr/>
      </w:pPr>
      <w:r>
        <w:rPr/>
        <w:t> </w:t>
      </w:r>
    </w:p>
    <w:p>
      <w:pPr>
        <w:pStyle w:val="TextBody"/>
        <w:bidi w:val="0"/>
        <w:jc w:val="left"/>
        <w:rPr/>
      </w:pPr>
      <w:r>
        <w:rPr/>
        <w:t> </w:t>
      </w:r>
    </w:p>
    <w:p>
      <w:pPr>
        <w:pStyle w:val="TextBody"/>
        <w:bidi w:val="0"/>
        <w:spacing w:before="180" w:after="120"/>
        <w:jc w:val="left"/>
        <w:rPr/>
      </w:pPr>
      <w:r>
        <w:rPr/>
        <w:t>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64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tri-ex99_3.htm"/>
      <w:bookmarkStart w:id="8" w:name="kstriex99_3"/>
      <w:bookmarkEnd w:id="7"/>
      <w:bookmarkEnd w:id="8"/>
      <w:r>
        <w:rPr>
          <w:rFonts w:ascii="Times New Roman" w:hAnsi="Times New Roman"/>
          <w:b/>
          <w:color w:val="000000"/>
          <w:sz w:val="20"/>
        </w:rPr>
        <w:t>EXHIBIT 99.3</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 Hasker,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report on Form 6-K of Thomson Reuters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tbl>
      <w:tblPr>
        <w:tblW w:w="3518" w:type="dxa"/>
        <w:jc w:val="left"/>
        <w:tblInd w:w="0" w:type="dxa"/>
        <w:tblLayout w:type="fixed"/>
        <w:tblCellMar>
          <w:top w:w="28" w:type="dxa"/>
          <w:left w:w="28" w:type="dxa"/>
          <w:bottom w:w="28" w:type="dxa"/>
          <w:right w:w="28" w:type="dxa"/>
        </w:tblCellMar>
      </w:tblPr>
      <w:tblGrid>
        <w:gridCol w:w="161"/>
        <w:gridCol w:w="14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Steve Hasker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Hasker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 w:name="tri-ex99_4.htm"/>
      <w:bookmarkStart w:id="10" w:name="kstriex99_4"/>
      <w:bookmarkEnd w:id="9"/>
      <w:bookmarkEnd w:id="10"/>
      <w:r>
        <w:rPr>
          <w:rFonts w:ascii="Times New Roman" w:hAnsi="Times New Roman"/>
          <w:b/>
          <w:color w:val="000000"/>
          <w:sz w:val="20"/>
        </w:rPr>
        <w:t>EXHIBIT 99.4</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Gary E. Bischoping, Jr.,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report on Form 6-K of Thomson Reuters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tbl>
      <w:tblPr>
        <w:tblW w:w="2558" w:type="dxa"/>
        <w:jc w:val="left"/>
        <w:tblInd w:w="0" w:type="dxa"/>
        <w:tblLayout w:type="fixed"/>
        <w:tblCellMar>
          <w:top w:w="28" w:type="dxa"/>
          <w:left w:w="28" w:type="dxa"/>
          <w:bottom w:w="28" w:type="dxa"/>
          <w:right w:w="28" w:type="dxa"/>
        </w:tblCellMar>
      </w:tblPr>
      <w:tblGrid>
        <w:gridCol w:w="161"/>
        <w:gridCol w:w="146"/>
        <w:gridCol w:w="22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E. Bischoping, Jr.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E. Bischoping, Jr.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11" w:name="tri-ex99_5.htm"/>
      <w:bookmarkStart w:id="12" w:name="kstriex99_5"/>
      <w:bookmarkEnd w:id="11"/>
      <w:bookmarkEnd w:id="12"/>
      <w:r>
        <w:rPr>
          <w:rFonts w:ascii="Times New Roman" w:hAnsi="Times New Roman"/>
          <w:b/>
          <w:color w:val="000000"/>
          <w:sz w:val="18"/>
        </w:rPr>
        <w:t>EXHIBIT 99.5</w:t>
      </w:r>
      <w:r>
        <w:br w:type="page"/>
      </w:r>
    </w:p>
    <w:p>
      <w:pPr>
        <w:pStyle w:val="TextBody"/>
        <w:bidi w:val="0"/>
        <w:spacing w:before="20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In connection with the report of Thomson Reuters Corporation (the “Corporation”) on Form 6-K for the period ended June 30, 2026, as furnished to the Securities and Exchange Commission on the date hereof (the “Report”), I, Steve Hasker, President and Chief Executive Officer of the Corporation, hereby certify, pursuant to 18 U.S.C. Section 1350, as adopted pursuant to Section 906 of the Sarbanes-Oxley Act of 2002, that:</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Corporation.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tbl>
      <w:tblPr>
        <w:tblW w:w="3372" w:type="dxa"/>
        <w:jc w:val="left"/>
        <w:tblInd w:w="0" w:type="dxa"/>
        <w:tblLayout w:type="fixed"/>
        <w:tblCellMar>
          <w:top w:w="28" w:type="dxa"/>
          <w:left w:w="28" w:type="dxa"/>
          <w:bottom w:w="28" w:type="dxa"/>
          <w:right w:w="28" w:type="dxa"/>
        </w:tblCellMar>
      </w:tblPr>
      <w:tblGrid>
        <w:gridCol w:w="318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Steve Hasker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Hasker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13" w:name="tri-ex99_6.htm"/>
      <w:bookmarkStart w:id="14" w:name="kstriex99_6"/>
      <w:bookmarkEnd w:id="13"/>
      <w:bookmarkEnd w:id="14"/>
      <w:r>
        <w:rPr>
          <w:rFonts w:ascii="Times New Roman" w:hAnsi="Times New Roman"/>
          <w:b/>
          <w:color w:val="000000"/>
          <w:sz w:val="18"/>
        </w:rPr>
        <w:t>EXHIBIT 99.6</w:t>
      </w:r>
      <w:r>
        <w:br w:type="page"/>
      </w:r>
    </w:p>
    <w:p>
      <w:pPr>
        <w:pStyle w:val="TextBody"/>
        <w:bidi w:val="0"/>
        <w:spacing w:before="20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In connection with the report of Thomson Reuters Corporation (the “Corporation”) on Form 6-K for the period ended June 30, 2026, as furnished to the Securities and Exchange Commission on the date hereof (the “Report”), I, Gary E. Bischoping, Jr., Chief Financial Officer of the Corporation, hereby certify, pursuant to 18 U.S.C. Section 1350, as adopted pursuant to Section 906 of the Sarbanes-Oxley Act of 2002, that:</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Corporation.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6, 2026</w:t>
      </w:r>
    </w:p>
    <w:p>
      <w:pPr>
        <w:pStyle w:val="TextBody"/>
        <w:bidi w:val="0"/>
        <w:jc w:val="left"/>
        <w:rPr/>
      </w:pPr>
      <w:r>
        <w:rPr/>
        <w:t> </w:t>
      </w:r>
    </w:p>
    <w:tbl>
      <w:tblPr>
        <w:tblW w:w="2412" w:type="dxa"/>
        <w:jc w:val="left"/>
        <w:tblInd w:w="0" w:type="dxa"/>
        <w:tblLayout w:type="fixed"/>
        <w:tblCellMar>
          <w:top w:w="28" w:type="dxa"/>
          <w:left w:w="28" w:type="dxa"/>
          <w:bottom w:w="28" w:type="dxa"/>
          <w:right w:w="28" w:type="dxa"/>
        </w:tblCellMar>
      </w:tblPr>
      <w:tblGrid>
        <w:gridCol w:w="2221"/>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E. Bischoping, Jr.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Gary E. Bischoping, Jr.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lario">
    <w:altName w:val="sans-serif"/>
    <w:charset w:val="01"/>
    <w:family w:val="auto"/>
    <w:pitch w:val="default"/>
  </w:font>
  <w:font w:name="Times New Roman">
    <w:charset w:val="01"/>
    <w:family w:val="auto"/>
    <w:pitch w:val="default"/>
  </w:font>
  <w:font w:name="Symbol">
    <w:altName w:val="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image" Target="media/image1.jpeg"/><Relationship Id="rId118" Type="http://schemas.openxmlformats.org/officeDocument/2006/relationships/image" Target="media/image1.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1.jpeg"/><Relationship Id="rId122" Type="http://schemas.openxmlformats.org/officeDocument/2006/relationships/image" Target="media/image1.jpeg"/><Relationship Id="rId123" Type="http://schemas.openxmlformats.org/officeDocument/2006/relationships/image" Target="media/image1.jpeg"/><Relationship Id="rId124" Type="http://schemas.openxmlformats.org/officeDocument/2006/relationships/image" Target="media/image1.jpeg"/><Relationship Id="rId125" Type="http://schemas.openxmlformats.org/officeDocument/2006/relationships/image" Target="media/image1.jpeg"/><Relationship Id="rId126" Type="http://schemas.openxmlformats.org/officeDocument/2006/relationships/image" Target="media/image1.jpeg"/><Relationship Id="rId127" Type="http://schemas.openxmlformats.org/officeDocument/2006/relationships/image" Target="media/image1.jpeg"/><Relationship Id="rId128" Type="http://schemas.openxmlformats.org/officeDocument/2006/relationships/image" Target="media/image1.jpeg"/><Relationship Id="rId129" Type="http://schemas.openxmlformats.org/officeDocument/2006/relationships/image" Target="media/image1.jpeg"/><Relationship Id="rId130" Type="http://schemas.openxmlformats.org/officeDocument/2006/relationships/image" Target="media/image2.jpeg"/><Relationship Id="rId131" Type="http://schemas.openxmlformats.org/officeDocument/2006/relationships/image" Target="media/image3.jpeg"/><Relationship Id="rId132" Type="http://schemas.openxmlformats.org/officeDocument/2006/relationships/image" Target="media/image4.jpeg"/><Relationship Id="rId133" Type="http://schemas.openxmlformats.org/officeDocument/2006/relationships/image" Target="media/image5.jpeg"/><Relationship Id="rId134" Type="http://schemas.openxmlformats.org/officeDocument/2006/relationships/image" Target="media/image6.jpeg"/><Relationship Id="rId135" Type="http://schemas.openxmlformats.org/officeDocument/2006/relationships/image" Target="media/image7.jpeg"/><Relationship Id="rId136" Type="http://schemas.openxmlformats.org/officeDocument/2006/relationships/image" Target="media/image8.jpeg"/><Relationship Id="rId137" Type="http://schemas.openxmlformats.org/officeDocument/2006/relationships/fontTable" Target="fontTable.xml"/><Relationship Id="rId1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33005</Words>
  <Characters>178101</Characters>
  <CharactersWithSpaces>211687</CharactersWithSpaces>
  <Paragraphs>13449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