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327660</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left="2080" w:right="12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28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November 2026</w:t>
      </w:r>
    </w:p>
    <w:p>
      <w:pPr>
        <w:spacing w:after="0" w:line="33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320040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2"/>
          <w:szCs w:val="42"/>
          <w:b w:val="1"/>
          <w:bCs w:val="1"/>
          <w:color w:val="auto"/>
        </w:rPr>
        <w:t>THOMSON REUTERS CORPORATION</w:t>
      </w:r>
    </w:p>
    <w:p>
      <w:pPr>
        <w:spacing w:after="0" w:line="7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313055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19 Duncan Street, Toronto,</w:t>
      </w:r>
    </w:p>
    <w:p>
      <w:pPr>
        <w:spacing w:after="0" w:line="3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Ontario M5H 3H1, Canada</w:t>
      </w:r>
    </w:p>
    <w:p>
      <w:pPr>
        <w:spacing w:after="0" w:line="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520" w:val="left"/>
          <w:tab w:leader="none" w:pos="5700" w:val="left"/>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43" w:right="1440" w:bottom="1440" w:gutter="0" w:footer="0" w:header="0"/>
        </w:sectPr>
      </w:pPr>
    </w:p>
    <w:bookmarkStart w:id="1" w:name="page2"/>
    <w:bookmarkEnd w:id="1"/>
    <w:p>
      <w:pPr>
        <w:ind w:left="5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THOMSON REUTERS CORPORATION</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Jennifer Ruddick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tabs>
          <w:tab w:leader="none" w:pos="7800" w:val="left"/>
        </w:tabs>
        <w:rPr>
          <w:sz w:val="20"/>
          <w:szCs w:val="20"/>
          <w:color w:val="auto"/>
        </w:rPr>
      </w:pPr>
      <w:r>
        <w:rPr>
          <w:rFonts w:ascii="Times New Roman" w:cs="Times New Roman" w:eastAsia="Times New Roman" w:hAnsi="Times New Roman"/>
          <w:sz w:val="18"/>
          <w:szCs w:val="18"/>
          <w:color w:val="auto"/>
        </w:rPr>
        <w:t>Name:  </w:t>
        <w:tab/>
        <w:t>Jennifer Ruddick</w:t>
      </w:r>
    </w:p>
    <w:p>
      <w:pPr>
        <w:spacing w:after="0" w:line="27" w:lineRule="exact"/>
        <w:rPr>
          <w:sz w:val="20"/>
          <w:szCs w:val="20"/>
          <w:color w:val="auto"/>
        </w:rPr>
      </w:pPr>
    </w:p>
    <w:p>
      <w:pPr>
        <w:ind w:left="7120"/>
        <w:spacing w:after="0"/>
        <w:tabs>
          <w:tab w:leader="none" w:pos="7660" w:val="left"/>
        </w:tabs>
        <w:rPr>
          <w:sz w:val="20"/>
          <w:szCs w:val="20"/>
          <w:color w:val="auto"/>
        </w:rPr>
      </w:pPr>
      <w:r>
        <w:rPr>
          <w:rFonts w:ascii="Times New Roman" w:cs="Times New Roman" w:eastAsia="Times New Roman" w:hAnsi="Times New Roman"/>
          <w:sz w:val="18"/>
          <w:szCs w:val="18"/>
          <w:color w:val="auto"/>
        </w:rPr>
        <w:t>Title: </w:t>
      </w:r>
      <w:r>
        <w:rPr>
          <w:sz w:val="20"/>
          <w:szCs w:val="20"/>
          <w:color w:val="auto"/>
        </w:rPr>
        <w:tab/>
      </w:r>
      <w:r>
        <w:rPr>
          <w:rFonts w:ascii="Times New Roman" w:cs="Times New Roman" w:eastAsia="Times New Roman" w:hAnsi="Times New Roman"/>
          <w:sz w:val="17"/>
          <w:szCs w:val="17"/>
          <w:color w:val="auto"/>
        </w:rPr>
        <w:t>   Deputy Company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ectPr>
          <w:pgSz w:w="11900" w:h="16838" w:orient="portrait"/>
          <w:cols w:equalWidth="0" w:num="1">
            <w:col w:w="10280"/>
          </w:cols>
          <w:pgMar w:left="320" w:top="266" w:right="1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Number</w:t>
            </w:r>
          </w:p>
        </w:tc>
        <w:tc>
          <w:tcPr>
            <w:tcW w:w="94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w:t>
            </w:r>
          </w:p>
        </w:tc>
        <w:tc>
          <w:tcPr>
            <w:tcW w:w="6200" w:type="dxa"/>
            <w:vAlign w:val="bottom"/>
          </w:tcPr>
          <w:p>
            <w:pPr>
              <w:spacing w:after="0"/>
              <w:rPr>
                <w:sz w:val="24"/>
                <w:szCs w:val="24"/>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8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w w:val="99"/>
              </w:rPr>
              <w:t>News release dated November 3, 2026 – Thomson Reuters Reports Third-Quarter 2026 Results</w:t>
            </w:r>
          </w:p>
        </w:tc>
      </w:tr>
    </w:tbl>
    <w:p>
      <w:pPr>
        <w:ind w:left="940"/>
        <w:spacing w:after="0"/>
        <w:rPr>
          <w:sz w:val="20"/>
          <w:szCs w:val="20"/>
          <w:color w:val="auto"/>
        </w:rPr>
        <w:sectPr>
          <w:pgSz w:w="11900" w:h="16838" w:orient="portrait"/>
          <w:cols w:equalWidth="0" w:num="1">
            <w:col w:w="10139"/>
          </w:cols>
          <w:pgMar w:left="32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ind w:left="1002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170180</wp:posOffset>
            </wp:positionV>
            <wp:extent cx="1208405"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840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Reports Third-Quarter 2026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 xml:space="preserve">TORONTO, November 3, 2026 </w:t>
      </w:r>
      <w:r>
        <w:rPr>
          <w:rFonts w:ascii="Arial" w:cs="Arial" w:eastAsia="Arial" w:hAnsi="Arial"/>
          <w:sz w:val="18"/>
          <w:szCs w:val="18"/>
          <w:color w:val="auto"/>
        </w:rPr>
        <w:t>- Thomson Reuters (TSX/Nasdaq: TRI) today reported results for the third quarter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2026:</w:t>
      </w:r>
    </w:p>
    <w:p>
      <w:pPr>
        <w:spacing w:after="0" w:line="59"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Strong revenue growth in the third quarter</w:t>
      </w:r>
    </w:p>
    <w:p>
      <w:pPr>
        <w:spacing w:after="0" w:line="26" w:lineRule="exact"/>
        <w:rPr>
          <w:rFonts w:ascii="Times New Roman" w:cs="Times New Roman" w:eastAsia="Times New Roman" w:hAnsi="Times New Roman"/>
          <w:sz w:val="18"/>
          <w:szCs w:val="18"/>
          <w:color w:val="auto"/>
        </w:rPr>
      </w:pPr>
    </w:p>
    <w:p>
      <w:pPr>
        <w:ind w:left="1420" w:hanging="439"/>
        <w:spacing w:after="0" w:line="234" w:lineRule="auto"/>
        <w:tabs>
          <w:tab w:leader="none" w:pos="1420" w:val="left"/>
        </w:tabs>
        <w:numPr>
          <w:ilvl w:val="1"/>
          <w:numId w:val="1"/>
        </w:numPr>
        <w:rPr>
          <w:rFonts w:ascii="Wingdings" w:cs="Wingdings" w:eastAsia="Wingdings" w:hAnsi="Wingdings"/>
          <w:sz w:val="13"/>
          <w:szCs w:val="13"/>
          <w:b w:val="1"/>
          <w:bCs w:val="1"/>
          <w:color w:val="auto"/>
        </w:rPr>
      </w:pPr>
      <w:r>
        <w:rPr>
          <w:rFonts w:ascii="Arial" w:cs="Arial" w:eastAsia="Arial" w:hAnsi="Arial"/>
          <w:sz w:val="18"/>
          <w:szCs w:val="18"/>
          <w:color w:val="auto"/>
        </w:rPr>
        <w:t>Total company revenues up 10%</w:t>
      </w:r>
    </w:p>
    <w:p>
      <w:pPr>
        <w:ind w:left="1420" w:right="200" w:hanging="439"/>
        <w:spacing w:after="0" w:line="234" w:lineRule="auto"/>
        <w:tabs>
          <w:tab w:leader="none" w:pos="1420" w:val="left"/>
        </w:tabs>
        <w:numPr>
          <w:ilvl w:val="1"/>
          <w:numId w:val="1"/>
        </w:numPr>
        <w:rPr>
          <w:rFonts w:ascii="Wingdings" w:cs="Wingdings" w:eastAsia="Wingdings" w:hAnsi="Wingdings"/>
          <w:sz w:val="13"/>
          <w:szCs w:val="13"/>
          <w:b w:val="1"/>
          <w:bCs w:val="1"/>
          <w:color w:val="auto"/>
        </w:rPr>
      </w:pPr>
      <w:r>
        <w:rPr>
          <w:rFonts w:ascii="Arial" w:cs="Arial" w:eastAsia="Arial" w:hAnsi="Arial"/>
          <w:sz w:val="18"/>
          <w:szCs w:val="18"/>
          <w:color w:val="auto"/>
        </w:rPr>
        <w:t>Organic revenues up 10% in total and 10% for the “Big 3” segments (Legal Professionals, Corporates and Tax, Audit &amp; Accounting Professionals)</w:t>
      </w:r>
    </w:p>
    <w:p>
      <w:pPr>
        <w:spacing w:after="0" w:line="1" w:lineRule="exact"/>
        <w:rPr>
          <w:rFonts w:ascii="Wingdings" w:cs="Wingdings" w:eastAsia="Wingdings" w:hAnsi="Wingdings"/>
          <w:sz w:val="13"/>
          <w:szCs w:val="13"/>
          <w:b w:val="1"/>
          <w:bCs w:val="1"/>
          <w:color w:val="auto"/>
        </w:rPr>
      </w:pPr>
    </w:p>
    <w:p>
      <w:pPr>
        <w:ind w:left="960" w:right="720" w:hanging="532"/>
        <w:spacing w:after="0" w:line="234" w:lineRule="auto"/>
        <w:tabs>
          <w:tab w:leader="none" w:pos="9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Closed the sale of a 51% stake in the Global Print business to capital accounts advised by KKR for gross proceeds of approximately $500 million on October 1, 2026</w:t>
      </w: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Updated full-year 2026 outlook for the total company to exclude Global Print business</w:t>
      </w:r>
    </w:p>
    <w:p>
      <w:pPr>
        <w:spacing w:after="0" w:line="8" w:lineRule="exact"/>
        <w:rPr>
          <w:rFonts w:ascii="Times New Roman" w:cs="Times New Roman" w:eastAsia="Times New Roman" w:hAnsi="Times New Roman"/>
          <w:sz w:val="18"/>
          <w:szCs w:val="18"/>
          <w:color w:val="auto"/>
        </w:rPr>
      </w:pPr>
    </w:p>
    <w:p>
      <w:pPr>
        <w:ind w:left="1420" w:hanging="439"/>
        <w:spacing w:after="0" w:line="234" w:lineRule="auto"/>
        <w:tabs>
          <w:tab w:leader="none" w:pos="1420" w:val="left"/>
        </w:tabs>
        <w:numPr>
          <w:ilvl w:val="1"/>
          <w:numId w:val="1"/>
        </w:numPr>
        <w:rPr>
          <w:rFonts w:ascii="Wingdings" w:cs="Wingdings" w:eastAsia="Wingdings" w:hAnsi="Wingdings"/>
          <w:sz w:val="13"/>
          <w:szCs w:val="13"/>
          <w:b w:val="1"/>
          <w:bCs w:val="1"/>
          <w:color w:val="auto"/>
        </w:rPr>
      </w:pPr>
      <w:r>
        <w:rPr>
          <w:rFonts w:ascii="Arial" w:cs="Arial" w:eastAsia="Arial" w:hAnsi="Arial"/>
          <w:sz w:val="18"/>
          <w:szCs w:val="18"/>
          <w:color w:val="auto"/>
        </w:rPr>
        <w:t>Total revenue growth of approximately 9.5% and organic revenue growth of approximately 8.5% - 9.0%</w:t>
      </w:r>
    </w:p>
    <w:p>
      <w:pPr>
        <w:ind w:left="1420" w:hanging="439"/>
        <w:spacing w:after="0" w:line="234" w:lineRule="auto"/>
        <w:tabs>
          <w:tab w:leader="none" w:pos="1420" w:val="left"/>
        </w:tabs>
        <w:numPr>
          <w:ilvl w:val="1"/>
          <w:numId w:val="1"/>
        </w:numPr>
        <w:rPr>
          <w:rFonts w:ascii="Wingdings" w:cs="Wingdings" w:eastAsia="Wingdings" w:hAnsi="Wingdings"/>
          <w:sz w:val="13"/>
          <w:szCs w:val="13"/>
          <w:b w:val="1"/>
          <w:bCs w:val="1"/>
          <w:color w:val="auto"/>
        </w:rPr>
      </w:pPr>
      <w:r>
        <w:rPr>
          <w:rFonts w:ascii="Arial" w:cs="Arial" w:eastAsia="Arial" w:hAnsi="Arial"/>
          <w:sz w:val="18"/>
          <w:szCs w:val="18"/>
          <w:color w:val="auto"/>
        </w:rPr>
        <w:t>Adjusted EBITDA margin of approximately 39%</w:t>
      </w:r>
    </w:p>
    <w:p>
      <w:pPr>
        <w:ind w:left="1420" w:right="420" w:hanging="439"/>
        <w:spacing w:after="0" w:line="234" w:lineRule="auto"/>
        <w:tabs>
          <w:tab w:leader="none" w:pos="1420" w:val="left"/>
        </w:tabs>
        <w:numPr>
          <w:ilvl w:val="1"/>
          <w:numId w:val="1"/>
        </w:numPr>
        <w:rPr>
          <w:rFonts w:ascii="Wingdings" w:cs="Wingdings" w:eastAsia="Wingdings" w:hAnsi="Wingdings"/>
          <w:sz w:val="13"/>
          <w:szCs w:val="13"/>
          <w:b w:val="1"/>
          <w:bCs w:val="1"/>
          <w:color w:val="auto"/>
        </w:rPr>
      </w:pPr>
      <w:r>
        <w:rPr>
          <w:rFonts w:ascii="Arial" w:cs="Arial" w:eastAsia="Arial" w:hAnsi="Arial"/>
          <w:sz w:val="18"/>
          <w:szCs w:val="18"/>
          <w:color w:val="auto"/>
        </w:rPr>
        <w:t>Revenue growth and adjusted EBITDA margin guidance for the “Big 3” segments are unchanged from 2026 outlook communicated on August 5, 2026</w:t>
      </w:r>
    </w:p>
    <w:p>
      <w:pPr>
        <w:spacing w:after="0" w:line="1" w:lineRule="exact"/>
        <w:rPr>
          <w:rFonts w:ascii="Wingdings" w:cs="Wingdings" w:eastAsia="Wingdings" w:hAnsi="Wingdings"/>
          <w:sz w:val="13"/>
          <w:szCs w:val="13"/>
          <w:b w:val="1"/>
          <w:bCs w:val="1"/>
          <w:color w:val="auto"/>
        </w:rPr>
      </w:pPr>
    </w:p>
    <w:p>
      <w:pPr>
        <w:ind w:left="960" w:right="440" w:hanging="532"/>
        <w:spacing w:after="0" w:line="234" w:lineRule="auto"/>
        <w:tabs>
          <w:tab w:leader="none" w:pos="9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Issued $1.3 billion and Canadian (CDN) $1.0 billion of notes for total proceeds of approximately $2.0 billion in September 2026</w:t>
      </w: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Completed $600 million share repurchase program announced in February 2026</w:t>
      </w:r>
    </w:p>
    <w:p>
      <w:pPr>
        <w:spacing w:after="0" w:line="206"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“We are pleased with our third-quarter momentum, as revenue growth and margins came in ahead of our prior expectations,” said Steve Hasker, President and CEO of Thomson Reuters. “Customer engagement with the next generation of CoCounsel Legal has been very encouraging, and we are excited about the recent launch of the next generation of CoCounsel Tax, Audit &amp; Accounting. Customer discussions around commercial opportunities for Thomson LLM continue, and we remain optimistic about its potential. We are confident in the growing success of our innovation engine, which positions us well to deliver sustainable growth and long-term value for shareholders.”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Highlights - Three Months Ended September 30</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60" w:type="dxa"/>
            <w:vAlign w:val="bottom"/>
            <w:tcBorders>
              <w:top w:val="single" w:sz="8" w:color="auto"/>
              <w:left w:val="single" w:sz="8" w:color="auto"/>
            </w:tcBorders>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500" w:type="dxa"/>
            <w:vAlign w:val="bottom"/>
            <w:tcBorders>
              <w:top w:val="single" w:sz="8" w:color="auto"/>
            </w:tcBorders>
          </w:tcPr>
          <w:p>
            <w:pPr>
              <w:ind w:left="1380"/>
              <w:spacing w:after="0" w:line="166" w:lineRule="exact"/>
              <w:rPr>
                <w:sz w:val="20"/>
                <w:szCs w:val="20"/>
                <w:color w:val="auto"/>
              </w:rPr>
            </w:pPr>
            <w:r>
              <w:rPr>
                <w:rFonts w:ascii="Arial" w:cs="Arial" w:eastAsia="Arial" w:hAnsi="Arial"/>
                <w:sz w:val="13"/>
                <w:szCs w:val="13"/>
                <w:b w:val="1"/>
                <w:bCs w:val="1"/>
                <w:color w:val="auto"/>
              </w:rPr>
              <w:t>Three months ended September 30,</w:t>
            </w:r>
            <w:r>
              <w:rPr>
                <w:rFonts w:ascii="Arial" w:cs="Arial" w:eastAsia="Arial" w:hAnsi="Arial"/>
                <w:sz w:val="19"/>
                <w:szCs w:val="19"/>
                <w:b w:val="1"/>
                <w:bCs w:val="1"/>
                <w:color w:val="auto"/>
                <w:vertAlign w:val="superscript"/>
              </w:rPr>
              <w:t>(2)</w:t>
            </w:r>
            <w:r>
              <w:rPr>
                <w:rFonts w:ascii="Arial" w:cs="Arial" w:eastAsia="Arial" w:hAnsi="Arial"/>
                <w:sz w:val="13"/>
                <w:szCs w:val="13"/>
                <w:b w:val="1"/>
                <w:bCs w:val="1"/>
                <w:color w:val="auto"/>
              </w:rPr>
              <w:t xml:space="preserve"> </w:t>
            </w: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6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00" w:type="dxa"/>
            <w:vAlign w:val="bottom"/>
          </w:tcPr>
          <w:p>
            <w:pPr>
              <w:ind w:left="1380"/>
              <w:spacing w:after="0"/>
              <w:rPr>
                <w:sz w:val="20"/>
                <w:szCs w:val="20"/>
                <w:color w:val="auto"/>
              </w:rPr>
            </w:pPr>
            <w:r>
              <w:rPr>
                <w:rFonts w:ascii="Arial" w:cs="Arial" w:eastAsia="Arial" w:hAnsi="Arial"/>
                <w:sz w:val="14"/>
                <w:szCs w:val="14"/>
                <w:color w:val="auto"/>
              </w:rPr>
              <w:t>(Millions of U.S. dollars, except for EPS)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 w:type="dxa"/>
            <w:vAlign w:val="bottom"/>
            <w:tcBorders>
              <w:left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00" w:type="dxa"/>
            <w:vAlign w:val="bottom"/>
          </w:tcPr>
          <w:p>
            <w:pPr>
              <w:ind w:left="2380"/>
              <w:spacing w:after="0"/>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6"/>
                <w:szCs w:val="16"/>
                <w:color w:val="auto"/>
              </w:rPr>
            </w:pPr>
          </w:p>
        </w:tc>
        <w:tc>
          <w:tcPr>
            <w:tcW w:w="4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2026</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6"/>
              </w:rPr>
              <w:t>2025</w:t>
            </w:r>
          </w:p>
        </w:tc>
        <w:tc>
          <w:tcPr>
            <w:tcW w:w="380" w:type="dxa"/>
            <w:vAlign w:val="bottom"/>
          </w:tcPr>
          <w:p>
            <w:pPr>
              <w:spacing w:after="0"/>
              <w:rPr>
                <w:sz w:val="16"/>
                <w:szCs w:val="16"/>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60" w:type="dxa"/>
            <w:vAlign w:val="bottom"/>
            <w:tcBorders>
              <w:left w:val="single" w:sz="8" w:color="auto"/>
            </w:tcBorders>
          </w:tcPr>
          <w:p>
            <w:pPr>
              <w:spacing w:after="0"/>
              <w:rPr>
                <w:sz w:val="13"/>
                <w:szCs w:val="13"/>
                <w:color w:val="auto"/>
              </w:rPr>
            </w:pPr>
          </w:p>
        </w:tc>
        <w:tc>
          <w:tcPr>
            <w:tcW w:w="2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60" w:type="dxa"/>
            <w:vAlign w:val="bottom"/>
            <w:tcBorders>
              <w:top w:val="single" w:sz="8" w:color="CCEEFF"/>
              <w:left w:val="single" w:sz="8" w:color="auto"/>
            </w:tcBorders>
            <w:shd w:val="clear" w:color="auto" w:fill="CCEEFF"/>
          </w:tcPr>
          <w:p>
            <w:pPr>
              <w:spacing w:after="0"/>
              <w:rPr>
                <w:sz w:val="14"/>
                <w:szCs w:val="14"/>
                <w:color w:val="auto"/>
              </w:rPr>
            </w:pPr>
          </w:p>
        </w:tc>
        <w:tc>
          <w:tcPr>
            <w:tcW w:w="70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IFRS Financial Measures</w:t>
            </w:r>
            <w:r>
              <w:rPr>
                <w:rFonts w:ascii="Arial" w:cs="Arial" w:eastAsia="Arial" w:hAnsi="Arial"/>
                <w:sz w:val="18"/>
                <w:szCs w:val="18"/>
                <w:color w:val="auto"/>
                <w:vertAlign w:val="superscript"/>
              </w:rPr>
              <w:t>(1)</w:t>
            </w:r>
          </w:p>
        </w:tc>
        <w:tc>
          <w:tcPr>
            <w:tcW w:w="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0" w:type="dxa"/>
            <w:vAlign w:val="bottom"/>
            <w:tcBorders>
              <w:top w:val="single" w:sz="8" w:color="CCEEFF"/>
              <w:left w:val="single" w:sz="8" w:color="auto"/>
            </w:tcBorders>
          </w:tcPr>
          <w:p>
            <w:pPr>
              <w:spacing w:after="0"/>
              <w:rPr>
                <w:sz w:val="17"/>
                <w:szCs w:val="17"/>
                <w:color w:val="auto"/>
              </w:rPr>
            </w:pPr>
          </w:p>
        </w:tc>
        <w:tc>
          <w:tcPr>
            <w:tcW w:w="21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Revenues</w:t>
            </w:r>
          </w:p>
        </w:tc>
        <w:tc>
          <w:tcPr>
            <w:tcW w:w="490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gridSpan w:val="2"/>
          </w:tcPr>
          <w:p>
            <w:pPr>
              <w:jc w:val="right"/>
              <w:ind w:right="380"/>
              <w:spacing w:after="0" w:line="202" w:lineRule="exact"/>
              <w:rPr>
                <w:sz w:val="20"/>
                <w:szCs w:val="20"/>
                <w:color w:val="auto"/>
              </w:rPr>
            </w:pPr>
            <w:r>
              <w:rPr>
                <w:rFonts w:ascii="Arial" w:cs="Arial" w:eastAsia="Arial" w:hAnsi="Arial"/>
                <w:sz w:val="18"/>
                <w:szCs w:val="18"/>
                <w:color w:val="auto"/>
                <w:w w:val="97"/>
              </w:rPr>
              <w:t>1,833</w:t>
            </w:r>
          </w:p>
        </w:tc>
        <w:tc>
          <w:tcPr>
            <w:tcW w:w="12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gridSpan w:val="2"/>
          </w:tcPr>
          <w:p>
            <w:pPr>
              <w:jc w:val="right"/>
              <w:ind w:right="360"/>
              <w:spacing w:after="0" w:line="202" w:lineRule="exact"/>
              <w:rPr>
                <w:sz w:val="20"/>
                <w:szCs w:val="20"/>
                <w:color w:val="auto"/>
              </w:rPr>
            </w:pPr>
            <w:r>
              <w:rPr>
                <w:rFonts w:ascii="Arial" w:cs="Arial" w:eastAsia="Arial" w:hAnsi="Arial"/>
                <w:sz w:val="18"/>
                <w:szCs w:val="18"/>
                <w:color w:val="auto"/>
                <w:w w:val="97"/>
              </w:rPr>
              <w:t>1,658</w:t>
            </w:r>
          </w:p>
        </w:tc>
        <w:tc>
          <w:tcPr>
            <w:tcW w:w="920" w:type="dxa"/>
            <w:vAlign w:val="bottom"/>
            <w:tcBorders>
              <w:top w:val="single" w:sz="8" w:color="CCEEFF"/>
            </w:tcBorders>
            <w:gridSpan w:val="2"/>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700" w:type="dxa"/>
            <w:vAlign w:val="bottom"/>
            <w:tcBorders>
              <w:top w:val="single" w:sz="8" w:color="CCEEFF"/>
            </w:tcBorders>
          </w:tcPr>
          <w:p>
            <w:pPr>
              <w:spacing w:after="0"/>
              <w:rPr>
                <w:sz w:val="17"/>
                <w:szCs w:val="17"/>
                <w:color w:val="auto"/>
              </w:rPr>
            </w:pPr>
          </w:p>
        </w:tc>
        <w:tc>
          <w:tcPr>
            <w:tcW w:w="360" w:type="dxa"/>
            <w:vAlign w:val="bottom"/>
            <w:tcBorders>
              <w:top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70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517</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w:t>
            </w:r>
          </w:p>
        </w:tc>
        <w:tc>
          <w:tcPr>
            <w:tcW w:w="7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7020" w:type="dxa"/>
            <w:vAlign w:val="bottom"/>
            <w:gridSpan w:val="3"/>
          </w:tcPr>
          <w:p>
            <w:pPr>
              <w:spacing w:after="0" w:line="202" w:lineRule="exact"/>
              <w:rPr>
                <w:sz w:val="20"/>
                <w:szCs w:val="20"/>
                <w:color w:val="auto"/>
              </w:rPr>
            </w:pPr>
            <w:r>
              <w:rPr>
                <w:rFonts w:ascii="Arial" w:cs="Arial" w:eastAsia="Arial" w:hAnsi="Arial"/>
                <w:sz w:val="18"/>
                <w:szCs w:val="18"/>
                <w:color w:val="auto"/>
              </w:rPr>
              <w:t>Diluted earnings per share (EPS)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0.78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0.94</w:t>
            </w: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w:t>
            </w:r>
          </w:p>
        </w:tc>
        <w:tc>
          <w:tcPr>
            <w:tcW w:w="7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70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704</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7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60" w:type="dxa"/>
            <w:vAlign w:val="bottom"/>
            <w:tcBorders>
              <w:left w:val="single" w:sz="8" w:color="auto"/>
            </w:tcBorders>
          </w:tcPr>
          <w:p>
            <w:pPr>
              <w:spacing w:after="0"/>
              <w:rPr>
                <w:sz w:val="22"/>
                <w:szCs w:val="22"/>
                <w:color w:val="auto"/>
              </w:rPr>
            </w:pPr>
          </w:p>
        </w:tc>
        <w:tc>
          <w:tcPr>
            <w:tcW w:w="2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Change at</w:t>
            </w:r>
          </w:p>
        </w:tc>
        <w:tc>
          <w:tcPr>
            <w:tcW w:w="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 w:type="dxa"/>
            <w:vAlign w:val="bottom"/>
            <w:tcBorders>
              <w:left w:val="single" w:sz="8" w:color="auto"/>
            </w:tcBorders>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2026</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4"/>
              <w:spacing w:after="0"/>
              <w:rPr>
                <w:sz w:val="20"/>
                <w:szCs w:val="20"/>
                <w:color w:val="auto"/>
              </w:rPr>
            </w:pPr>
            <w:r>
              <w:rPr>
                <w:rFonts w:ascii="Arial" w:cs="Arial" w:eastAsia="Arial" w:hAnsi="Arial"/>
                <w:sz w:val="14"/>
                <w:szCs w:val="14"/>
                <w:b w:val="1"/>
                <w:bCs w:val="1"/>
                <w:color w:val="auto"/>
                <w:w w:val="96"/>
              </w:rPr>
              <w:t>2025</w:t>
            </w:r>
          </w:p>
        </w:tc>
        <w:tc>
          <w:tcPr>
            <w:tcW w:w="38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 w:type="dxa"/>
            <w:vAlign w:val="bottom"/>
            <w:tcBorders>
              <w:top w:val="single" w:sz="8" w:color="CCEEFF"/>
              <w:left w:val="single" w:sz="8" w:color="auto"/>
            </w:tcBorders>
            <w:shd w:val="clear" w:color="auto" w:fill="CCEEFF"/>
          </w:tcPr>
          <w:p>
            <w:pPr>
              <w:spacing w:after="0"/>
              <w:rPr>
                <w:sz w:val="13"/>
                <w:szCs w:val="13"/>
                <w:color w:val="auto"/>
              </w:rPr>
            </w:pPr>
          </w:p>
        </w:tc>
        <w:tc>
          <w:tcPr>
            <w:tcW w:w="70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Non-IFRS Financial Measures</w:t>
            </w:r>
            <w:r>
              <w:rPr>
                <w:rFonts w:ascii="Arial" w:cs="Arial" w:eastAsia="Arial" w:hAnsi="Arial"/>
                <w:sz w:val="18"/>
                <w:szCs w:val="18"/>
                <w:color w:val="auto"/>
                <w:vertAlign w:val="superscript"/>
              </w:rPr>
              <w:t>(1)</w:t>
            </w: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0" w:type="dxa"/>
            <w:vAlign w:val="bottom"/>
            <w:tcBorders>
              <w:left w:val="single" w:sz="8" w:color="auto"/>
            </w:tcBorders>
            <w:shd w:val="clear" w:color="auto" w:fill="CCEEFF"/>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7020" w:type="dxa"/>
            <w:vAlign w:val="bottom"/>
            <w:gridSpan w:val="3"/>
          </w:tcPr>
          <w:p>
            <w:pPr>
              <w:spacing w:after="0" w:line="202" w:lineRule="exact"/>
              <w:rPr>
                <w:sz w:val="20"/>
                <w:szCs w:val="20"/>
                <w:color w:val="auto"/>
              </w:rPr>
            </w:pPr>
            <w:r>
              <w:rPr>
                <w:rFonts w:ascii="Arial" w:cs="Arial" w:eastAsia="Arial" w:hAnsi="Arial"/>
                <w:sz w:val="18"/>
                <w:szCs w:val="18"/>
                <w:color w:val="auto"/>
              </w:rPr>
              <w:t>Revenue growth in constant currency</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Borders>
              <w:right w:val="single" w:sz="8" w:color="auto"/>
            </w:tcBorders>
            <w:gridSpan w:val="2"/>
          </w:tcPr>
          <w:p>
            <w:pPr>
              <w:jc w:val="right"/>
              <w:ind w:right="133"/>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70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Organic revenue growth</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tcBorders>
              <w:right w:val="single" w:sz="8" w:color="auto"/>
            </w:tcBorders>
            <w:gridSpan w:val="2"/>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7020" w:type="dxa"/>
            <w:vAlign w:val="bottom"/>
            <w:gridSpan w:val="3"/>
          </w:tcPr>
          <w:p>
            <w:pPr>
              <w:spacing w:after="0" w:line="202" w:lineRule="exact"/>
              <w:rPr>
                <w:sz w:val="20"/>
                <w:szCs w:val="20"/>
                <w:color w:val="auto"/>
              </w:rPr>
            </w:pPr>
            <w:r>
              <w:rPr>
                <w:rFonts w:ascii="Arial" w:cs="Arial" w:eastAsia="Arial" w:hAnsi="Arial"/>
                <w:sz w:val="18"/>
                <w:szCs w:val="18"/>
                <w:color w:val="auto"/>
              </w:rPr>
              <w:t>Adjusted EBITDA</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651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593</w:t>
            </w: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1060" w:type="dxa"/>
            <w:vAlign w:val="bottom"/>
            <w:tcBorders>
              <w:right w:val="single" w:sz="8" w:color="auto"/>
            </w:tcBorders>
            <w:gridSpan w:val="2"/>
          </w:tcPr>
          <w:p>
            <w:pPr>
              <w:jc w:val="right"/>
              <w:ind w:right="133"/>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70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35.8%</w:t>
            </w:r>
          </w:p>
        </w:tc>
        <w:tc>
          <w:tcPr>
            <w:tcW w:w="9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-30bp</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5"/>
              </w:rPr>
              <w:t>-30bp</w:t>
            </w:r>
          </w:p>
        </w:tc>
        <w:tc>
          <w:tcPr>
            <w:tcW w:w="3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7020" w:type="dxa"/>
            <w:vAlign w:val="bottom"/>
            <w:gridSpan w:val="3"/>
          </w:tcPr>
          <w:p>
            <w:pPr>
              <w:spacing w:after="0" w:line="202" w:lineRule="exact"/>
              <w:rPr>
                <w:sz w:val="20"/>
                <w:szCs w:val="20"/>
                <w:color w:val="auto"/>
              </w:rPr>
            </w:pPr>
            <w:r>
              <w:rPr>
                <w:rFonts w:ascii="Arial" w:cs="Arial" w:eastAsia="Arial" w:hAnsi="Arial"/>
                <w:sz w:val="18"/>
                <w:szCs w:val="18"/>
                <w:color w:val="auto"/>
              </w:rPr>
              <w:t>Adjusted EPS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0.81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0.71</w:t>
            </w: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w:t>
            </w:r>
          </w:p>
        </w:tc>
        <w:tc>
          <w:tcPr>
            <w:tcW w:w="1060" w:type="dxa"/>
            <w:vAlign w:val="bottom"/>
            <w:tcBorders>
              <w:right w:val="single" w:sz="8" w:color="auto"/>
            </w:tcBorders>
            <w:gridSpan w:val="2"/>
          </w:tcPr>
          <w:p>
            <w:pPr>
              <w:jc w:val="right"/>
              <w:ind w:right="133"/>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160" w:type="dxa"/>
            <w:vAlign w:val="bottom"/>
            <w:tcBorders>
              <w:left w:val="single" w:sz="8" w:color="auto"/>
            </w:tcBorders>
            <w:shd w:val="clear" w:color="auto" w:fill="CCEEFF"/>
          </w:tcPr>
          <w:p>
            <w:pPr>
              <w:spacing w:after="0"/>
              <w:rPr>
                <w:sz w:val="17"/>
                <w:szCs w:val="17"/>
                <w:color w:val="auto"/>
              </w:rPr>
            </w:pPr>
          </w:p>
        </w:tc>
        <w:tc>
          <w:tcPr>
            <w:tcW w:w="70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Free cash flow</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526</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w:t>
            </w:r>
          </w:p>
        </w:tc>
        <w:tc>
          <w:tcPr>
            <w:tcW w:w="7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10520" w:type="dxa"/>
            <w:vAlign w:val="bottom"/>
            <w:gridSpan w:val="12"/>
          </w:tcPr>
          <w:p>
            <w:pPr>
              <w:spacing w:after="0"/>
              <w:rPr>
                <w:sz w:val="20"/>
                <w:szCs w:val="20"/>
                <w:color w:val="auto"/>
              </w:rPr>
            </w:pPr>
            <w:r>
              <w:rPr>
                <w:rFonts w:ascii="Arial" w:cs="Arial" w:eastAsia="Arial" w:hAnsi="Arial"/>
                <w:sz w:val="14"/>
                <w:szCs w:val="14"/>
                <w:i w:val="1"/>
                <w:iCs w:val="1"/>
                <w:color w:val="auto"/>
              </w:rPr>
              <w:t>(1)   In addition to results reported in accordance with International Financial Reporting Standards (IFRS), the company uses certain non-IFRS financial measures as</w:t>
            </w:r>
          </w:p>
        </w:tc>
        <w:tc>
          <w:tcPr>
            <w:tcW w:w="36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i w:val="1"/>
                <w:iCs w:val="1"/>
                <w:color w:val="auto"/>
                <w:w w:val="73"/>
              </w:rPr>
              <w:t>    </w:t>
            </w: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10520" w:type="dxa"/>
            <w:vAlign w:val="bottom"/>
            <w:gridSpan w:val="12"/>
          </w:tcPr>
          <w:p>
            <w:pPr>
              <w:ind w:left="280"/>
              <w:spacing w:after="0"/>
              <w:rPr>
                <w:sz w:val="20"/>
                <w:szCs w:val="20"/>
                <w:color w:val="auto"/>
              </w:rPr>
            </w:pPr>
            <w:r>
              <w:rPr>
                <w:rFonts w:ascii="Arial" w:cs="Arial" w:eastAsia="Arial" w:hAnsi="Arial"/>
                <w:sz w:val="14"/>
                <w:szCs w:val="14"/>
                <w:i w:val="1"/>
                <w:iCs w:val="1"/>
                <w:color w:val="auto"/>
              </w:rPr>
              <w:t>supplemental indicators of its operating performance and financial position. See the “Non-IFRS Financial Measures” section and the tables appended to this</w:t>
            </w:r>
          </w:p>
        </w:tc>
        <w:tc>
          <w:tcPr>
            <w:tcW w:w="36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i w:val="1"/>
                <w:iCs w:val="1"/>
                <w:color w:val="auto"/>
                <w:w w:val="73"/>
              </w:rPr>
              <w:t>    </w:t>
            </w: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10520" w:type="dxa"/>
            <w:vAlign w:val="bottom"/>
            <w:gridSpan w:val="12"/>
          </w:tcPr>
          <w:p>
            <w:pPr>
              <w:ind w:left="280"/>
              <w:spacing w:after="0"/>
              <w:rPr>
                <w:sz w:val="20"/>
                <w:szCs w:val="20"/>
                <w:color w:val="auto"/>
              </w:rPr>
            </w:pPr>
            <w:r>
              <w:rPr>
                <w:rFonts w:ascii="Arial" w:cs="Arial" w:eastAsia="Arial" w:hAnsi="Arial"/>
                <w:sz w:val="14"/>
                <w:szCs w:val="14"/>
                <w:i w:val="1"/>
                <w:iCs w:val="1"/>
                <w:color w:val="auto"/>
              </w:rPr>
              <w:t>news release for additional information on these and other non-IFRS financial measures, including how they are defined and reconciled to the most directly</w:t>
            </w: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7020" w:type="dxa"/>
            <w:vAlign w:val="bottom"/>
            <w:gridSpan w:val="3"/>
          </w:tcPr>
          <w:p>
            <w:pPr>
              <w:ind w:left="280"/>
              <w:spacing w:after="0"/>
              <w:rPr>
                <w:sz w:val="20"/>
                <w:szCs w:val="20"/>
                <w:color w:val="auto"/>
              </w:rPr>
            </w:pPr>
            <w:r>
              <w:rPr>
                <w:rFonts w:ascii="Arial" w:cs="Arial" w:eastAsia="Arial" w:hAnsi="Arial"/>
                <w:sz w:val="14"/>
                <w:szCs w:val="14"/>
                <w:i w:val="1"/>
                <w:iCs w:val="1"/>
                <w:color w:val="auto"/>
              </w:rPr>
              <w:t>comparable IFRS measures. </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10520" w:type="dxa"/>
            <w:vAlign w:val="bottom"/>
            <w:gridSpan w:val="12"/>
          </w:tcPr>
          <w:p>
            <w:pPr>
              <w:spacing w:after="0"/>
              <w:rPr>
                <w:sz w:val="20"/>
                <w:szCs w:val="20"/>
                <w:color w:val="auto"/>
              </w:rPr>
            </w:pPr>
            <w:r>
              <w:rPr>
                <w:rFonts w:ascii="Arial" w:cs="Arial" w:eastAsia="Arial" w:hAnsi="Arial"/>
                <w:sz w:val="14"/>
                <w:szCs w:val="14"/>
                <w:i w:val="1"/>
                <w:iCs w:val="1"/>
                <w:color w:val="auto"/>
              </w:rPr>
              <w:t>(2)   In the three and nine months ended September 30, 2026, the Global Print business was reported as discontinued operations. Prior-year period amounts have</w:t>
            </w: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0" w:type="dxa"/>
            <w:vAlign w:val="bottom"/>
            <w:tcBorders>
              <w:left w:val="single" w:sz="8" w:color="auto"/>
            </w:tcBorders>
          </w:tcPr>
          <w:p>
            <w:pPr>
              <w:spacing w:after="0"/>
              <w:rPr>
                <w:sz w:val="16"/>
                <w:szCs w:val="16"/>
                <w:color w:val="auto"/>
              </w:rPr>
            </w:pPr>
          </w:p>
        </w:tc>
        <w:tc>
          <w:tcPr>
            <w:tcW w:w="7020" w:type="dxa"/>
            <w:vAlign w:val="bottom"/>
            <w:gridSpan w:val="3"/>
          </w:tcPr>
          <w:p>
            <w:pPr>
              <w:ind w:left="280"/>
              <w:spacing w:after="0"/>
              <w:rPr>
                <w:sz w:val="20"/>
                <w:szCs w:val="20"/>
                <w:color w:val="auto"/>
              </w:rPr>
            </w:pPr>
            <w:r>
              <w:rPr>
                <w:rFonts w:ascii="Arial" w:cs="Arial" w:eastAsia="Arial" w:hAnsi="Arial"/>
                <w:sz w:val="14"/>
                <w:szCs w:val="14"/>
                <w:i w:val="1"/>
                <w:iCs w:val="1"/>
                <w:color w:val="auto"/>
              </w:rPr>
              <w:t>been revised to conform to the current period’s presentation, as appropriate. </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60" w:type="dxa"/>
            <w:vAlign w:val="bottom"/>
            <w:tcBorders>
              <w:left w:val="single" w:sz="8" w:color="auto"/>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2"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34440"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2 of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10% due to 9% growth in recurring revenues (88% of total revenues) and 27% growth in transactions revenues.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and net acquisitions and disposals did not have a significant impact on total company revenue growth.</w:t>
      </w:r>
    </w:p>
    <w:p>
      <w:pPr>
        <w:spacing w:after="0" w:line="99"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Organic revenues increased 10% reflecting 8% growth in recurring revenues and 23% growth in transactions revenues.</w:t>
      </w:r>
    </w:p>
    <w:p>
      <w:pPr>
        <w:spacing w:after="0" w:line="2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The company’s “Big 3” segments reported organic revenue growth of 10% and collectively comprised 88% of total revenues.</w:t>
      </w:r>
    </w:p>
    <w:p>
      <w:pPr>
        <w:spacing w:after="0" w:line="218"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decreased 22% primarily related to a prior-year period other operating gain from the sale of the company’s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minority equity interest in the Elite business, and to a lesser extent, higher amortization of software in the current period, partly offset by the net impact of higher revenues and operating expenses.</w:t>
      </w:r>
    </w:p>
    <w:p>
      <w:pPr>
        <w:spacing w:after="0" w:line="74" w:lineRule="exact"/>
        <w:rPr>
          <w:sz w:val="20"/>
          <w:szCs w:val="20"/>
          <w:color w:val="auto"/>
        </w:rPr>
      </w:pPr>
    </w:p>
    <w:p>
      <w:pPr>
        <w:ind w:left="960" w:hanging="532"/>
        <w:spacing w:after="0" w:line="252" w:lineRule="auto"/>
        <w:tabs>
          <w:tab w:leader="none" w:pos="9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which excludes other operating gains, amortization of software, as well as other adjustments, increased 10% and the related margin decreased to 35.5% from 35.8% in the prior-year period. Foreign currency had no impact on the year-over-year change in adjusted EBITDA margin.</w:t>
      </w:r>
    </w:p>
    <w:p>
      <w:pPr>
        <w:spacing w:after="0" w:line="17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 xml:space="preserve">Diluted EPS </w:t>
      </w:r>
      <w:r>
        <w:rPr>
          <w:rFonts w:ascii="Arial" w:cs="Arial" w:eastAsia="Arial" w:hAnsi="Arial"/>
          <w:sz w:val="18"/>
          <w:szCs w:val="18"/>
          <w:color w:val="auto"/>
        </w:rPr>
        <w:t>decreased to $0.78 per share compared to $0.94 per share in the prior-year period, primarily due to lower operating profit,</w:t>
      </w:r>
      <w:r>
        <w:rPr>
          <w:rFonts w:ascii="Arial" w:cs="Arial" w:eastAsia="Arial" w:hAnsi="Arial"/>
          <w:sz w:val="18"/>
          <w:szCs w:val="18"/>
          <w:b w:val="1"/>
          <w:bCs w:val="1"/>
          <w:color w:val="auto"/>
        </w:rPr>
        <w:t xml:space="preserve"> </w:t>
      </w:r>
      <w:r>
        <w:rPr>
          <w:rFonts w:ascii="Arial" w:cs="Arial" w:eastAsia="Arial" w:hAnsi="Arial"/>
          <w:sz w:val="18"/>
          <w:szCs w:val="18"/>
          <w:color w:val="auto"/>
        </w:rPr>
        <w:t>partly offset by lower income tax expense and a benefit from a reduction in weighted-average common shares outstanding.</w:t>
      </w:r>
    </w:p>
    <w:p>
      <w:pPr>
        <w:spacing w:after="0" w:line="59" w:lineRule="exact"/>
        <w:rPr>
          <w:sz w:val="20"/>
          <w:szCs w:val="20"/>
          <w:color w:val="auto"/>
        </w:rPr>
      </w:pPr>
    </w:p>
    <w:p>
      <w:pPr>
        <w:ind w:left="960" w:right="260" w:hanging="532"/>
        <w:spacing w:after="0" w:line="252" w:lineRule="auto"/>
        <w:tabs>
          <w:tab w:leader="none" w:pos="9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EPS increased to $0.81 per share compared to $0.71 per share in the prior-year period, primarily due to higher adjusted EBITDA and a benefit from a reduction in weighted-average common shares outstanding, partly offset by higher amortization of internally developed software and higher net interest expense.</w:t>
      </w:r>
    </w:p>
    <w:p>
      <w:pPr>
        <w:spacing w:after="0" w:line="171"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b w:val="1"/>
          <w:bCs w:val="1"/>
          <w:color w:val="auto"/>
        </w:rPr>
        <w:t xml:space="preserve">Net cash provided by operating activities </w:t>
      </w:r>
      <w:r>
        <w:rPr>
          <w:rFonts w:ascii="Arial" w:cs="Arial" w:eastAsia="Arial" w:hAnsi="Arial"/>
          <w:sz w:val="17"/>
          <w:szCs w:val="17"/>
          <w:color w:val="auto"/>
        </w:rPr>
        <w:t>decreased by $105 million as higher cash benefits from the net impact of higher revenues</w:t>
      </w:r>
      <w:r>
        <w:rPr>
          <w:rFonts w:ascii="Arial" w:cs="Arial" w:eastAsia="Arial" w:hAnsi="Arial"/>
          <w:sz w:val="17"/>
          <w:szCs w:val="17"/>
          <w:b w:val="1"/>
          <w:bCs w:val="1"/>
          <w:color w:val="auto"/>
        </w:rPr>
        <w:t xml:space="preserve"> </w:t>
      </w:r>
      <w:r>
        <w:rPr>
          <w:rFonts w:ascii="Arial" w:cs="Arial" w:eastAsia="Arial" w:hAnsi="Arial"/>
          <w:sz w:val="17"/>
          <w:szCs w:val="17"/>
          <w:color w:val="auto"/>
        </w:rPr>
        <w:t>and operating expenses were more than offset by certain unfavorable changes in working capital and higher income tax payments.</w:t>
      </w:r>
    </w:p>
    <w:p>
      <w:pPr>
        <w:spacing w:after="0" w:line="36" w:lineRule="exact"/>
        <w:rPr>
          <w:sz w:val="20"/>
          <w:szCs w:val="20"/>
          <w:color w:val="auto"/>
        </w:rPr>
      </w:pPr>
    </w:p>
    <w:p>
      <w:pPr>
        <w:ind w:left="960" w:right="100" w:hanging="532"/>
        <w:spacing w:after="0" w:line="270" w:lineRule="auto"/>
        <w:tabs>
          <w:tab w:leader="none" w:pos="9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Free cash flow decreased by $118 million primarily due to lower net cash provided by operating activities and higher capital expenditures. </w:t>
      </w:r>
    </w:p>
    <w:p>
      <w:pPr>
        <w:sectPr>
          <w:pgSz w:w="11900" w:h="16838" w:orient="portrait"/>
          <w:cols w:equalWidth="0" w:num="1">
            <w:col w:w="10840"/>
          </w:cols>
          <w:pgMar w:left="440" w:top="1106" w:right="6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17295" cy="454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3 of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 by Customer Segment –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7003415" cy="5015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5015230"/>
                    </a:xfrm>
                    <a:prstGeom prst="rect">
                      <a:avLst/>
                    </a:prstGeom>
                    <a:noFill/>
                  </pic:spPr>
                </pic:pic>
              </a:graphicData>
            </a:graphic>
          </wp:anchor>
        </w:drawing>
      </w: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4"/>
          <w:szCs w:val="14"/>
          <w:i w:val="1"/>
          <w:iCs w:val="1"/>
          <w:color w:val="auto"/>
        </w:rPr>
        <w:t>(Millions of U.S. dollars)</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4"/>
          <w:szCs w:val="14"/>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2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640"/>
              <w:spacing w:after="0" w:line="143" w:lineRule="exact"/>
              <w:rPr>
                <w:sz w:val="20"/>
                <w:szCs w:val="20"/>
                <w:color w:val="auto"/>
              </w:rPr>
            </w:pPr>
            <w:r>
              <w:rPr>
                <w:rFonts w:ascii="Arial" w:cs="Arial" w:eastAsia="Arial" w:hAnsi="Arial"/>
                <w:sz w:val="14"/>
                <w:szCs w:val="14"/>
                <w:b w:val="1"/>
                <w:bCs w:val="1"/>
                <w:color w:val="auto"/>
              </w:rPr>
              <w:t>Constant</w:t>
            </w: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82"/>
        </w:trPr>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2026</w:t>
            </w:r>
          </w:p>
        </w:tc>
        <w:tc>
          <w:tcPr>
            <w:tcW w:w="240" w:type="dxa"/>
            <w:vAlign w:val="bottom"/>
          </w:tcPr>
          <w:p>
            <w:pPr>
              <w:spacing w:after="0"/>
              <w:rPr>
                <w:sz w:val="15"/>
                <w:szCs w:val="15"/>
                <w:color w:val="auto"/>
              </w:rPr>
            </w:pPr>
          </w:p>
        </w:tc>
        <w:tc>
          <w:tcPr>
            <w:tcW w:w="760" w:type="dxa"/>
            <w:vAlign w:val="bottom"/>
            <w:gridSpan w:val="3"/>
          </w:tcPr>
          <w:p>
            <w:pPr>
              <w:jc w:val="right"/>
              <w:spacing w:after="0" w:line="175" w:lineRule="exact"/>
              <w:rPr>
                <w:sz w:val="20"/>
                <w:szCs w:val="20"/>
                <w:color w:val="auto"/>
              </w:rPr>
            </w:pPr>
            <w:r>
              <w:rPr>
                <w:rFonts w:ascii="Arial" w:cs="Arial" w:eastAsia="Arial" w:hAnsi="Arial"/>
                <w:sz w:val="14"/>
                <w:szCs w:val="14"/>
                <w:b w:val="1"/>
                <w:bCs w:val="1"/>
                <w:color w:val="auto"/>
              </w:rPr>
              <w:t>2025</w:t>
            </w:r>
            <w:r>
              <w:rPr>
                <w:rFonts w:ascii="Arial" w:cs="Arial" w:eastAsia="Arial" w:hAnsi="Arial"/>
                <w:sz w:val="20"/>
                <w:szCs w:val="20"/>
                <w:b w:val="1"/>
                <w:bCs w:val="1"/>
                <w:color w:val="auto"/>
                <w:vertAlign w:val="superscript"/>
              </w:rPr>
              <w:t>(2)</w:t>
            </w:r>
          </w:p>
        </w:tc>
        <w:tc>
          <w:tcPr>
            <w:tcW w:w="44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340" w:type="dxa"/>
            <w:vAlign w:val="bottom"/>
            <w:gridSpan w:val="2"/>
          </w:tcPr>
          <w:p>
            <w:pPr>
              <w:jc w:val="right"/>
              <w:ind w:right="560"/>
              <w:spacing w:after="0" w:line="175" w:lineRule="exact"/>
              <w:rPr>
                <w:sz w:val="20"/>
                <w:szCs w:val="20"/>
                <w:color w:val="auto"/>
              </w:rPr>
            </w:pPr>
            <w:r>
              <w:rPr>
                <w:rFonts w:ascii="Arial" w:cs="Arial" w:eastAsia="Arial" w:hAnsi="Arial"/>
                <w:sz w:val="14"/>
                <w:szCs w:val="14"/>
                <w:b w:val="1"/>
                <w:bCs w:val="1"/>
                <w:color w:val="auto"/>
                <w:w w:val="97"/>
              </w:rPr>
              <w:t>Currency</w:t>
            </w:r>
            <w:r>
              <w:rPr>
                <w:rFonts w:ascii="Arial" w:cs="Arial" w:eastAsia="Arial" w:hAnsi="Arial"/>
                <w:sz w:val="20"/>
                <w:szCs w:val="20"/>
                <w:b w:val="1"/>
                <w:bCs w:val="1"/>
                <w:color w:val="auto"/>
                <w:w w:val="97"/>
                <w:vertAlign w:val="superscript"/>
              </w:rPr>
              <w:t>(1)</w:t>
            </w:r>
          </w:p>
        </w:tc>
        <w:tc>
          <w:tcPr>
            <w:tcW w:w="1080" w:type="dxa"/>
            <w:vAlign w:val="bottom"/>
            <w:gridSpan w:val="2"/>
          </w:tcPr>
          <w:p>
            <w:pPr>
              <w:jc w:val="right"/>
              <w:ind w:right="260"/>
              <w:spacing w:after="0" w:line="175" w:lineRule="exact"/>
              <w:rPr>
                <w:sz w:val="20"/>
                <w:szCs w:val="20"/>
                <w:color w:val="auto"/>
              </w:rPr>
            </w:pPr>
            <w:r>
              <w:rPr>
                <w:rFonts w:ascii="Arial" w:cs="Arial" w:eastAsia="Arial" w:hAnsi="Arial"/>
                <w:sz w:val="14"/>
                <w:szCs w:val="14"/>
                <w:b w:val="1"/>
                <w:bCs w:val="1"/>
                <w:color w:val="auto"/>
                <w:w w:val="93"/>
              </w:rPr>
              <w:t>Organic</w:t>
            </w:r>
            <w:r>
              <w:rPr>
                <w:rFonts w:ascii="Arial" w:cs="Arial" w:eastAsia="Arial" w:hAnsi="Arial"/>
                <w:sz w:val="20"/>
                <w:szCs w:val="20"/>
                <w:b w:val="1"/>
                <w:bCs w:val="1"/>
                <w:color w:val="auto"/>
                <w:w w:val="93"/>
                <w:vertAlign w:val="superscript"/>
              </w:rPr>
              <w:t>(1)(3)</w:t>
            </w:r>
          </w:p>
        </w:tc>
      </w:tr>
      <w:tr>
        <w:trPr>
          <w:trHeight w:val="203"/>
        </w:trPr>
        <w:tc>
          <w:tcPr>
            <w:tcW w:w="16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1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Legal Professionals</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788</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721</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w:t>
            </w:r>
          </w:p>
        </w:tc>
      </w:tr>
      <w:tr>
        <w:trPr>
          <w:trHeight w:val="203"/>
        </w:trPr>
        <w:tc>
          <w:tcPr>
            <w:tcW w:w="16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544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489</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w:t>
            </w:r>
          </w:p>
        </w:tc>
      </w:tr>
      <w:tr>
        <w:trPr>
          <w:trHeight w:val="203"/>
        </w:trPr>
        <w:tc>
          <w:tcPr>
            <w:tcW w:w="160" w:type="dxa"/>
            <w:vAlign w:val="bottom"/>
          </w:tcPr>
          <w:p>
            <w:pPr>
              <w:spacing w:after="0"/>
              <w:rPr>
                <w:sz w:val="17"/>
                <w:szCs w:val="17"/>
                <w:color w:val="auto"/>
              </w:rPr>
            </w:pPr>
          </w:p>
        </w:tc>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247</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10%</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w:t>
            </w:r>
          </w:p>
        </w:tc>
      </w:tr>
      <w:tr>
        <w:trPr>
          <w:trHeight w:val="27"/>
        </w:trPr>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16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1,608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1,457</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w:t>
            </w:r>
          </w:p>
        </w:tc>
      </w:tr>
      <w:tr>
        <w:trPr>
          <w:trHeight w:val="203"/>
        </w:trPr>
        <w:tc>
          <w:tcPr>
            <w:tcW w:w="160" w:type="dxa"/>
            <w:vAlign w:val="bottom"/>
          </w:tcPr>
          <w:p>
            <w:pPr>
              <w:spacing w:after="0"/>
              <w:rPr>
                <w:sz w:val="17"/>
                <w:szCs w:val="17"/>
                <w:color w:val="auto"/>
              </w:rPr>
            </w:pPr>
          </w:p>
        </w:tc>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Reuters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207</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13%</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w:t>
            </w:r>
          </w:p>
        </w:tc>
      </w:tr>
      <w:tr>
        <w:trPr>
          <w:trHeight w:val="203"/>
        </w:trPr>
        <w:tc>
          <w:tcPr>
            <w:tcW w:w="16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Eliminations/Rounding</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9"/>
        </w:trPr>
        <w:tc>
          <w:tcPr>
            <w:tcW w:w="1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1,658</w:t>
            </w:r>
          </w:p>
        </w:tc>
        <w:tc>
          <w:tcPr>
            <w:tcW w:w="4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w:t>
            </w:r>
          </w:p>
        </w:tc>
      </w:tr>
      <w:tr>
        <w:trPr>
          <w:trHeight w:val="20"/>
        </w:trPr>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9"/>
        </w:trPr>
        <w:tc>
          <w:tcPr>
            <w:tcW w:w="160" w:type="dxa"/>
            <w:vAlign w:val="bottom"/>
            <w:shd w:val="clear" w:color="auto" w:fill="CCEEFF"/>
          </w:tcPr>
          <w:p>
            <w:pPr>
              <w:spacing w:after="0"/>
              <w:rPr>
                <w:sz w:val="14"/>
                <w:szCs w:val="14"/>
                <w:color w:val="auto"/>
              </w:rPr>
            </w:pPr>
          </w:p>
        </w:tc>
        <w:tc>
          <w:tcPr>
            <w:tcW w:w="4200" w:type="dxa"/>
            <w:vAlign w:val="bottom"/>
            <w:gridSpan w:val="2"/>
            <w:shd w:val="clear" w:color="auto" w:fill="CCEEFF"/>
          </w:tcPr>
          <w:p>
            <w:pPr>
              <w:spacing w:after="0" w:line="170"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9"/>
                <w:szCs w:val="19"/>
                <w:color w:val="auto"/>
                <w:vertAlign w:val="superscript"/>
              </w:rPr>
              <w:t>(1)</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27"/>
        </w:trPr>
        <w:tc>
          <w:tcPr>
            <w:tcW w:w="16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r>
        <w:trPr>
          <w:trHeight w:val="203"/>
        </w:trPr>
        <w:tc>
          <w:tcPr>
            <w:tcW w:w="160" w:type="dxa"/>
            <w:vAlign w:val="bottom"/>
          </w:tcPr>
          <w:p>
            <w:pPr>
              <w:spacing w:after="0"/>
              <w:rPr>
                <w:sz w:val="17"/>
                <w:szCs w:val="17"/>
                <w:color w:val="auto"/>
              </w:rPr>
            </w:pPr>
          </w:p>
        </w:tc>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Legal Professionals</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368</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353</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16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177</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76</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7"/>
        </w:trPr>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16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606</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Reuters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42</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37%</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37%</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16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Corporate Center</w:t>
            </w:r>
            <w:r>
              <w:rPr>
                <w:rFonts w:ascii="Arial" w:cs="Arial" w:eastAsia="Arial" w:hAnsi="Arial"/>
                <w:sz w:val="23"/>
                <w:szCs w:val="23"/>
                <w:color w:val="auto"/>
                <w:vertAlign w:val="superscript"/>
              </w:rPr>
              <w:t>(4)</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(55)</w:t>
            </w: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020"/>
          </w:cols>
          <w:pgMar w:left="440" w:top="1093" w:right="439" w:bottom="1440" w:gutter="0" w:footer="0" w:header="0"/>
        </w:sectPr>
      </w:pPr>
    </w:p>
    <w:tbl>
      <w:tblPr>
        <w:tblLayout w:type="fixed"/>
        <w:tblInd w:w="160" w:type="dxa"/>
        <w:tblCellMar>
          <w:top w:w="0" w:type="dxa"/>
          <w:left w:w="0" w:type="dxa"/>
          <w:bottom w:w="0" w:type="dxa"/>
          <w:right w:w="0" w:type="dxa"/>
        </w:tblCellMar>
      </w:tblPr>
      <w:tr>
        <w:trPr>
          <w:trHeight w:val="216"/>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 Adjusted EBITDA</w:t>
            </w:r>
          </w:p>
        </w:tc>
        <w:tc>
          <w:tcPr>
            <w:tcW w:w="20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  651</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  593</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10%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line="210" w:lineRule="exact"/>
              <w:rPr>
                <w:sz w:val="20"/>
                <w:szCs w:val="20"/>
                <w:color w:val="auto"/>
              </w:rPr>
            </w:pPr>
            <w:r>
              <w:rPr>
                <w:rFonts w:ascii="Arial" w:cs="Arial" w:eastAsia="Arial" w:hAnsi="Arial"/>
                <w:sz w:val="17"/>
                <w:szCs w:val="17"/>
                <w:b w:val="1"/>
                <w:bCs w:val="1"/>
                <w:color w:val="auto"/>
              </w:rPr>
              <w:t>Adjusted EBITDA Margin</w:t>
            </w:r>
            <w:r>
              <w:rPr>
                <w:rFonts w:ascii="Arial" w:cs="Arial" w:eastAsia="Arial" w:hAnsi="Arial"/>
                <w:sz w:val="24"/>
                <w:szCs w:val="24"/>
                <w:color w:val="auto"/>
                <w:vertAlign w:val="superscript"/>
              </w:rPr>
              <w:t>(1)</w:t>
            </w:r>
          </w:p>
        </w:tc>
        <w:tc>
          <w:tcPr>
            <w:tcW w:w="1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gridSpan w:val="2"/>
            <w:vMerge w:val="continue"/>
          </w:tcPr>
          <w:p>
            <w:pPr>
              <w:spacing w:after="0"/>
              <w:rPr>
                <w:sz w:val="14"/>
                <w:szCs w:val="14"/>
                <w:color w:val="auto"/>
              </w:rPr>
            </w:pPr>
          </w:p>
        </w:tc>
        <w:tc>
          <w:tcPr>
            <w:tcW w:w="204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46.6%</w:t>
            </w:r>
          </w:p>
        </w:tc>
        <w:tc>
          <w:tcPr>
            <w:tcW w:w="10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49.0%</w:t>
            </w:r>
          </w:p>
        </w:tc>
        <w:tc>
          <w:tcPr>
            <w:tcW w:w="1120" w:type="dxa"/>
            <w:vAlign w:val="bottom"/>
            <w:vMerge w:val="restart"/>
          </w:tcPr>
          <w:p>
            <w:pPr>
              <w:jc w:val="right"/>
              <w:ind w:right="310"/>
              <w:spacing w:after="0"/>
              <w:rPr>
                <w:sz w:val="20"/>
                <w:szCs w:val="20"/>
                <w:color w:val="auto"/>
              </w:rPr>
            </w:pPr>
            <w:r>
              <w:rPr>
                <w:rFonts w:ascii="Arial" w:cs="Arial" w:eastAsia="Arial" w:hAnsi="Arial"/>
                <w:sz w:val="18"/>
                <w:szCs w:val="18"/>
                <w:color w:val="auto"/>
              </w:rPr>
              <w:t>-240bp</w:t>
            </w:r>
          </w:p>
        </w:tc>
        <w:tc>
          <w:tcPr>
            <w:tcW w:w="960" w:type="dxa"/>
            <w:vAlign w:val="bottom"/>
            <w:vMerge w:val="restart"/>
          </w:tcPr>
          <w:p>
            <w:pPr>
              <w:jc w:val="right"/>
              <w:ind w:right="70"/>
              <w:spacing w:after="0"/>
              <w:rPr>
                <w:sz w:val="20"/>
                <w:szCs w:val="20"/>
                <w:color w:val="auto"/>
              </w:rPr>
            </w:pPr>
            <w:r>
              <w:rPr>
                <w:rFonts w:ascii="Arial" w:cs="Arial" w:eastAsia="Arial" w:hAnsi="Arial"/>
                <w:sz w:val="18"/>
                <w:szCs w:val="18"/>
                <w:color w:val="auto"/>
              </w:rPr>
              <w:t>-250bp</w:t>
            </w:r>
          </w:p>
        </w:tc>
        <w:tc>
          <w:tcPr>
            <w:tcW w:w="0" w:type="dxa"/>
            <w:vAlign w:val="bottom"/>
          </w:tcPr>
          <w:p>
            <w:pPr>
              <w:spacing w:after="0"/>
              <w:rPr>
                <w:sz w:val="1"/>
                <w:szCs w:val="1"/>
                <w:color w:val="auto"/>
              </w:rPr>
            </w:pPr>
          </w:p>
        </w:tc>
      </w:tr>
      <w:tr>
        <w:trPr>
          <w:trHeight w:val="191"/>
        </w:trPr>
        <w:tc>
          <w:tcPr>
            <w:tcW w:w="21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Legal Professionals</w:t>
            </w:r>
          </w:p>
        </w:tc>
        <w:tc>
          <w:tcPr>
            <w:tcW w:w="2080" w:type="dxa"/>
            <w:vAlign w:val="bottom"/>
          </w:tcPr>
          <w:p>
            <w:pPr>
              <w:spacing w:after="0"/>
              <w:rPr>
                <w:sz w:val="16"/>
                <w:szCs w:val="16"/>
                <w:color w:val="auto"/>
              </w:rPr>
            </w:pPr>
          </w:p>
        </w:tc>
        <w:tc>
          <w:tcPr>
            <w:tcW w:w="2040" w:type="dxa"/>
            <w:vAlign w:val="bottom"/>
            <w:gridSpan w:val="3"/>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Corporates</w:t>
            </w:r>
          </w:p>
        </w:tc>
        <w:tc>
          <w:tcPr>
            <w:tcW w:w="20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36.2%</w:t>
            </w:r>
          </w:p>
        </w:tc>
        <w:tc>
          <w:tcPr>
            <w:tcW w:w="10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36.3%</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-40bp</w:t>
            </w:r>
          </w:p>
        </w:tc>
        <w:tc>
          <w:tcPr>
            <w:tcW w:w="0" w:type="dxa"/>
            <w:vAlign w:val="bottom"/>
          </w:tcPr>
          <w:p>
            <w:pPr>
              <w:spacing w:after="0"/>
              <w:rPr>
                <w:sz w:val="1"/>
                <w:szCs w:val="1"/>
                <w:color w:val="auto"/>
              </w:rPr>
            </w:pPr>
          </w:p>
        </w:tc>
      </w:tr>
      <w:tr>
        <w:trPr>
          <w:trHeight w:val="202"/>
        </w:trPr>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20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30.2%</w:t>
            </w:r>
          </w:p>
        </w:tc>
        <w:tc>
          <w:tcPr>
            <w:tcW w:w="10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30.6%</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-40bp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-70bp</w:t>
            </w:r>
          </w:p>
        </w:tc>
        <w:tc>
          <w:tcPr>
            <w:tcW w:w="0" w:type="dxa"/>
            <w:vAlign w:val="bottom"/>
          </w:tcPr>
          <w:p>
            <w:pPr>
              <w:spacing w:after="0"/>
              <w:rPr>
                <w:sz w:val="1"/>
                <w:szCs w:val="1"/>
                <w:color w:val="auto"/>
              </w:rPr>
            </w:pPr>
          </w:p>
        </w:tc>
      </w:tr>
      <w:tr>
        <w:trPr>
          <w:trHeight w:val="203"/>
        </w:trPr>
        <w:tc>
          <w:tcPr>
            <w:tcW w:w="4200" w:type="dxa"/>
            <w:vAlign w:val="bottom"/>
            <w:gridSpan w:val="2"/>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20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40.3%</w:t>
            </w:r>
          </w:p>
        </w:tc>
        <w:tc>
          <w:tcPr>
            <w:tcW w:w="10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41.7%</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-140bp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-150bp</w:t>
            </w:r>
          </w:p>
        </w:tc>
        <w:tc>
          <w:tcPr>
            <w:tcW w:w="0" w:type="dxa"/>
            <w:vAlign w:val="bottom"/>
          </w:tcPr>
          <w:p>
            <w:pPr>
              <w:spacing w:after="0"/>
              <w:rPr>
                <w:sz w:val="1"/>
                <w:szCs w:val="1"/>
                <w:color w:val="auto"/>
              </w:rPr>
            </w:pPr>
          </w:p>
        </w:tc>
      </w:tr>
      <w:tr>
        <w:trPr>
          <w:trHeight w:val="203"/>
        </w:trPr>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Reuters</w:t>
            </w:r>
          </w:p>
        </w:tc>
        <w:tc>
          <w:tcPr>
            <w:tcW w:w="20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24.3%</w:t>
            </w:r>
          </w:p>
        </w:tc>
        <w:tc>
          <w:tcPr>
            <w:tcW w:w="10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19.9%</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440bp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450bp</w:t>
            </w:r>
          </w:p>
        </w:tc>
        <w:tc>
          <w:tcPr>
            <w:tcW w:w="0" w:type="dxa"/>
            <w:vAlign w:val="bottom"/>
          </w:tcPr>
          <w:p>
            <w:pPr>
              <w:spacing w:after="0"/>
              <w:rPr>
                <w:sz w:val="1"/>
                <w:szCs w:val="1"/>
                <w:color w:val="auto"/>
              </w:rPr>
            </w:pPr>
          </w:p>
        </w:tc>
      </w:tr>
      <w:tr>
        <w:trPr>
          <w:trHeight w:val="247"/>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 Adjusted EBITDA Margin</w:t>
            </w:r>
          </w:p>
        </w:tc>
        <w:tc>
          <w:tcPr>
            <w:tcW w:w="20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35.5%</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35.8%</w:t>
            </w: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-30bp</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-30bp</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40" w:right="60" w:hanging="287"/>
        <w:spacing w:after="0" w:line="245" w:lineRule="auto"/>
        <w:rPr>
          <w:sz w:val="20"/>
          <w:szCs w:val="20"/>
          <w:color w:val="auto"/>
        </w:rPr>
      </w:pPr>
      <w:r>
        <w:rPr>
          <w:rFonts w:ascii="Arial" w:cs="Arial" w:eastAsia="Arial" w:hAnsi="Arial"/>
          <w:sz w:val="14"/>
          <w:szCs w:val="14"/>
          <w:i w:val="1"/>
          <w:iCs w:val="1"/>
          <w:color w:val="auto"/>
        </w:rPr>
        <w:t>(1)   The company uses certain non-IFRS financial measures as supplemental indicators of its operating performance and financial position. See the “Non-IFRS Financial Measures” section and the tables appended to this news release for additional information on these and other non-IFRS financial measures, including how they are defined and reconciled to the most directly comparable IFRS measures. To compute segment and consolidated adjusted EBITDA margin, the company excludes fair value adjustments related to acquired deferred revenue. </w:t>
      </w:r>
    </w:p>
    <w:p>
      <w:pPr>
        <w:spacing w:after="0" w:line="3" w:lineRule="exact"/>
        <w:rPr>
          <w:sz w:val="20"/>
          <w:szCs w:val="20"/>
          <w:color w:val="auto"/>
        </w:rPr>
      </w:pPr>
    </w:p>
    <w:p>
      <w:pPr>
        <w:ind w:left="440" w:hanging="287"/>
        <w:spacing w:after="0" w:line="241" w:lineRule="auto"/>
        <w:rPr>
          <w:sz w:val="20"/>
          <w:szCs w:val="20"/>
          <w:color w:val="auto"/>
        </w:rPr>
      </w:pPr>
      <w:r>
        <w:rPr>
          <w:rFonts w:ascii="Arial" w:cs="Arial" w:eastAsia="Arial" w:hAnsi="Arial"/>
          <w:sz w:val="14"/>
          <w:szCs w:val="14"/>
          <w:i w:val="1"/>
          <w:iCs w:val="1"/>
          <w:color w:val="auto"/>
        </w:rPr>
        <w:t>(2)   For comparative purposes, 2025 segment results have been revised to reflect the current period presentation. For additional information, including a summary of how the changes impacted results for the three and nine months ended September 30, 2025, see the “Revision to Prior-Year Results” section of this news release. </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(3)   Computed for revenue growth only. </w:t>
      </w:r>
    </w:p>
    <w:p>
      <w:pPr>
        <w:spacing w:after="0" w:line="1" w:lineRule="exact"/>
        <w:rPr>
          <w:sz w:val="20"/>
          <w:szCs w:val="20"/>
          <w:color w:val="auto"/>
        </w:rPr>
      </w:pPr>
    </w:p>
    <w:p>
      <w:pPr>
        <w:ind w:left="160" w:right="460"/>
        <w:spacing w:after="0" w:line="264" w:lineRule="auto"/>
        <w:rPr>
          <w:sz w:val="20"/>
          <w:szCs w:val="20"/>
          <w:color w:val="auto"/>
        </w:rPr>
      </w:pPr>
      <w:r>
        <w:rPr>
          <w:rFonts w:ascii="Arial" w:cs="Arial" w:eastAsia="Arial" w:hAnsi="Arial"/>
          <w:sz w:val="14"/>
          <w:szCs w:val="14"/>
          <w:i w:val="1"/>
          <w:iCs w:val="1"/>
          <w:color w:val="auto"/>
        </w:rPr>
        <w:t>(4)   Corporate Center includes costs for centrally managed functions and certain content and editorial costs associated with our former Global Print business. n/a:  not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5" w:hanging="65"/>
        <w:spacing w:after="0"/>
        <w:tabs>
          <w:tab w:leader="none" w:pos="65"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36" w:lineRule="exact"/>
        <w:rPr>
          <w:rFonts w:ascii="Arial" w:cs="Arial" w:eastAsia="Arial" w:hAnsi="Arial"/>
          <w:sz w:val="12"/>
          <w:szCs w:val="12"/>
          <w:i w:val="1"/>
          <w:iCs w:val="1"/>
          <w:color w:val="auto"/>
        </w:rPr>
      </w:pPr>
    </w:p>
    <w:p>
      <w:pPr>
        <w:ind w:left="65" w:hanging="65"/>
        <w:spacing w:after="0"/>
        <w:tabs>
          <w:tab w:leader="none" w:pos="65"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24" w:lineRule="exact"/>
        <w:rPr>
          <w:rFonts w:ascii="Arial" w:cs="Arial" w:eastAsia="Arial" w:hAnsi="Arial"/>
          <w:sz w:val="12"/>
          <w:szCs w:val="12"/>
          <w:i w:val="1"/>
          <w:iCs w:val="1"/>
          <w:color w:val="auto"/>
        </w:rPr>
      </w:pPr>
    </w:p>
    <w:p>
      <w:pPr>
        <w:ind w:left="65" w:hanging="65"/>
        <w:spacing w:after="0"/>
        <w:tabs>
          <w:tab w:leader="none" w:pos="65"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24" w:lineRule="exact"/>
        <w:rPr>
          <w:rFonts w:ascii="Arial" w:cs="Arial" w:eastAsia="Arial" w:hAnsi="Arial"/>
          <w:sz w:val="12"/>
          <w:szCs w:val="12"/>
          <w:i w:val="1"/>
          <w:iCs w:val="1"/>
          <w:color w:val="auto"/>
        </w:rPr>
      </w:pPr>
    </w:p>
    <w:p>
      <w:pPr>
        <w:ind w:left="65" w:hanging="65"/>
        <w:spacing w:after="0"/>
        <w:tabs>
          <w:tab w:leader="none" w:pos="65"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24" w:lineRule="exact"/>
        <w:rPr>
          <w:rFonts w:ascii="Arial" w:cs="Arial" w:eastAsia="Arial" w:hAnsi="Arial"/>
          <w:sz w:val="12"/>
          <w:szCs w:val="12"/>
          <w:i w:val="1"/>
          <w:iCs w:val="1"/>
          <w:color w:val="auto"/>
        </w:rPr>
      </w:pPr>
    </w:p>
    <w:p>
      <w:pPr>
        <w:ind w:left="5"/>
        <w:spacing w:after="0"/>
        <w:rPr>
          <w:rFonts w:ascii="Arial" w:cs="Arial" w:eastAsia="Arial" w:hAnsi="Arial"/>
          <w:sz w:val="12"/>
          <w:szCs w:val="12"/>
          <w:i w:val="1"/>
          <w:iCs w:val="1"/>
          <w:color w:val="auto"/>
        </w:rPr>
      </w:pPr>
      <w:r>
        <w:rPr>
          <w:rFonts w:ascii="Arial" w:cs="Arial" w:eastAsia="Arial" w:hAnsi="Arial"/>
          <w:sz w:val="14"/>
          <w:szCs w:val="14"/>
          <w:i w:val="1"/>
          <w:iCs w:val="1"/>
          <w:color w:val="auto"/>
        </w:rPr>
        <w:t>   </w:t>
      </w:r>
    </w:p>
    <w:p>
      <w:pPr>
        <w:sectPr>
          <w:pgSz w:w="11900" w:h="16838" w:orient="portrait"/>
          <w:cols w:equalWidth="0" w:num="2">
            <w:col w:w="10620" w:space="135"/>
            <w:col w:w="265"/>
          </w:cols>
          <w:pgMar w:left="440" w:top="1093" w:right="4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34440" cy="462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4 of 23</w:t>
      </w:r>
    </w:p>
    <w:p>
      <w:pPr>
        <w:spacing w:after="0" w:line="223"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i w:val="1"/>
          <w:iCs w:val="1"/>
          <w:color w:val="auto"/>
        </w:rPr>
        <w:t xml:space="preserve">Unless otherwise noted, all revenue growth comparisons by customer segment in this news release are at </w:t>
      </w:r>
      <w:r>
        <w:rPr>
          <w:rFonts w:ascii="Arial" w:cs="Arial" w:eastAsia="Arial" w:hAnsi="Arial"/>
          <w:sz w:val="18"/>
          <w:szCs w:val="18"/>
          <w:b w:val="1"/>
          <w:bCs w:val="1"/>
          <w:i w:val="1"/>
          <w:iCs w:val="1"/>
          <w:u w:val="single" w:color="auto"/>
          <w:color w:val="auto"/>
        </w:rPr>
        <w:t>constant currency</w:t>
      </w:r>
      <w:r>
        <w:rPr>
          <w:rFonts w:ascii="Arial" w:cs="Arial" w:eastAsia="Arial" w:hAnsi="Arial"/>
          <w:sz w:val="18"/>
          <w:szCs w:val="18"/>
          <w:i w:val="1"/>
          <w:iCs w:val="1"/>
          <w:color w:val="auto"/>
        </w:rPr>
        <w:t xml:space="preserve"> (which excludes the impact of foreign currency) as the company believes this provides the best basis to measure performance.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Professionals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9% at constant currency, all organic.</w:t>
      </w:r>
    </w:p>
    <w:p>
      <w:pPr>
        <w:spacing w:after="0" w:line="117" w:lineRule="exact"/>
        <w:rPr>
          <w:sz w:val="20"/>
          <w:szCs w:val="20"/>
          <w:color w:val="auto"/>
        </w:rPr>
      </w:pPr>
    </w:p>
    <w:p>
      <w:pPr>
        <w:ind w:left="960" w:right="140" w:hanging="532"/>
        <w:spacing w:after="0" w:line="244" w:lineRule="auto"/>
        <w:tabs>
          <w:tab w:leader="none" w:pos="9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Recurring revenues increased 9% (97% of total, all organic). Organic revenue growth was primarily driven by Westlaw and CoCounsel Legal.</w:t>
      </w:r>
    </w:p>
    <w:p>
      <w:pPr>
        <w:spacing w:after="0" w:line="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revenues increased 20% (3% of total, all organic) primarily driven by CLEAR.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4% to $368 million.</w:t>
      </w:r>
    </w:p>
    <w:p>
      <w:pPr>
        <w:spacing w:after="0" w:line="117" w:lineRule="exact"/>
        <w:rPr>
          <w:sz w:val="20"/>
          <w:szCs w:val="20"/>
          <w:color w:val="auto"/>
        </w:rPr>
      </w:pPr>
    </w:p>
    <w:p>
      <w:pPr>
        <w:ind w:left="960" w:hanging="532"/>
        <w:spacing w:after="0"/>
        <w:tabs>
          <w:tab w:leader="none" w:pos="9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margin decreased to 46.6% from 49.0%, reflecting higher technology and other costs.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11% at constant currency. Organic revenue growth was 10%.</w:t>
      </w:r>
    </w:p>
    <w:p>
      <w:pPr>
        <w:spacing w:after="0" w:line="117" w:lineRule="exact"/>
        <w:rPr>
          <w:sz w:val="20"/>
          <w:szCs w:val="20"/>
          <w:color w:val="auto"/>
        </w:rPr>
      </w:pPr>
    </w:p>
    <w:p>
      <w:pPr>
        <w:ind w:left="960" w:right="280" w:hanging="532"/>
        <w:spacing w:after="0" w:line="244" w:lineRule="auto"/>
        <w:tabs>
          <w:tab w:leader="none" w:pos="9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Recurring revenues increased 8% (86% of total, all organic). Organic revenue growth was primarily driven by CoCounsel Legal, Pagero, CLEAR and the segment’s international businesses.</w:t>
      </w:r>
    </w:p>
    <w:p>
      <w:pPr>
        <w:spacing w:after="0" w:line="1" w:lineRule="exact"/>
        <w:rPr>
          <w:rFonts w:ascii="Times New Roman" w:cs="Times New Roman" w:eastAsia="Times New Roman" w:hAnsi="Times New Roman"/>
          <w:sz w:val="18"/>
          <w:szCs w:val="18"/>
          <w:color w:val="auto"/>
        </w:rPr>
      </w:pPr>
    </w:p>
    <w:p>
      <w:pPr>
        <w:ind w:left="960" w:right="20" w:hanging="532"/>
        <w:spacing w:after="0" w:line="249" w:lineRule="auto"/>
        <w:tabs>
          <w:tab w:leader="none" w:pos="9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revenues increased 32% (14% of total, 23% organic). Organic revenue growth was primarily driven by Pagero, Indirect Tax, Additive, and the segment’s international businesses.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11% to $197 million.</w:t>
      </w:r>
    </w:p>
    <w:p>
      <w:pPr>
        <w:spacing w:after="0" w:line="117" w:lineRule="exact"/>
        <w:rPr>
          <w:sz w:val="20"/>
          <w:szCs w:val="20"/>
          <w:color w:val="auto"/>
        </w:rPr>
      </w:pPr>
    </w:p>
    <w:p>
      <w:pPr>
        <w:ind w:left="960" w:right="320" w:hanging="532"/>
        <w:spacing w:after="0" w:line="270" w:lineRule="auto"/>
        <w:tabs>
          <w:tab w:leader="none" w:pos="9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margin decreased to 36.2% from 36.3%. Foreign currency benefited the year-over-year change in adjusted EBITDA margin by 30 basis points.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Audit &amp; Accounting Professionals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10% at constant currency, all organic.</w:t>
      </w:r>
    </w:p>
    <w:p>
      <w:pPr>
        <w:spacing w:after="0" w:line="117" w:lineRule="exact"/>
        <w:rPr>
          <w:sz w:val="20"/>
          <w:szCs w:val="20"/>
          <w:color w:val="auto"/>
        </w:rPr>
      </w:pPr>
    </w:p>
    <w:p>
      <w:pPr>
        <w:ind w:left="960" w:right="40" w:hanging="532"/>
        <w:spacing w:after="0" w:line="241" w:lineRule="auto"/>
        <w:tabs>
          <w:tab w:leader="none" w:pos="9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Recurring revenues increased 10% (73% of total, all organic). Organic revenue growth was primarily driven by tax and audit products, including GoSystem, CoCounsel Tax, Audit &amp; Accounting, Cloud Audit Suite, and the segment’s Latin America business.</w:t>
      </w:r>
    </w:p>
    <w:p>
      <w:pPr>
        <w:spacing w:after="0" w:line="1" w:lineRule="exact"/>
        <w:rPr>
          <w:rFonts w:ascii="Times New Roman" w:cs="Times New Roman" w:eastAsia="Times New Roman" w:hAnsi="Times New Roman"/>
          <w:sz w:val="18"/>
          <w:szCs w:val="18"/>
          <w:color w:val="auto"/>
        </w:rPr>
      </w:pPr>
    </w:p>
    <w:p>
      <w:pPr>
        <w:ind w:left="960" w:hanging="532"/>
        <w:spacing w:after="0" w:line="249" w:lineRule="auto"/>
        <w:tabs>
          <w:tab w:leader="none" w:pos="9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revenues increased 11% (27% of total, all organic). Organic revenue growth was primarily driven by SafeSend, SurePrep and Additive.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10% to $83 million.</w:t>
      </w:r>
    </w:p>
    <w:p>
      <w:pPr>
        <w:spacing w:after="0" w:line="117" w:lineRule="exact"/>
        <w:rPr>
          <w:sz w:val="20"/>
          <w:szCs w:val="20"/>
          <w:color w:val="auto"/>
        </w:rPr>
      </w:pPr>
    </w:p>
    <w:p>
      <w:pPr>
        <w:ind w:left="960" w:right="320" w:hanging="532"/>
        <w:spacing w:after="0" w:line="270" w:lineRule="auto"/>
        <w:tabs>
          <w:tab w:leader="none" w:pos="9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margin decreased to 30.2% from 30.6%. Foreign currency benefited the year-over-year change in adjusted EBITDA margin by 30 basis points.</w:t>
      </w:r>
    </w:p>
    <w:p>
      <w:pPr>
        <w:spacing w:after="0" w:line="15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The Tax, Audit &amp; Accounting Professionals segment is the company’s most seasonal business with approximately 60% of full-year revenues typically generated in the first and fourth quarters. As a result, the margin performance of this segment has been generally higher in the first and fourth quarters as costs are typically incurred in a more linear fashion throughout the year.</w:t>
      </w:r>
    </w:p>
    <w:p>
      <w:pPr>
        <w:sectPr>
          <w:pgSz w:w="11900" w:h="16838" w:orient="portrait"/>
          <w:cols w:equalWidth="0" w:num="1">
            <w:col w:w="10840"/>
          </w:cols>
          <w:pgMar w:left="440" w:top="1106" w:right="6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17295" cy="454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5 of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Reuters</w:t>
      </w:r>
    </w:p>
    <w:p>
      <w:pPr>
        <w:spacing w:after="0" w:line="104"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13% at constant currency (12% organic), primarily due to higher generative AI content licensing revenues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were largely transactional in nature as well as higher Agency and Professional revenues, and a contractual price increase from the company’s news agreement with the Data &amp; Analytics business of London Stock Exchange Group.</w:t>
      </w:r>
    </w:p>
    <w:p>
      <w:pPr>
        <w:spacing w:after="0" w:line="169"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37% to $56 million and the margin increased to 24.3% from 19.9% driven by the higher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Center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Center </w:t>
      </w:r>
      <w:r>
        <w:rPr>
          <w:rFonts w:ascii="Arial" w:cs="Arial" w:eastAsia="Arial" w:hAnsi="Arial"/>
          <w:sz w:val="18"/>
          <w:szCs w:val="18"/>
          <w:color w:val="auto"/>
        </w:rPr>
        <w:t>costs were $53 million compared to $55 million in the prior-year period.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Highlights - Nine Months Ended September 30</w:t>
      </w: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60" w:type="dxa"/>
            <w:vAlign w:val="bottom"/>
            <w:tcBorders>
              <w:top w:val="single" w:sz="8" w:color="auto"/>
              <w:left w:val="single" w:sz="8" w:color="auto"/>
            </w:tcBorders>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40" w:type="dxa"/>
            <w:vAlign w:val="bottom"/>
            <w:tcBorders>
              <w:top w:val="single" w:sz="8" w:color="auto"/>
            </w:tcBorders>
          </w:tcPr>
          <w:p>
            <w:pPr>
              <w:jc w:val="center"/>
              <w:ind w:left="1170"/>
              <w:spacing w:after="0" w:line="166" w:lineRule="exact"/>
              <w:rPr>
                <w:sz w:val="20"/>
                <w:szCs w:val="20"/>
                <w:color w:val="auto"/>
              </w:rPr>
            </w:pPr>
            <w:r>
              <w:rPr>
                <w:rFonts w:ascii="Arial" w:cs="Arial" w:eastAsia="Arial" w:hAnsi="Arial"/>
                <w:sz w:val="13"/>
                <w:szCs w:val="13"/>
                <w:b w:val="1"/>
                <w:bCs w:val="1"/>
                <w:color w:val="auto"/>
              </w:rPr>
              <w:t>Nine months ended September 30,</w:t>
            </w:r>
            <w:r>
              <w:rPr>
                <w:rFonts w:ascii="Arial" w:cs="Arial" w:eastAsia="Arial" w:hAnsi="Arial"/>
                <w:sz w:val="19"/>
                <w:szCs w:val="19"/>
                <w:b w:val="1"/>
                <w:bCs w:val="1"/>
                <w:color w:val="auto"/>
                <w:vertAlign w:val="superscript"/>
              </w:rPr>
              <w:t>(2)</w:t>
            </w:r>
            <w:r>
              <w:rPr>
                <w:rFonts w:ascii="Arial" w:cs="Arial" w:eastAsia="Arial" w:hAnsi="Arial"/>
                <w:sz w:val="13"/>
                <w:szCs w:val="13"/>
                <w:b w:val="1"/>
                <w:bCs w:val="1"/>
                <w:color w:val="auto"/>
              </w:rPr>
              <w:t xml:space="preserve"> </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40" w:type="dxa"/>
            <w:vAlign w:val="bottom"/>
          </w:tcPr>
          <w:p>
            <w:pPr>
              <w:jc w:val="center"/>
              <w:ind w:left="1130"/>
              <w:spacing w:after="0"/>
              <w:rPr>
                <w:sz w:val="20"/>
                <w:szCs w:val="20"/>
                <w:color w:val="auto"/>
              </w:rPr>
            </w:pPr>
            <w:r>
              <w:rPr>
                <w:rFonts w:ascii="Arial" w:cs="Arial" w:eastAsia="Arial" w:hAnsi="Arial"/>
                <w:sz w:val="14"/>
                <w:szCs w:val="14"/>
                <w:color w:val="auto"/>
              </w:rPr>
              <w:t>(Millions of U.S. dollars, except for EPS)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 w:type="dxa"/>
            <w:vAlign w:val="bottom"/>
            <w:tcBorders>
              <w:left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40" w:type="dxa"/>
            <w:vAlign w:val="bottom"/>
          </w:tcPr>
          <w:p>
            <w:pPr>
              <w:jc w:val="center"/>
              <w:ind w:left="1130"/>
              <w:spacing w:after="0"/>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2026</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16"/>
                <w:szCs w:val="16"/>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7"/>
              </w:rPr>
              <w:t>Change</w:t>
            </w:r>
          </w:p>
        </w:tc>
        <w:tc>
          <w:tcPr>
            <w:tcW w:w="70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60" w:type="dxa"/>
            <w:vAlign w:val="bottom"/>
            <w:tcBorders>
              <w:left w:val="single" w:sz="8" w:color="auto"/>
            </w:tcBorders>
          </w:tcPr>
          <w:p>
            <w:pPr>
              <w:spacing w:after="0"/>
              <w:rPr>
                <w:sz w:val="13"/>
                <w:szCs w:val="13"/>
                <w:color w:val="auto"/>
              </w:rPr>
            </w:pPr>
          </w:p>
        </w:tc>
        <w:tc>
          <w:tcPr>
            <w:tcW w:w="2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60" w:type="dxa"/>
            <w:vAlign w:val="bottom"/>
            <w:tcBorders>
              <w:top w:val="single" w:sz="8" w:color="CCEEFF"/>
              <w:left w:val="single" w:sz="8" w:color="auto"/>
            </w:tcBorders>
            <w:shd w:val="clear" w:color="auto" w:fill="CCEEFF"/>
          </w:tcPr>
          <w:p>
            <w:pPr>
              <w:spacing w:after="0"/>
              <w:rPr>
                <w:sz w:val="14"/>
                <w:szCs w:val="14"/>
                <w:color w:val="auto"/>
              </w:rPr>
            </w:pPr>
          </w:p>
        </w:tc>
        <w:tc>
          <w:tcPr>
            <w:tcW w:w="65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3"/>
                <w:szCs w:val="13"/>
                <w:b w:val="1"/>
                <w:bCs w:val="1"/>
                <w:color w:val="auto"/>
              </w:rPr>
              <w:t>IFRS Financial Measures</w:t>
            </w:r>
            <w:r>
              <w:rPr>
                <w:rFonts w:ascii="Arial" w:cs="Arial" w:eastAsia="Arial" w:hAnsi="Arial"/>
                <w:sz w:val="18"/>
                <w:szCs w:val="18"/>
                <w:color w:val="auto"/>
                <w:vertAlign w:val="superscript"/>
              </w:rPr>
              <w:t>(1)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0" w:type="dxa"/>
            <w:vAlign w:val="bottom"/>
            <w:tcBorders>
              <w:top w:val="single" w:sz="8" w:color="CCEEFF"/>
              <w:left w:val="single" w:sz="8" w:color="auto"/>
            </w:tcBorders>
          </w:tcPr>
          <w:p>
            <w:pPr>
              <w:spacing w:after="0"/>
              <w:rPr>
                <w:sz w:val="17"/>
                <w:szCs w:val="17"/>
                <w:color w:val="auto"/>
              </w:rPr>
            </w:pPr>
          </w:p>
        </w:tc>
        <w:tc>
          <w:tcPr>
            <w:tcW w:w="21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Revenues</w:t>
            </w:r>
          </w:p>
        </w:tc>
        <w:tc>
          <w:tcPr>
            <w:tcW w:w="4440" w:type="dxa"/>
            <w:vAlign w:val="bottom"/>
            <w:tcBorders>
              <w:top w:val="single" w:sz="8" w:color="CCEEFF"/>
            </w:tcBorders>
            <w:gridSpan w:val="2"/>
          </w:tcPr>
          <w:p>
            <w:pPr>
              <w:spacing w:after="0"/>
              <w:rPr>
                <w:sz w:val="17"/>
                <w:szCs w:val="17"/>
                <w:color w:val="auto"/>
              </w:rPr>
            </w:pPr>
          </w:p>
        </w:tc>
        <w:tc>
          <w:tcPr>
            <w:tcW w:w="220" w:type="dxa"/>
            <w:vAlign w:val="bottom"/>
            <w:tcBorders>
              <w:top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tcPr>
          <w:p>
            <w:pPr>
              <w:jc w:val="right"/>
              <w:ind w:right="320"/>
              <w:spacing w:after="0" w:line="202" w:lineRule="exact"/>
              <w:rPr>
                <w:sz w:val="20"/>
                <w:szCs w:val="20"/>
                <w:color w:val="auto"/>
              </w:rPr>
            </w:pPr>
            <w:r>
              <w:rPr>
                <w:rFonts w:ascii="Arial" w:cs="Arial" w:eastAsia="Arial" w:hAnsi="Arial"/>
                <w:sz w:val="18"/>
                <w:szCs w:val="18"/>
                <w:color w:val="auto"/>
                <w:w w:val="97"/>
              </w:rPr>
              <w:t>5,651</w:t>
            </w:r>
          </w:p>
        </w:tc>
        <w:tc>
          <w:tcPr>
            <w:tcW w:w="260" w:type="dxa"/>
            <w:vAlign w:val="bottom"/>
            <w:tcBorders>
              <w:top w:val="single" w:sz="8" w:color="CCEEFF"/>
            </w:tcBorders>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460"/>
              <w:spacing w:after="0" w:line="202" w:lineRule="exact"/>
              <w:rPr>
                <w:sz w:val="20"/>
                <w:szCs w:val="20"/>
                <w:color w:val="auto"/>
              </w:rPr>
            </w:pPr>
            <w:r>
              <w:rPr>
                <w:rFonts w:ascii="Arial" w:cs="Arial" w:eastAsia="Arial" w:hAnsi="Arial"/>
                <w:sz w:val="18"/>
                <w:szCs w:val="18"/>
                <w:color w:val="auto"/>
                <w:w w:val="97"/>
              </w:rPr>
              <w:t>5,113</w:t>
            </w:r>
          </w:p>
        </w:tc>
        <w:tc>
          <w:tcPr>
            <w:tcW w:w="1000" w:type="dxa"/>
            <w:vAlign w:val="bottom"/>
            <w:tcBorders>
              <w:top w:val="single" w:sz="8" w:color="CCEEFF"/>
            </w:tcBorders>
            <w:gridSpan w:val="2"/>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700" w:type="dxa"/>
            <w:vAlign w:val="bottom"/>
            <w:tcBorders>
              <w:top w:val="single" w:sz="8" w:color="CCEEFF"/>
            </w:tcBorders>
          </w:tcPr>
          <w:p>
            <w:pPr>
              <w:spacing w:after="0"/>
              <w:rPr>
                <w:sz w:val="17"/>
                <w:szCs w:val="17"/>
                <w:color w:val="auto"/>
              </w:rPr>
            </w:pPr>
          </w:p>
        </w:tc>
        <w:tc>
          <w:tcPr>
            <w:tcW w:w="440" w:type="dxa"/>
            <w:vAlign w:val="bottom"/>
            <w:tcBorders>
              <w:top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6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7"/>
              </w:rPr>
              <w:t>1,471</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1,370</w:t>
            </w: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70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6560" w:type="dxa"/>
            <w:vAlign w:val="bottom"/>
            <w:gridSpan w:val="3"/>
          </w:tcPr>
          <w:p>
            <w:pPr>
              <w:spacing w:after="0" w:line="202" w:lineRule="exact"/>
              <w:rPr>
                <w:sz w:val="20"/>
                <w:szCs w:val="20"/>
                <w:color w:val="auto"/>
              </w:rPr>
            </w:pPr>
            <w:r>
              <w:rPr>
                <w:rFonts w:ascii="Arial" w:cs="Arial" w:eastAsia="Arial" w:hAnsi="Arial"/>
                <w:sz w:val="18"/>
                <w:szCs w:val="18"/>
                <w:color w:val="auto"/>
              </w:rPr>
              <w:t>Diluted EPS</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2.83</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2.59</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7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6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7"/>
              </w:rPr>
              <w:t>2,024</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1,895</w:t>
            </w: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70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60" w:type="dxa"/>
            <w:vAlign w:val="bottom"/>
            <w:tcBorders>
              <w:left w:val="single" w:sz="8" w:color="auto"/>
            </w:tcBorders>
          </w:tcPr>
          <w:p>
            <w:pPr>
              <w:spacing w:after="0"/>
              <w:rPr>
                <w:sz w:val="22"/>
                <w:szCs w:val="22"/>
                <w:color w:val="auto"/>
              </w:rPr>
            </w:pPr>
          </w:p>
        </w:tc>
        <w:tc>
          <w:tcPr>
            <w:tcW w:w="2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Change at</w:t>
            </w:r>
          </w:p>
        </w:tc>
        <w:tc>
          <w:tcPr>
            <w:tcW w:w="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Constant</w:t>
            </w:r>
          </w:p>
        </w:tc>
        <w:tc>
          <w:tcPr>
            <w:tcW w:w="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 w:type="dxa"/>
            <w:vAlign w:val="bottom"/>
            <w:tcBorders>
              <w:left w:val="single" w:sz="8" w:color="auto"/>
            </w:tcBorders>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2026</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Change</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Currency</w:t>
            </w:r>
          </w:p>
        </w:tc>
        <w:tc>
          <w:tcPr>
            <w:tcW w:w="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 w:type="dxa"/>
            <w:vAlign w:val="bottom"/>
            <w:tcBorders>
              <w:top w:val="single" w:sz="8" w:color="CCEEFF"/>
              <w:left w:val="single" w:sz="8" w:color="auto"/>
            </w:tcBorders>
            <w:shd w:val="clear" w:color="auto" w:fill="CCEEFF"/>
          </w:tcPr>
          <w:p>
            <w:pPr>
              <w:spacing w:after="0"/>
              <w:rPr>
                <w:sz w:val="13"/>
                <w:szCs w:val="13"/>
                <w:color w:val="auto"/>
              </w:rPr>
            </w:pPr>
          </w:p>
        </w:tc>
        <w:tc>
          <w:tcPr>
            <w:tcW w:w="65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3"/>
                <w:szCs w:val="13"/>
                <w:b w:val="1"/>
                <w:bCs w:val="1"/>
                <w:color w:val="auto"/>
              </w:rPr>
              <w:t>Non-IFRS Financial Measures</w:t>
            </w:r>
            <w:r>
              <w:rPr>
                <w:rFonts w:ascii="Arial" w:cs="Arial" w:eastAsia="Arial" w:hAnsi="Arial"/>
                <w:sz w:val="18"/>
                <w:szCs w:val="18"/>
                <w:color w:val="auto"/>
                <w:vertAlign w:val="superscript"/>
              </w:rPr>
              <w:t>(1)</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0" w:type="dxa"/>
            <w:vAlign w:val="bottom"/>
            <w:tcBorders>
              <w:left w:val="single" w:sz="8" w:color="auto"/>
            </w:tcBorders>
            <w:shd w:val="clear" w:color="auto" w:fill="CCEEFF"/>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4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6560" w:type="dxa"/>
            <w:vAlign w:val="bottom"/>
            <w:gridSpan w:val="3"/>
          </w:tcPr>
          <w:p>
            <w:pPr>
              <w:spacing w:after="0" w:line="202" w:lineRule="exact"/>
              <w:rPr>
                <w:sz w:val="20"/>
                <w:szCs w:val="20"/>
                <w:color w:val="auto"/>
              </w:rPr>
            </w:pPr>
            <w:r>
              <w:rPr>
                <w:rFonts w:ascii="Arial" w:cs="Arial" w:eastAsia="Arial" w:hAnsi="Arial"/>
                <w:sz w:val="18"/>
                <w:szCs w:val="18"/>
                <w:color w:val="auto"/>
              </w:rPr>
              <w:t>Revenue growth in constant currency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208"/>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6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Organic revenue growth</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6560" w:type="dxa"/>
            <w:vAlign w:val="bottom"/>
            <w:gridSpan w:val="3"/>
          </w:tcPr>
          <w:p>
            <w:pPr>
              <w:spacing w:after="0" w:line="202" w:lineRule="exact"/>
              <w:rPr>
                <w:sz w:val="20"/>
                <w:szCs w:val="20"/>
                <w:color w:val="auto"/>
              </w:rPr>
            </w:pPr>
            <w:r>
              <w:rPr>
                <w:rFonts w:ascii="Arial" w:cs="Arial" w:eastAsia="Arial" w:hAnsi="Arial"/>
                <w:sz w:val="18"/>
                <w:szCs w:val="18"/>
                <w:color w:val="auto"/>
              </w:rPr>
              <w:t>Adjusted EBITDA</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w w:val="97"/>
              </w:rPr>
              <w:t>2,140</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1,930</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1140" w:type="dxa"/>
            <w:vAlign w:val="bottom"/>
            <w:tcBorders>
              <w:right w:val="single" w:sz="8" w:color="auto"/>
            </w:tcBorders>
            <w:gridSpan w:val="2"/>
          </w:tcPr>
          <w:p>
            <w:pPr>
              <w:jc w:val="right"/>
              <w:ind w:right="208"/>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6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37.6%</w:t>
            </w:r>
          </w:p>
        </w:tc>
        <w:tc>
          <w:tcPr>
            <w:tcW w:w="10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30bp</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40bp</w:t>
            </w:r>
          </w:p>
        </w:tc>
        <w:tc>
          <w:tcPr>
            <w:tcW w:w="4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6560" w:type="dxa"/>
            <w:vAlign w:val="bottom"/>
            <w:gridSpan w:val="3"/>
          </w:tcPr>
          <w:p>
            <w:pPr>
              <w:spacing w:after="0" w:line="202" w:lineRule="exact"/>
              <w:rPr>
                <w:sz w:val="20"/>
                <w:szCs w:val="20"/>
                <w:color w:val="auto"/>
              </w:rPr>
            </w:pPr>
            <w:r>
              <w:rPr>
                <w:rFonts w:ascii="Arial" w:cs="Arial" w:eastAsia="Arial" w:hAnsi="Arial"/>
                <w:sz w:val="18"/>
                <w:szCs w:val="18"/>
                <w:color w:val="auto"/>
              </w:rPr>
              <w:t>Adjusted EPS</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2.78</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2.43</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14%</w:t>
            </w:r>
          </w:p>
        </w:tc>
        <w:tc>
          <w:tcPr>
            <w:tcW w:w="1140" w:type="dxa"/>
            <w:vAlign w:val="bottom"/>
            <w:tcBorders>
              <w:right w:val="single" w:sz="8" w:color="auto"/>
            </w:tcBorders>
            <w:gridSpan w:val="2"/>
          </w:tcPr>
          <w:p>
            <w:pPr>
              <w:jc w:val="right"/>
              <w:ind w:right="208"/>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6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Free cash flow</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7"/>
              </w:rPr>
              <w:t>1,467</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1,369</w:t>
            </w: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70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10440" w:type="dxa"/>
            <w:vAlign w:val="bottom"/>
            <w:gridSpan w:val="14"/>
          </w:tcPr>
          <w:p>
            <w:pPr>
              <w:spacing w:after="0"/>
              <w:rPr>
                <w:sz w:val="20"/>
                <w:szCs w:val="20"/>
                <w:color w:val="auto"/>
              </w:rPr>
            </w:pPr>
            <w:r>
              <w:rPr>
                <w:rFonts w:ascii="Arial" w:cs="Arial" w:eastAsia="Arial" w:hAnsi="Arial"/>
                <w:sz w:val="14"/>
                <w:szCs w:val="14"/>
                <w:i w:val="1"/>
                <w:iCs w:val="1"/>
                <w:color w:val="auto"/>
              </w:rPr>
              <w:t>(1)   In addition to results reported in accordance with IFRS, the company uses certain non-IFRS financial measures as supplemental indicators of its operating</w:t>
            </w:r>
          </w:p>
        </w:tc>
        <w:tc>
          <w:tcPr>
            <w:tcW w:w="44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 xml:space="preserve">   </w:t>
            </w:r>
          </w:p>
        </w:tc>
        <w:tc>
          <w:tcPr>
            <w:tcW w:w="0" w:type="dxa"/>
            <w:vAlign w:val="bottom"/>
          </w:tcPr>
          <w:p>
            <w:pPr>
              <w:spacing w:after="0"/>
              <w:rPr>
                <w:sz w:val="1"/>
                <w:szCs w:val="1"/>
                <w:color w:val="auto"/>
              </w:rPr>
            </w:pPr>
          </w:p>
        </w:tc>
      </w:tr>
      <w:tr>
        <w:trPr>
          <w:trHeight w:val="160"/>
        </w:trPr>
        <w:tc>
          <w:tcPr>
            <w:tcW w:w="160" w:type="dxa"/>
            <w:vAlign w:val="bottom"/>
            <w:tcBorders>
              <w:left w:val="single" w:sz="8" w:color="auto"/>
            </w:tcBorders>
          </w:tcPr>
          <w:p>
            <w:pPr>
              <w:spacing w:after="0"/>
              <w:rPr>
                <w:sz w:val="13"/>
                <w:szCs w:val="13"/>
                <w:color w:val="auto"/>
              </w:rPr>
            </w:pPr>
          </w:p>
        </w:tc>
        <w:tc>
          <w:tcPr>
            <w:tcW w:w="10440" w:type="dxa"/>
            <w:vAlign w:val="bottom"/>
            <w:gridSpan w:val="14"/>
          </w:tcPr>
          <w:p>
            <w:pPr>
              <w:ind w:left="280"/>
              <w:spacing w:after="0"/>
              <w:rPr>
                <w:sz w:val="20"/>
                <w:szCs w:val="20"/>
                <w:color w:val="auto"/>
              </w:rPr>
            </w:pPr>
            <w:r>
              <w:rPr>
                <w:rFonts w:ascii="Arial" w:cs="Arial" w:eastAsia="Arial" w:hAnsi="Arial"/>
                <w:sz w:val="14"/>
                <w:szCs w:val="14"/>
                <w:i w:val="1"/>
                <w:iCs w:val="1"/>
                <w:color w:val="auto"/>
              </w:rPr>
              <w:t>performance and financial position. See the “Non-IFRS Financial Measures” section and the tables appended to this news release for additional information on</w:t>
            </w:r>
          </w:p>
        </w:tc>
        <w:tc>
          <w:tcPr>
            <w:tcW w:w="44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 xml:space="preserve">   </w:t>
            </w:r>
          </w:p>
        </w:tc>
        <w:tc>
          <w:tcPr>
            <w:tcW w:w="0" w:type="dxa"/>
            <w:vAlign w:val="bottom"/>
          </w:tcPr>
          <w:p>
            <w:pPr>
              <w:spacing w:after="0"/>
              <w:rPr>
                <w:sz w:val="1"/>
                <w:szCs w:val="1"/>
                <w:color w:val="auto"/>
              </w:rPr>
            </w:pPr>
          </w:p>
        </w:tc>
      </w:tr>
      <w:tr>
        <w:trPr>
          <w:trHeight w:val="164"/>
        </w:trPr>
        <w:tc>
          <w:tcPr>
            <w:tcW w:w="160" w:type="dxa"/>
            <w:vAlign w:val="bottom"/>
            <w:tcBorders>
              <w:left w:val="single" w:sz="8" w:color="auto"/>
            </w:tcBorders>
          </w:tcPr>
          <w:p>
            <w:pPr>
              <w:spacing w:after="0"/>
              <w:rPr>
                <w:sz w:val="14"/>
                <w:szCs w:val="14"/>
                <w:color w:val="auto"/>
              </w:rPr>
            </w:pPr>
          </w:p>
        </w:tc>
        <w:tc>
          <w:tcPr>
            <w:tcW w:w="9740" w:type="dxa"/>
            <w:vAlign w:val="bottom"/>
            <w:gridSpan w:val="13"/>
          </w:tcPr>
          <w:p>
            <w:pPr>
              <w:ind w:left="280"/>
              <w:spacing w:after="0"/>
              <w:rPr>
                <w:sz w:val="20"/>
                <w:szCs w:val="20"/>
                <w:color w:val="auto"/>
              </w:rPr>
            </w:pPr>
            <w:r>
              <w:rPr>
                <w:rFonts w:ascii="Arial" w:cs="Arial" w:eastAsia="Arial" w:hAnsi="Arial"/>
                <w:sz w:val="14"/>
                <w:szCs w:val="14"/>
                <w:i w:val="1"/>
                <w:iCs w:val="1"/>
                <w:color w:val="auto"/>
              </w:rPr>
              <w:t>these and other non-IFRS financial measures, including how they are defined and reconciled to the most directly comparable IFRS measures.</w:t>
            </w:r>
            <w:r>
              <w:rPr>
                <w:rFonts w:ascii="Arial" w:cs="Arial" w:eastAsia="Arial" w:hAnsi="Arial"/>
                <w:sz w:val="14"/>
                <w:szCs w:val="14"/>
                <w:color w:val="auto"/>
              </w:rPr>
              <w:t xml:space="preserve"> </w:t>
            </w:r>
          </w:p>
        </w:tc>
        <w:tc>
          <w:tcPr>
            <w:tcW w:w="70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0" w:type="dxa"/>
            <w:vAlign w:val="bottom"/>
            <w:tcBorders>
              <w:left w:val="single" w:sz="8" w:color="auto"/>
            </w:tcBorders>
          </w:tcPr>
          <w:p>
            <w:pPr>
              <w:spacing w:after="0"/>
              <w:rPr>
                <w:sz w:val="13"/>
                <w:szCs w:val="13"/>
                <w:color w:val="auto"/>
              </w:rPr>
            </w:pPr>
          </w:p>
        </w:tc>
        <w:tc>
          <w:tcPr>
            <w:tcW w:w="10440" w:type="dxa"/>
            <w:vAlign w:val="bottom"/>
            <w:gridSpan w:val="14"/>
          </w:tcPr>
          <w:p>
            <w:pPr>
              <w:spacing w:after="0"/>
              <w:rPr>
                <w:sz w:val="20"/>
                <w:szCs w:val="20"/>
                <w:color w:val="auto"/>
              </w:rPr>
            </w:pPr>
            <w:r>
              <w:rPr>
                <w:rFonts w:ascii="Arial" w:cs="Arial" w:eastAsia="Arial" w:hAnsi="Arial"/>
                <w:sz w:val="14"/>
                <w:szCs w:val="14"/>
                <w:i w:val="1"/>
                <w:iCs w:val="1"/>
                <w:color w:val="auto"/>
              </w:rPr>
              <w:t>(2)   In the three and nine months ended September 30, 2026, the Global Print business was reported as discontinued operations. Prior-year period amounts have</w:t>
            </w:r>
          </w:p>
        </w:tc>
        <w:tc>
          <w:tcPr>
            <w:tcW w:w="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60" w:type="dxa"/>
            <w:vAlign w:val="bottom"/>
            <w:tcBorders>
              <w:left w:val="single" w:sz="8" w:color="auto"/>
            </w:tcBorders>
          </w:tcPr>
          <w:p>
            <w:pPr>
              <w:spacing w:after="0"/>
              <w:rPr>
                <w:sz w:val="16"/>
                <w:szCs w:val="16"/>
                <w:color w:val="auto"/>
              </w:rPr>
            </w:pPr>
          </w:p>
        </w:tc>
        <w:tc>
          <w:tcPr>
            <w:tcW w:w="6560" w:type="dxa"/>
            <w:vAlign w:val="bottom"/>
            <w:gridSpan w:val="3"/>
          </w:tcPr>
          <w:p>
            <w:pPr>
              <w:ind w:left="280"/>
              <w:spacing w:after="0"/>
              <w:rPr>
                <w:sz w:val="20"/>
                <w:szCs w:val="20"/>
                <w:color w:val="auto"/>
              </w:rPr>
            </w:pPr>
            <w:r>
              <w:rPr>
                <w:rFonts w:ascii="Arial" w:cs="Arial" w:eastAsia="Arial" w:hAnsi="Arial"/>
                <w:sz w:val="14"/>
                <w:szCs w:val="14"/>
                <w:i w:val="1"/>
                <w:iCs w:val="1"/>
                <w:color w:val="auto"/>
              </w:rPr>
              <w:t>been revised to conform to the current period’s presentation, as appropriate.</w:t>
            </w:r>
            <w:r>
              <w:rPr>
                <w:rFonts w:ascii="Arial" w:cs="Arial" w:eastAsia="Arial" w:hAnsi="Arial"/>
                <w:sz w:val="14"/>
                <w:szCs w:val="14"/>
                <w:color w:val="auto"/>
              </w:rPr>
              <w:t xml:space="preserve">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60" w:type="dxa"/>
            <w:vAlign w:val="bottom"/>
            <w:tcBorders>
              <w:left w:val="single" w:sz="8" w:color="auto"/>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093"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34440" cy="462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6 of 23</w:t>
      </w:r>
    </w:p>
    <w:p>
      <w:pPr>
        <w:spacing w:after="0" w:line="22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11% due to 9% growth in recurring revenues (85% of total revenues) and 18% growth in transactions revenues.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revenue growth benefited approximately 1% from foreign currency and 1% from net acquisitions and disposals.</w:t>
      </w:r>
    </w:p>
    <w:p>
      <w:pPr>
        <w:spacing w:after="0" w:line="59" w:lineRule="exact"/>
        <w:rPr>
          <w:sz w:val="20"/>
          <w:szCs w:val="20"/>
          <w:color w:val="auto"/>
        </w:rPr>
      </w:pPr>
    </w:p>
    <w:p>
      <w:pPr>
        <w:ind w:left="960" w:hanging="532"/>
        <w:spacing w:after="0"/>
        <w:tabs>
          <w:tab w:leader="none" w:pos="9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Organic revenues increased 9% reflecting 8% growth in recurring revenues and 13% growth in transactions revenues.</w:t>
      </w:r>
    </w:p>
    <w:p>
      <w:pPr>
        <w:spacing w:after="0" w:line="2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company’s “Big 3” segments reported organic revenue growth of 9% and collectively comprised 89% of total revenues.</w:t>
      </w:r>
    </w:p>
    <w:p>
      <w:pPr>
        <w:spacing w:after="0" w:line="206"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increased 7% as the net impact of higher revenues and operating expenses was partly offset by higher other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gains in the prior-year period which included a gain on the sale of the company’s remaining minority equity interest in the Elite business, as well as higher amortization of software in the current period.</w:t>
      </w:r>
    </w:p>
    <w:p>
      <w:pPr>
        <w:spacing w:after="0" w:line="74" w:lineRule="exact"/>
        <w:rPr>
          <w:sz w:val="20"/>
          <w:szCs w:val="20"/>
          <w:color w:val="auto"/>
        </w:rPr>
      </w:pPr>
    </w:p>
    <w:p>
      <w:pPr>
        <w:ind w:left="960" w:right="20" w:hanging="532"/>
        <w:spacing w:after="0" w:line="252" w:lineRule="auto"/>
        <w:tabs>
          <w:tab w:leader="none" w:pos="9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which excludes other operating gains, amortization of software, as well as other adjustments, increased 11% and the related margin increased to 37.9% from 37.6% in the prior-year period. Foreign currency negatively impacted the year-over-year change in adjusted EBITDA margin by 10 basis points.</w:t>
      </w:r>
    </w:p>
    <w:p>
      <w:pPr>
        <w:spacing w:after="0" w:line="17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color w:val="auto"/>
        </w:rPr>
        <w:t xml:space="preserve">Diluted EPS </w:t>
      </w:r>
      <w:r>
        <w:rPr>
          <w:rFonts w:ascii="Arial" w:cs="Arial" w:eastAsia="Arial" w:hAnsi="Arial"/>
          <w:sz w:val="18"/>
          <w:szCs w:val="18"/>
          <w:color w:val="auto"/>
        </w:rPr>
        <w:t>increased to $2.83 per share compared to $2.59 per share in the prior-year period, primarily due to higher operating profit</w:t>
      </w:r>
      <w:r>
        <w:rPr>
          <w:rFonts w:ascii="Arial" w:cs="Arial" w:eastAsia="Arial" w:hAnsi="Arial"/>
          <w:sz w:val="18"/>
          <w:szCs w:val="18"/>
          <w:b w:val="1"/>
          <w:bCs w:val="1"/>
          <w:color w:val="auto"/>
        </w:rPr>
        <w:t xml:space="preserve"> </w:t>
      </w:r>
      <w:r>
        <w:rPr>
          <w:rFonts w:ascii="Arial" w:cs="Arial" w:eastAsia="Arial" w:hAnsi="Arial"/>
          <w:sz w:val="18"/>
          <w:szCs w:val="18"/>
          <w:color w:val="auto"/>
        </w:rPr>
        <w:t>and, to a lesser extent, a benefit from a reduction in weighted-average common shares outstanding.</w:t>
      </w:r>
    </w:p>
    <w:p>
      <w:pPr>
        <w:spacing w:after="0" w:line="59" w:lineRule="exact"/>
        <w:rPr>
          <w:sz w:val="20"/>
          <w:szCs w:val="20"/>
          <w:color w:val="auto"/>
        </w:rPr>
      </w:pPr>
    </w:p>
    <w:p>
      <w:pPr>
        <w:ind w:left="960" w:right="420" w:hanging="532"/>
        <w:spacing w:after="0" w:line="252" w:lineRule="auto"/>
        <w:tabs>
          <w:tab w:leader="none" w:pos="9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EPS increased to $2.78 per share compared to $2.43 per share in the prior-year period, primarily due to higher adjusted EBITDA and a benefit from a reduction in weighted-average common shares outstanding, partly offset by higher amortization of internally developed software and higher net interest expense.</w:t>
      </w:r>
    </w:p>
    <w:p>
      <w:pPr>
        <w:spacing w:after="0" w:line="171" w:lineRule="exact"/>
        <w:rPr>
          <w:sz w:val="20"/>
          <w:szCs w:val="20"/>
          <w:color w:val="auto"/>
        </w:rPr>
      </w:pPr>
    </w:p>
    <w:p>
      <w:pPr>
        <w:ind w:right="140"/>
        <w:spacing w:after="0" w:line="301" w:lineRule="auto"/>
        <w:rPr>
          <w:sz w:val="20"/>
          <w:szCs w:val="20"/>
          <w:color w:val="auto"/>
        </w:rPr>
      </w:pPr>
      <w:r>
        <w:rPr>
          <w:rFonts w:ascii="Arial" w:cs="Arial" w:eastAsia="Arial" w:hAnsi="Arial"/>
          <w:sz w:val="17"/>
          <w:szCs w:val="17"/>
          <w:b w:val="1"/>
          <w:bCs w:val="1"/>
          <w:color w:val="auto"/>
        </w:rPr>
        <w:t xml:space="preserve">Net cash provided by operating activities </w:t>
      </w:r>
      <w:r>
        <w:rPr>
          <w:rFonts w:ascii="Arial" w:cs="Arial" w:eastAsia="Arial" w:hAnsi="Arial"/>
          <w:sz w:val="17"/>
          <w:szCs w:val="17"/>
          <w:color w:val="auto"/>
        </w:rPr>
        <w:t>increased by $129 million primarily due to higher cash benefits from the net impact of higher</w:t>
      </w:r>
      <w:r>
        <w:rPr>
          <w:rFonts w:ascii="Arial" w:cs="Arial" w:eastAsia="Arial" w:hAnsi="Arial"/>
          <w:sz w:val="17"/>
          <w:szCs w:val="17"/>
          <w:b w:val="1"/>
          <w:bCs w:val="1"/>
          <w:color w:val="auto"/>
        </w:rPr>
        <w:t xml:space="preserve"> </w:t>
      </w:r>
      <w:r>
        <w:rPr>
          <w:rFonts w:ascii="Arial" w:cs="Arial" w:eastAsia="Arial" w:hAnsi="Arial"/>
          <w:sz w:val="17"/>
          <w:szCs w:val="17"/>
          <w:color w:val="auto"/>
        </w:rPr>
        <w:t>revenues and operating expenses, partly offset by certain unfavorable changes in working capital and higher income tax payments.</w:t>
      </w:r>
    </w:p>
    <w:p>
      <w:pPr>
        <w:spacing w:after="0" w:line="36" w:lineRule="exact"/>
        <w:rPr>
          <w:sz w:val="20"/>
          <w:szCs w:val="20"/>
          <w:color w:val="auto"/>
        </w:rPr>
      </w:pPr>
    </w:p>
    <w:p>
      <w:pPr>
        <w:ind w:left="960" w:right="540" w:hanging="532"/>
        <w:spacing w:after="0" w:line="270" w:lineRule="auto"/>
        <w:tabs>
          <w:tab w:leader="none" w:pos="9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Free cash flow increased by $98 million primarily due to higher net cash provided by operating activities, partly offset by higher capital expenditures.</w:t>
      </w:r>
    </w:p>
    <w:p>
      <w:pPr>
        <w:sectPr>
          <w:pgSz w:w="11900" w:h="16838" w:orient="portrait"/>
          <w:cols w:equalWidth="0" w:num="1">
            <w:col w:w="11000"/>
          </w:cols>
          <w:pgMar w:left="440" w:top="1106"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17295" cy="45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7 of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 by Customer Segment –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7003415" cy="50152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3415" cy="5015230"/>
                    </a:xfrm>
                    <a:prstGeom prst="rect">
                      <a:avLst/>
                    </a:prstGeom>
                    <a:noFill/>
                  </pic:spPr>
                </pic:pic>
              </a:graphicData>
            </a:graphic>
          </wp:anchor>
        </w:drawing>
      </w: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4"/>
          <w:szCs w:val="14"/>
          <w:i w:val="1"/>
          <w:iCs w:val="1"/>
          <w:color w:val="auto"/>
        </w:rPr>
        <w:t>(Millions of U.S. dollars)</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4"/>
          <w:szCs w:val="14"/>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640"/>
              <w:spacing w:after="0" w:line="143" w:lineRule="exact"/>
              <w:rPr>
                <w:sz w:val="20"/>
                <w:szCs w:val="20"/>
                <w:color w:val="auto"/>
              </w:rPr>
            </w:pPr>
            <w:r>
              <w:rPr>
                <w:rFonts w:ascii="Arial" w:cs="Arial" w:eastAsia="Arial" w:hAnsi="Arial"/>
                <w:sz w:val="14"/>
                <w:szCs w:val="14"/>
                <w:b w:val="1"/>
                <w:bCs w:val="1"/>
                <w:color w:val="auto"/>
              </w:rPr>
              <w:t>Constant</w:t>
            </w: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82"/>
        </w:trPr>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rPr>
              <w:t>2026</w:t>
            </w:r>
          </w:p>
        </w:tc>
        <w:tc>
          <w:tcPr>
            <w:tcW w:w="440" w:type="dxa"/>
            <w:vAlign w:val="bottom"/>
          </w:tcPr>
          <w:p>
            <w:pPr>
              <w:spacing w:after="0"/>
              <w:rPr>
                <w:sz w:val="15"/>
                <w:szCs w:val="15"/>
                <w:color w:val="auto"/>
              </w:rPr>
            </w:pPr>
          </w:p>
        </w:tc>
        <w:tc>
          <w:tcPr>
            <w:tcW w:w="560" w:type="dxa"/>
            <w:vAlign w:val="bottom"/>
          </w:tcPr>
          <w:p>
            <w:pPr>
              <w:jc w:val="right"/>
              <w:spacing w:after="0" w:line="175" w:lineRule="exact"/>
              <w:rPr>
                <w:sz w:val="20"/>
                <w:szCs w:val="20"/>
                <w:color w:val="auto"/>
              </w:rPr>
            </w:pPr>
            <w:r>
              <w:rPr>
                <w:rFonts w:ascii="Arial" w:cs="Arial" w:eastAsia="Arial" w:hAnsi="Arial"/>
                <w:sz w:val="14"/>
                <w:szCs w:val="14"/>
                <w:b w:val="1"/>
                <w:bCs w:val="1"/>
                <w:color w:val="auto"/>
              </w:rPr>
              <w:t>2025</w:t>
            </w:r>
            <w:r>
              <w:rPr>
                <w:rFonts w:ascii="Arial" w:cs="Arial" w:eastAsia="Arial" w:hAnsi="Arial"/>
                <w:sz w:val="20"/>
                <w:szCs w:val="20"/>
                <w:b w:val="1"/>
                <w:bCs w:val="1"/>
                <w:color w:val="auto"/>
                <w:vertAlign w:val="superscript"/>
              </w:rPr>
              <w:t>(2)</w:t>
            </w:r>
          </w:p>
        </w:tc>
        <w:tc>
          <w:tcPr>
            <w:tcW w:w="44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340" w:type="dxa"/>
            <w:vAlign w:val="bottom"/>
            <w:gridSpan w:val="2"/>
          </w:tcPr>
          <w:p>
            <w:pPr>
              <w:jc w:val="right"/>
              <w:ind w:right="560"/>
              <w:spacing w:after="0" w:line="175" w:lineRule="exact"/>
              <w:rPr>
                <w:sz w:val="20"/>
                <w:szCs w:val="20"/>
                <w:color w:val="auto"/>
              </w:rPr>
            </w:pPr>
            <w:r>
              <w:rPr>
                <w:rFonts w:ascii="Arial" w:cs="Arial" w:eastAsia="Arial" w:hAnsi="Arial"/>
                <w:sz w:val="14"/>
                <w:szCs w:val="14"/>
                <w:b w:val="1"/>
                <w:bCs w:val="1"/>
                <w:color w:val="auto"/>
                <w:w w:val="97"/>
              </w:rPr>
              <w:t>Currency</w:t>
            </w:r>
            <w:r>
              <w:rPr>
                <w:rFonts w:ascii="Arial" w:cs="Arial" w:eastAsia="Arial" w:hAnsi="Arial"/>
                <w:sz w:val="20"/>
                <w:szCs w:val="20"/>
                <w:b w:val="1"/>
                <w:bCs w:val="1"/>
                <w:color w:val="auto"/>
                <w:w w:val="97"/>
                <w:vertAlign w:val="superscript"/>
              </w:rPr>
              <w:t>(1)</w:t>
            </w:r>
          </w:p>
        </w:tc>
        <w:tc>
          <w:tcPr>
            <w:tcW w:w="1080" w:type="dxa"/>
            <w:vAlign w:val="bottom"/>
            <w:gridSpan w:val="2"/>
          </w:tcPr>
          <w:p>
            <w:pPr>
              <w:jc w:val="right"/>
              <w:ind w:right="260"/>
              <w:spacing w:after="0" w:line="175" w:lineRule="exact"/>
              <w:rPr>
                <w:sz w:val="20"/>
                <w:szCs w:val="20"/>
                <w:color w:val="auto"/>
              </w:rPr>
            </w:pPr>
            <w:r>
              <w:rPr>
                <w:rFonts w:ascii="Arial" w:cs="Arial" w:eastAsia="Arial" w:hAnsi="Arial"/>
                <w:sz w:val="14"/>
                <w:szCs w:val="14"/>
                <w:b w:val="1"/>
                <w:bCs w:val="1"/>
                <w:color w:val="auto"/>
                <w:w w:val="93"/>
              </w:rPr>
              <w:t>Organic</w:t>
            </w:r>
            <w:r>
              <w:rPr>
                <w:rFonts w:ascii="Arial" w:cs="Arial" w:eastAsia="Arial" w:hAnsi="Arial"/>
                <w:sz w:val="20"/>
                <w:szCs w:val="20"/>
                <w:b w:val="1"/>
                <w:bCs w:val="1"/>
                <w:color w:val="auto"/>
                <w:w w:val="93"/>
                <w:vertAlign w:val="superscript"/>
              </w:rPr>
              <w:t>(1)(3)</w:t>
            </w:r>
          </w:p>
        </w:tc>
      </w:tr>
      <w:tr>
        <w:trPr>
          <w:trHeight w:val="203"/>
        </w:trPr>
        <w:tc>
          <w:tcPr>
            <w:tcW w:w="16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Legal Professionals</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8"/>
              </w:rPr>
              <w:t>$2,316</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89"/>
              </w:rPr>
              <w:t>$ 2,113</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w:t>
            </w:r>
          </w:p>
        </w:tc>
      </w:tr>
      <w:tr>
        <w:trPr>
          <w:trHeight w:val="203"/>
        </w:trPr>
        <w:tc>
          <w:tcPr>
            <w:tcW w:w="16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1,689</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1,517</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w:t>
            </w:r>
          </w:p>
        </w:tc>
      </w:tr>
      <w:tr>
        <w:trPr>
          <w:trHeight w:val="203"/>
        </w:trPr>
        <w:tc>
          <w:tcPr>
            <w:tcW w:w="160" w:type="dxa"/>
            <w:vAlign w:val="bottom"/>
          </w:tcPr>
          <w:p>
            <w:pPr>
              <w:spacing w:after="0"/>
              <w:rPr>
                <w:sz w:val="17"/>
                <w:szCs w:val="17"/>
                <w:color w:val="auto"/>
              </w:rPr>
            </w:pPr>
          </w:p>
        </w:tc>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997</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879</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12%</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w:t>
            </w:r>
          </w:p>
        </w:tc>
      </w:tr>
      <w:tr>
        <w:trPr>
          <w:trHeight w:val="27"/>
        </w:trPr>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16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5,002</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4,509</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r>
      <w:tr>
        <w:trPr>
          <w:trHeight w:val="203"/>
        </w:trPr>
        <w:tc>
          <w:tcPr>
            <w:tcW w:w="160" w:type="dxa"/>
            <w:vAlign w:val="bottom"/>
          </w:tcPr>
          <w:p>
            <w:pPr>
              <w:spacing w:after="0"/>
              <w:rPr>
                <w:sz w:val="17"/>
                <w:szCs w:val="17"/>
                <w:color w:val="auto"/>
              </w:rPr>
            </w:pPr>
          </w:p>
        </w:tc>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Reuters</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673</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621</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r>
      <w:tr>
        <w:trPr>
          <w:trHeight w:val="203"/>
        </w:trPr>
        <w:tc>
          <w:tcPr>
            <w:tcW w:w="16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Eliminations/Rounding</w:t>
            </w: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(24)</w:t>
            </w: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(17)</w:t>
            </w: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9"/>
        </w:trPr>
        <w:tc>
          <w:tcPr>
            <w:tcW w:w="16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5,651</w:t>
            </w:r>
          </w:p>
        </w:tc>
        <w:tc>
          <w:tcPr>
            <w:tcW w:w="4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$ 5,113</w:t>
            </w:r>
          </w:p>
        </w:tc>
        <w:tc>
          <w:tcPr>
            <w:tcW w:w="4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w:t>
            </w:r>
          </w:p>
        </w:tc>
      </w:tr>
      <w:tr>
        <w:trPr>
          <w:trHeight w:val="20"/>
        </w:trPr>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0"/>
        </w:trPr>
        <w:tc>
          <w:tcPr>
            <w:tcW w:w="160" w:type="dxa"/>
            <w:vAlign w:val="bottom"/>
            <w:shd w:val="clear" w:color="auto" w:fill="CCEEFF"/>
          </w:tcPr>
          <w:p>
            <w:pPr>
              <w:spacing w:after="0"/>
              <w:rPr>
                <w:sz w:val="14"/>
                <w:szCs w:val="14"/>
                <w:color w:val="auto"/>
              </w:rPr>
            </w:pPr>
          </w:p>
        </w:tc>
        <w:tc>
          <w:tcPr>
            <w:tcW w:w="5400" w:type="dxa"/>
            <w:vAlign w:val="bottom"/>
            <w:gridSpan w:val="2"/>
            <w:shd w:val="clear" w:color="auto" w:fill="CCEEFF"/>
          </w:tcPr>
          <w:p>
            <w:pPr>
              <w:spacing w:after="0" w:line="170"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9"/>
                <w:szCs w:val="19"/>
                <w:color w:val="auto"/>
                <w:vertAlign w:val="superscript"/>
              </w:rPr>
              <w:t>(1)</w:t>
            </w:r>
          </w:p>
        </w:tc>
        <w:tc>
          <w:tcPr>
            <w:tcW w:w="5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27"/>
        </w:trPr>
        <w:tc>
          <w:tcPr>
            <w:tcW w:w="16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r>
        <w:trPr>
          <w:trHeight w:val="203"/>
        </w:trPr>
        <w:tc>
          <w:tcPr>
            <w:tcW w:w="160" w:type="dxa"/>
            <w:vAlign w:val="bottom"/>
          </w:tcPr>
          <w:p>
            <w:pPr>
              <w:spacing w:after="0"/>
              <w:rPr>
                <w:sz w:val="17"/>
                <w:szCs w:val="17"/>
                <w:color w:val="auto"/>
              </w:rPr>
            </w:pPr>
          </w:p>
        </w:tc>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Legal Professionals</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8"/>
              </w:rPr>
              <w:t>$1,104</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8"/>
              </w:rPr>
              <w:t>$1,028</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16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640</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564</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13%</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424</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394</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7"/>
        </w:trPr>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16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2,168</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1,986</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Reuters</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138</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126</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15%</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16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Corporate Center</w:t>
            </w:r>
            <w:r>
              <w:rPr>
                <w:rFonts w:ascii="Arial" w:cs="Arial" w:eastAsia="Arial" w:hAnsi="Arial"/>
                <w:sz w:val="23"/>
                <w:szCs w:val="23"/>
                <w:color w:val="auto"/>
                <w:vertAlign w:val="superscript"/>
              </w:rPr>
              <w:t>(4)</w:t>
            </w: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(166)</w:t>
            </w: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(182)</w:t>
            </w: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020"/>
          </w:cols>
          <w:pgMar w:left="440" w:top="1093" w:right="439" w:bottom="1440" w:gutter="0" w:footer="0" w:header="0"/>
        </w:sectPr>
      </w:pPr>
    </w:p>
    <w:tbl>
      <w:tblPr>
        <w:tblLayout w:type="fixed"/>
        <w:tblInd w:w="160" w:type="dxa"/>
        <w:tblCellMar>
          <w:top w:w="0" w:type="dxa"/>
          <w:left w:w="0" w:type="dxa"/>
          <w:bottom w:w="0" w:type="dxa"/>
          <w:right w:w="0" w:type="dxa"/>
        </w:tblCellMar>
      </w:tblPr>
      <w:tr>
        <w:trPr>
          <w:trHeight w:val="216"/>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Adjusted EBITDA</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2,140</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1,930</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11%</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line="210" w:lineRule="exact"/>
              <w:rPr>
                <w:sz w:val="20"/>
                <w:szCs w:val="20"/>
                <w:color w:val="auto"/>
              </w:rPr>
            </w:pPr>
            <w:r>
              <w:rPr>
                <w:rFonts w:ascii="Arial" w:cs="Arial" w:eastAsia="Arial" w:hAnsi="Arial"/>
                <w:sz w:val="17"/>
                <w:szCs w:val="17"/>
                <w:b w:val="1"/>
                <w:bCs w:val="1"/>
                <w:color w:val="auto"/>
              </w:rPr>
              <w:t>Adjusted EBITDA Margin</w:t>
            </w:r>
            <w:r>
              <w:rPr>
                <w:rFonts w:ascii="Arial" w:cs="Arial" w:eastAsia="Arial" w:hAnsi="Arial"/>
                <w:sz w:val="24"/>
                <w:szCs w:val="24"/>
                <w:color w:val="auto"/>
                <w:vertAlign w:val="superscript"/>
              </w:rPr>
              <w:t>(1)</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00" w:type="dxa"/>
            <w:vAlign w:val="bottom"/>
            <w:gridSpan w:val="2"/>
            <w:vMerge w:val="continue"/>
          </w:tcPr>
          <w:p>
            <w:pPr>
              <w:spacing w:after="0"/>
              <w:rPr>
                <w:sz w:val="14"/>
                <w:szCs w:val="14"/>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47.7%</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48.6%</w:t>
            </w:r>
          </w:p>
        </w:tc>
        <w:tc>
          <w:tcPr>
            <w:tcW w:w="1120" w:type="dxa"/>
            <w:vAlign w:val="bottom"/>
            <w:vMerge w:val="restart"/>
          </w:tcPr>
          <w:p>
            <w:pPr>
              <w:jc w:val="right"/>
              <w:ind w:right="310"/>
              <w:spacing w:after="0"/>
              <w:rPr>
                <w:sz w:val="20"/>
                <w:szCs w:val="20"/>
                <w:color w:val="auto"/>
              </w:rPr>
            </w:pPr>
            <w:r>
              <w:rPr>
                <w:rFonts w:ascii="Arial" w:cs="Arial" w:eastAsia="Arial" w:hAnsi="Arial"/>
                <w:sz w:val="18"/>
                <w:szCs w:val="18"/>
                <w:color w:val="auto"/>
              </w:rPr>
              <w:t>-90bp</w:t>
            </w:r>
          </w:p>
        </w:tc>
        <w:tc>
          <w:tcPr>
            <w:tcW w:w="960" w:type="dxa"/>
            <w:vAlign w:val="bottom"/>
            <w:vMerge w:val="restart"/>
          </w:tcPr>
          <w:p>
            <w:pPr>
              <w:jc w:val="right"/>
              <w:ind w:right="70"/>
              <w:spacing w:after="0"/>
              <w:rPr>
                <w:sz w:val="20"/>
                <w:szCs w:val="20"/>
                <w:color w:val="auto"/>
              </w:rPr>
            </w:pPr>
            <w:r>
              <w:rPr>
                <w:rFonts w:ascii="Arial" w:cs="Arial" w:eastAsia="Arial" w:hAnsi="Arial"/>
                <w:sz w:val="18"/>
                <w:szCs w:val="18"/>
                <w:color w:val="auto"/>
              </w:rPr>
              <w:t>-100bp</w:t>
            </w:r>
          </w:p>
        </w:tc>
        <w:tc>
          <w:tcPr>
            <w:tcW w:w="0" w:type="dxa"/>
            <w:vAlign w:val="bottom"/>
          </w:tcPr>
          <w:p>
            <w:pPr>
              <w:spacing w:after="0"/>
              <w:rPr>
                <w:sz w:val="1"/>
                <w:szCs w:val="1"/>
                <w:color w:val="auto"/>
              </w:rPr>
            </w:pPr>
          </w:p>
        </w:tc>
      </w:tr>
      <w:tr>
        <w:trPr>
          <w:trHeight w:val="191"/>
        </w:trPr>
        <w:tc>
          <w:tcPr>
            <w:tcW w:w="21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Legal Professionals</w:t>
            </w:r>
          </w:p>
        </w:tc>
        <w:tc>
          <w:tcPr>
            <w:tcW w:w="3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Corporates</w:t>
            </w: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37.9%</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37.2%</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70bp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80bp</w:t>
            </w:r>
          </w:p>
        </w:tc>
        <w:tc>
          <w:tcPr>
            <w:tcW w:w="0" w:type="dxa"/>
            <w:vAlign w:val="bottom"/>
          </w:tcPr>
          <w:p>
            <w:pPr>
              <w:spacing w:after="0"/>
              <w:rPr>
                <w:sz w:val="1"/>
                <w:szCs w:val="1"/>
                <w:color w:val="auto"/>
              </w:rPr>
            </w:pP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42.5%</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43.9%</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-140bp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-130bp</w:t>
            </w:r>
          </w:p>
        </w:tc>
        <w:tc>
          <w:tcPr>
            <w:tcW w:w="0" w:type="dxa"/>
            <w:vAlign w:val="bottom"/>
          </w:tcPr>
          <w:p>
            <w:pPr>
              <w:spacing w:after="0"/>
              <w:rPr>
                <w:sz w:val="1"/>
                <w:szCs w:val="1"/>
                <w:color w:val="auto"/>
              </w:rPr>
            </w:pP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43.3%</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43.9%</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-60bp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-50bp</w:t>
            </w:r>
          </w:p>
        </w:tc>
        <w:tc>
          <w:tcPr>
            <w:tcW w:w="0" w:type="dxa"/>
            <w:vAlign w:val="bottom"/>
          </w:tcPr>
          <w:p>
            <w:pPr>
              <w:spacing w:after="0"/>
              <w:rPr>
                <w:sz w:val="1"/>
                <w:szCs w:val="1"/>
                <w:color w:val="auto"/>
              </w:rPr>
            </w:pP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Reuters</w:t>
            </w: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20.5%</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20.2%</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120bp</w:t>
            </w:r>
          </w:p>
        </w:tc>
        <w:tc>
          <w:tcPr>
            <w:tcW w:w="0" w:type="dxa"/>
            <w:vAlign w:val="bottom"/>
          </w:tcPr>
          <w:p>
            <w:pPr>
              <w:spacing w:after="0"/>
              <w:rPr>
                <w:sz w:val="1"/>
                <w:szCs w:val="1"/>
                <w:color w:val="auto"/>
              </w:rPr>
            </w:pPr>
          </w:p>
        </w:tc>
      </w:tr>
      <w:tr>
        <w:trPr>
          <w:trHeight w:val="247"/>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Adjusted EBITDA Margin</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37.9%</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37.6%</w:t>
            </w: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30bp</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40bp</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40" w:right="60" w:hanging="287"/>
        <w:spacing w:after="0" w:line="245" w:lineRule="auto"/>
        <w:rPr>
          <w:sz w:val="20"/>
          <w:szCs w:val="20"/>
          <w:color w:val="auto"/>
        </w:rPr>
      </w:pPr>
      <w:r>
        <w:rPr>
          <w:rFonts w:ascii="Arial" w:cs="Arial" w:eastAsia="Arial" w:hAnsi="Arial"/>
          <w:sz w:val="14"/>
          <w:szCs w:val="14"/>
          <w:i w:val="1"/>
          <w:iCs w:val="1"/>
          <w:color w:val="auto"/>
        </w:rPr>
        <w:t>(1)   The company uses certain non-IFRS financial measures as supplemental indicators of its operating performance and financial position. See the “Non-IFRS Financial Measures” section and the tables appended to this news release for additional information on these and other non-IFRS financial measures, including how they are defined and reconciled to the most directly comparable IFRS measures. To compute segment and consolidated adjusted EBITDA margin, the company excludes fair value adjustments related to acquired deferred revenue.</w:t>
      </w:r>
      <w:r>
        <w:rPr>
          <w:rFonts w:ascii="Arial" w:cs="Arial" w:eastAsia="Arial" w:hAnsi="Arial"/>
          <w:sz w:val="14"/>
          <w:szCs w:val="14"/>
          <w:color w:val="auto"/>
        </w:rPr>
        <w:t xml:space="preserve"> </w:t>
      </w:r>
    </w:p>
    <w:p>
      <w:pPr>
        <w:spacing w:after="0" w:line="3" w:lineRule="exact"/>
        <w:rPr>
          <w:sz w:val="20"/>
          <w:szCs w:val="20"/>
          <w:color w:val="auto"/>
        </w:rPr>
      </w:pPr>
    </w:p>
    <w:p>
      <w:pPr>
        <w:ind w:left="440" w:hanging="287"/>
        <w:spacing w:after="0" w:line="243" w:lineRule="auto"/>
        <w:rPr>
          <w:sz w:val="20"/>
          <w:szCs w:val="20"/>
          <w:color w:val="auto"/>
        </w:rPr>
      </w:pPr>
      <w:r>
        <w:rPr>
          <w:rFonts w:ascii="Arial" w:cs="Arial" w:eastAsia="Arial" w:hAnsi="Arial"/>
          <w:sz w:val="14"/>
          <w:szCs w:val="14"/>
          <w:i w:val="1"/>
          <w:iCs w:val="1"/>
          <w:color w:val="auto"/>
        </w:rPr>
        <w:t>(2)   For comparative purposes, 2025 segment results have been revised to reflect the current period presentation. For additional information, including a summary of how the changes impacted results for the three and nine months ended September 30, 2025, see the “Revision to Prior-Year Results” section of this news release.</w:t>
      </w:r>
      <w:r>
        <w:rPr>
          <w:rFonts w:ascii="Arial" w:cs="Arial" w:eastAsia="Arial" w:hAnsi="Arial"/>
          <w:sz w:val="14"/>
          <w:szCs w:val="14"/>
          <w:color w:val="auto"/>
        </w:rPr>
        <w:t xml:space="preserve"> </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(3)   Computed for revenue growth only.</w:t>
      </w:r>
      <w:r>
        <w:rPr>
          <w:rFonts w:ascii="Arial" w:cs="Arial" w:eastAsia="Arial" w:hAnsi="Arial"/>
          <w:sz w:val="14"/>
          <w:szCs w:val="14"/>
          <w:color w:val="auto"/>
        </w:rPr>
        <w:t xml:space="preserve"> </w:t>
      </w:r>
    </w:p>
    <w:p>
      <w:pPr>
        <w:spacing w:after="0" w:line="1" w:lineRule="exact"/>
        <w:rPr>
          <w:sz w:val="20"/>
          <w:szCs w:val="20"/>
          <w:color w:val="auto"/>
        </w:rPr>
      </w:pPr>
    </w:p>
    <w:p>
      <w:pPr>
        <w:ind w:left="160" w:right="460"/>
        <w:spacing w:after="0" w:line="264" w:lineRule="auto"/>
        <w:rPr>
          <w:sz w:val="20"/>
          <w:szCs w:val="20"/>
          <w:color w:val="auto"/>
        </w:rPr>
      </w:pPr>
      <w:r>
        <w:rPr>
          <w:rFonts w:ascii="Arial" w:cs="Arial" w:eastAsia="Arial" w:hAnsi="Arial"/>
          <w:sz w:val="14"/>
          <w:szCs w:val="14"/>
          <w:color w:val="auto"/>
        </w:rPr>
        <w:t xml:space="preserve">(4)   Corporate Center includes costs for centrally managed functions and certain content and editorial costs associated with our former Global Print business. </w:t>
      </w:r>
      <w:r>
        <w:rPr>
          <w:rFonts w:ascii="Arial" w:cs="Arial" w:eastAsia="Arial" w:hAnsi="Arial"/>
          <w:sz w:val="14"/>
          <w:szCs w:val="14"/>
          <w:i w:val="1"/>
          <w:iCs w:val="1"/>
          <w:color w:val="auto"/>
        </w:rPr>
        <w:t>n/a:  not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5" w:hanging="65"/>
        <w:spacing w:after="0"/>
        <w:tabs>
          <w:tab w:leader="none" w:pos="65" w:val="left"/>
        </w:tabs>
        <w:numPr>
          <w:ilvl w:val="0"/>
          <w:numId w:val="17"/>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36" w:lineRule="exact"/>
        <w:rPr>
          <w:rFonts w:ascii="Arial" w:cs="Arial" w:eastAsia="Arial" w:hAnsi="Arial"/>
          <w:sz w:val="12"/>
          <w:szCs w:val="12"/>
          <w:i w:val="1"/>
          <w:iCs w:val="1"/>
          <w:color w:val="auto"/>
        </w:rPr>
      </w:pPr>
    </w:p>
    <w:p>
      <w:pPr>
        <w:ind w:left="65" w:hanging="65"/>
        <w:spacing w:after="0"/>
        <w:tabs>
          <w:tab w:leader="none" w:pos="65" w:val="left"/>
        </w:tabs>
        <w:numPr>
          <w:ilvl w:val="0"/>
          <w:numId w:val="17"/>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24" w:lineRule="exact"/>
        <w:rPr>
          <w:rFonts w:ascii="Arial" w:cs="Arial" w:eastAsia="Arial" w:hAnsi="Arial"/>
          <w:sz w:val="12"/>
          <w:szCs w:val="12"/>
          <w:i w:val="1"/>
          <w:iCs w:val="1"/>
          <w:color w:val="auto"/>
        </w:rPr>
      </w:pPr>
    </w:p>
    <w:p>
      <w:pPr>
        <w:ind w:left="65" w:hanging="65"/>
        <w:spacing w:after="0"/>
        <w:tabs>
          <w:tab w:leader="none" w:pos="65" w:val="left"/>
        </w:tabs>
        <w:numPr>
          <w:ilvl w:val="0"/>
          <w:numId w:val="17"/>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24" w:lineRule="exact"/>
        <w:rPr>
          <w:rFonts w:ascii="Arial" w:cs="Arial" w:eastAsia="Arial" w:hAnsi="Arial"/>
          <w:sz w:val="12"/>
          <w:szCs w:val="12"/>
          <w:i w:val="1"/>
          <w:iCs w:val="1"/>
          <w:color w:val="auto"/>
        </w:rPr>
      </w:pPr>
    </w:p>
    <w:p>
      <w:pPr>
        <w:ind w:left="65" w:hanging="65"/>
        <w:spacing w:after="0"/>
        <w:tabs>
          <w:tab w:leader="none" w:pos="65" w:val="left"/>
        </w:tabs>
        <w:numPr>
          <w:ilvl w:val="0"/>
          <w:numId w:val="17"/>
        </w:numPr>
        <w:rPr>
          <w:rFonts w:ascii="Arial" w:cs="Arial" w:eastAsia="Arial" w:hAnsi="Arial"/>
          <w:sz w:val="12"/>
          <w:szCs w:val="12"/>
          <w:color w:val="auto"/>
        </w:rPr>
      </w:pPr>
      <w:r>
        <w:rPr>
          <w:rFonts w:ascii="Arial" w:cs="Arial" w:eastAsia="Arial" w:hAnsi="Arial"/>
          <w:sz w:val="12"/>
          <w:szCs w:val="12"/>
          <w:color w:val="auto"/>
        </w:rPr>
        <w:t>  </w:t>
      </w:r>
    </w:p>
    <w:p>
      <w:pPr>
        <w:spacing w:after="0" w:line="24" w:lineRule="exact"/>
        <w:rPr>
          <w:rFonts w:ascii="Arial" w:cs="Arial" w:eastAsia="Arial" w:hAnsi="Arial"/>
          <w:sz w:val="12"/>
          <w:szCs w:val="12"/>
          <w:color w:val="auto"/>
        </w:rPr>
      </w:pPr>
    </w:p>
    <w:p>
      <w:pPr>
        <w:ind w:left="5"/>
        <w:spacing w:after="0"/>
        <w:rPr>
          <w:rFonts w:ascii="Arial" w:cs="Arial" w:eastAsia="Arial" w:hAnsi="Arial"/>
          <w:sz w:val="12"/>
          <w:szCs w:val="12"/>
          <w:color w:val="auto"/>
        </w:rPr>
      </w:pPr>
      <w:r>
        <w:rPr>
          <w:rFonts w:ascii="Arial" w:cs="Arial" w:eastAsia="Arial" w:hAnsi="Arial"/>
          <w:sz w:val="14"/>
          <w:szCs w:val="14"/>
          <w:i w:val="1"/>
          <w:iCs w:val="1"/>
          <w:color w:val="auto"/>
        </w:rPr>
        <w:t>   </w:t>
      </w:r>
    </w:p>
    <w:p>
      <w:pPr>
        <w:sectPr>
          <w:pgSz w:w="11900" w:h="16838" w:orient="portrait"/>
          <w:cols w:equalWidth="0" w:num="2">
            <w:col w:w="10620" w:space="135"/>
            <w:col w:w="265"/>
          </w:cols>
          <w:pgMar w:left="440" w:top="1093" w:right="4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17295" cy="454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8 of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Global Print Transaction</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On October 1, 2026, Thomson Reuters completed the sale of a 51% stake in its Global Print business to capital accounts advised by KKR, with the two parties forming a joint venture to operate the Global Print business, now operating as Westbridge Print. Thomson Reuters received approximately $500 million in gross proceeds at closing and retained a 49% equity interest in the joint venture. Westbridge Print, an independent company, serves legal and tax professionals across 13 countries and provides commercial printing services to book publishers across a wide range of markets. Thomson Reuters maintains intellectual property rights and full editorial control over its content portfolio.</w:t>
      </w:r>
    </w:p>
    <w:p>
      <w:pPr>
        <w:spacing w:after="0" w:line="17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Beginning in the fourth quarter of 2026, Westbridge Print will pay a royalty to Thomson Reuters equal to 20% of its Professional revenues (approximately 85% – 90% of its total revenues) for the exclusive license to distribute the company’s intellectual property in print and on ProView, its eBook platform. Additionally, Westbridge Print entered a multi-year agreement whereby it will reimburse the company for certain transition services as the joint venture migrates to a stand-alone entity. The royalty and transition services reimbursement are largely expected to offset the stranded costs from the separation. As a result, the company expects the impact from the Global Print transaction to be approximately neutral to its adjusted EBITDA margin following the transaction close, as well as 60 – 70 basis points accretive to its annual organic revenue growth rate.</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part of the transaction, Thomson Reuters has agreed to provide certain financial support designed to give KKR a minimum return on its equity investment in the joint venture under certain circumstances. The company also expects to record a pre-tax gain on the transaction in the fourth quarter of 2026.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Updated 2026 Outlook</w:t>
      </w:r>
    </w:p>
    <w:p>
      <w:pPr>
        <w:spacing w:after="0" w:line="10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On August 5, 2026, Thomson Reuters provided a full year 2026 outlook for the company, which included its Global Print business (August 2026 outlook). On November 3, 2026, the company updated its 2026 full-year outlook for the total company to remove and reflect the results of its Global Print business as discontinued operations (November 2026 outlook). As a result, the financial measures presented for the total company in its November 2026 outlook were updated to reflect its expected performance on a continuing operations basis. The company’s November 2026 outlook for its “Big 3” segments was unchanged from its August 2026 outlook.</w:t>
      </w:r>
    </w:p>
    <w:p>
      <w:pPr>
        <w:spacing w:after="0" w:line="17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In addition to the updates to reflect the November 2026 outlook on a continuing operations basis, the company also raised its full year 2026 outlook for net interest expense to approximately $190 million representing the upper end of the $180 million - $190 million range from the company’s August 2026 outlook. The company’s updated outlook for net interest expense incorporates the recent debt issuance and the proceeds from the Global Print transaction. The company also adjusted its November 2026 outlook for depreciation and amortization of software.</w:t>
      </w:r>
    </w:p>
    <w:p>
      <w:pPr>
        <w:spacing w:after="0" w:line="176"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 table below presents the company’s November 2026 outlook on a continuing operations basis, which excludes the Global Print business, as well as the August 2026 outlook, which includes Global Print. Both full year 2026 outlooks assume constant currency rates and exclude the impact of any future acquisitions or dispositions that may occur during the remainder of the year. Thomson Reuters believes that this type of guidance provides useful insight into the anticipated performance of its businesses.</w:t>
      </w:r>
    </w:p>
    <w:p>
      <w:pPr>
        <w:spacing w:after="0" w:line="17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company’s August 2026 and November 2026 outlooks are forward-looking information that are subject to risks and uncertainties (see “Special Note Regarding Forward-Looking Statements, Material Risks and Material Assumptions”). In particular, the company continues to operate in an uncertain macroeconomic environment, reflecting ongoing geopolitical risk, uneven economic growth, and an evolving interest rate and inflationary backdrop. Any worsening of the global economic or business environment, among other factors, could impact the company’s ability to achieve its outlook.</w:t>
      </w:r>
    </w:p>
    <w:p>
      <w:pPr>
        <w:sectPr>
          <w:pgSz w:w="11900" w:h="16838" w:orient="portrait"/>
          <w:cols w:equalWidth="0" w:num="1">
            <w:col w:w="11000"/>
          </w:cols>
          <w:pgMar w:left="440" w:top="1093" w:right="45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17295" cy="454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9 of 23</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u w:val="single" w:color="auto"/>
          <w:color w:val="auto"/>
        </w:rPr>
        <w:t>Reported and Revised Full-Year 2025 Results; August 2026 and November 2026 Full-Year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4793615</wp:posOffset>
            </wp:positionH>
            <wp:positionV relativeFrom="paragraph">
              <wp:posOffset>169545</wp:posOffset>
            </wp:positionV>
            <wp:extent cx="2220595" cy="40201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0595" cy="4020185"/>
                    </a:xfrm>
                    <a:prstGeom prst="rect">
                      <a:avLst/>
                    </a:prstGeom>
                    <a:noFill/>
                  </pic:spPr>
                </pic:pic>
              </a:graphicData>
            </a:graphic>
          </wp:anchor>
        </w:drawing>
      </w:r>
    </w:p>
    <w:p>
      <w:pPr>
        <w:sectPr>
          <w:pgSz w:w="11900" w:h="16838" w:orient="portrait"/>
          <w:cols w:equalWidth="0" w:num="1">
            <w:col w:w="11040"/>
          </w:cols>
          <w:pgMar w:left="420" w:top="1093" w:right="439" w:bottom="1440" w:gutter="0" w:footer="0" w:header="0"/>
        </w:sect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3980" w:type="dxa"/>
            <w:vAlign w:val="bottom"/>
            <w:tcBorders>
              <w:top w:val="single" w:sz="8" w:color="A6A6A6"/>
              <w:left w:val="single" w:sz="8" w:color="A6A6A6"/>
              <w:right w:val="single" w:sz="8" w:color="A6A6A6"/>
            </w:tcBorders>
          </w:tcPr>
          <w:p>
            <w:pPr>
              <w:spacing w:after="0"/>
              <w:rPr>
                <w:sz w:val="24"/>
                <w:szCs w:val="24"/>
                <w:color w:val="auto"/>
              </w:rPr>
            </w:pPr>
          </w:p>
        </w:tc>
        <w:tc>
          <w:tcPr>
            <w:tcW w:w="100" w:type="dxa"/>
            <w:vAlign w:val="bottom"/>
            <w:tcBorders>
              <w:top w:val="single" w:sz="8" w:color="A6A6A6"/>
            </w:tcBorders>
          </w:tcPr>
          <w:p>
            <w:pPr>
              <w:spacing w:after="0"/>
              <w:rPr>
                <w:sz w:val="24"/>
                <w:szCs w:val="24"/>
                <w:color w:val="auto"/>
              </w:rPr>
            </w:pPr>
          </w:p>
        </w:tc>
        <w:tc>
          <w:tcPr>
            <w:tcW w:w="3360" w:type="dxa"/>
            <w:vAlign w:val="bottom"/>
            <w:tcBorders>
              <w:top w:val="single" w:sz="8" w:color="A6A6A6"/>
              <w:right w:val="single" w:sz="8" w:color="A6A6A6"/>
            </w:tcBorders>
            <w:gridSpan w:val="2"/>
          </w:tcPr>
          <w:p>
            <w:pPr>
              <w:ind w:left="640"/>
              <w:spacing w:after="0"/>
              <w:rPr>
                <w:sz w:val="20"/>
                <w:szCs w:val="20"/>
                <w:color w:val="auto"/>
              </w:rPr>
            </w:pPr>
            <w:r>
              <w:rPr>
                <w:rFonts w:ascii="Arial" w:cs="Arial" w:eastAsia="Arial" w:hAnsi="Arial"/>
                <w:sz w:val="20"/>
                <w:szCs w:val="20"/>
                <w:b w:val="1"/>
                <w:bCs w:val="1"/>
                <w:color w:val="404040"/>
              </w:rPr>
              <w:t>Including Global Print</w:t>
            </w:r>
          </w:p>
        </w:tc>
        <w:tc>
          <w:tcPr>
            <w:tcW w:w="0" w:type="dxa"/>
            <w:vAlign w:val="bottom"/>
          </w:tcPr>
          <w:p>
            <w:pPr>
              <w:spacing w:after="0"/>
              <w:rPr>
                <w:sz w:val="1"/>
                <w:szCs w:val="1"/>
                <w:color w:val="auto"/>
              </w:rPr>
            </w:pPr>
          </w:p>
        </w:tc>
      </w:tr>
      <w:tr>
        <w:trPr>
          <w:trHeight w:val="28"/>
        </w:trPr>
        <w:tc>
          <w:tcPr>
            <w:tcW w:w="3980" w:type="dxa"/>
            <w:vAlign w:val="bottom"/>
            <w:tcBorders>
              <w:left w:val="single" w:sz="8" w:color="A6A6A6"/>
              <w:bottom w:val="single" w:sz="8" w:color="A6A6A6"/>
              <w:right w:val="single" w:sz="8" w:color="A6A6A6"/>
            </w:tcBorders>
          </w:tcPr>
          <w:p>
            <w:pPr>
              <w:spacing w:after="0"/>
              <w:rPr>
                <w:sz w:val="2"/>
                <w:szCs w:val="2"/>
                <w:color w:val="auto"/>
              </w:rPr>
            </w:pPr>
          </w:p>
        </w:tc>
        <w:tc>
          <w:tcPr>
            <w:tcW w:w="100" w:type="dxa"/>
            <w:vAlign w:val="bottom"/>
            <w:tcBorders>
              <w:bottom w:val="single" w:sz="8" w:color="A6A6A6"/>
            </w:tcBorders>
          </w:tcPr>
          <w:p>
            <w:pPr>
              <w:spacing w:after="0"/>
              <w:rPr>
                <w:sz w:val="2"/>
                <w:szCs w:val="2"/>
                <w:color w:val="auto"/>
              </w:rPr>
            </w:pPr>
          </w:p>
        </w:tc>
        <w:tc>
          <w:tcPr>
            <w:tcW w:w="1340" w:type="dxa"/>
            <w:vAlign w:val="bottom"/>
            <w:tcBorders>
              <w:bottom w:val="single" w:sz="8" w:color="A6A6A6"/>
            </w:tcBorders>
          </w:tcPr>
          <w:p>
            <w:pPr>
              <w:spacing w:after="0"/>
              <w:rPr>
                <w:sz w:val="2"/>
                <w:szCs w:val="2"/>
                <w:color w:val="auto"/>
              </w:rPr>
            </w:pPr>
          </w:p>
        </w:tc>
        <w:tc>
          <w:tcPr>
            <w:tcW w:w="2020" w:type="dxa"/>
            <w:vAlign w:val="bottom"/>
            <w:tcBorders>
              <w:bottom w:val="single" w:sz="8" w:color="A6A6A6"/>
              <w:right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980" w:type="dxa"/>
            <w:vAlign w:val="bottom"/>
            <w:tcBorders>
              <w:left w:val="single" w:sz="8" w:color="A6A6A6"/>
              <w:right w:val="single" w:sz="8" w:color="A6A6A6"/>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20"/>
                <w:szCs w:val="20"/>
                <w:b w:val="1"/>
                <w:bCs w:val="1"/>
                <w:color w:val="404040"/>
                <w:w w:val="97"/>
              </w:rPr>
              <w:t>FY 2025</w:t>
            </w:r>
          </w:p>
        </w:tc>
        <w:tc>
          <w:tcPr>
            <w:tcW w:w="2020" w:type="dxa"/>
            <w:vAlign w:val="bottom"/>
            <w:tcBorders>
              <w:right w:val="single" w:sz="8" w:color="A6A6A6"/>
            </w:tcBorders>
          </w:tcPr>
          <w:p>
            <w:pPr>
              <w:jc w:val="center"/>
              <w:spacing w:after="0"/>
              <w:rPr>
                <w:sz w:val="20"/>
                <w:szCs w:val="20"/>
                <w:color w:val="auto"/>
              </w:rPr>
            </w:pPr>
            <w:r>
              <w:rPr>
                <w:rFonts w:ascii="Arial" w:cs="Arial" w:eastAsia="Arial" w:hAnsi="Arial"/>
                <w:sz w:val="20"/>
                <w:szCs w:val="20"/>
                <w:b w:val="1"/>
                <w:bCs w:val="1"/>
                <w:color w:val="D64000"/>
              </w:rPr>
              <w:t>FY 2026</w:t>
            </w:r>
          </w:p>
        </w:tc>
        <w:tc>
          <w:tcPr>
            <w:tcW w:w="0" w:type="dxa"/>
            <w:vAlign w:val="bottom"/>
          </w:tcPr>
          <w:p>
            <w:pPr>
              <w:spacing w:after="0"/>
              <w:rPr>
                <w:sz w:val="1"/>
                <w:szCs w:val="1"/>
                <w:color w:val="auto"/>
              </w:rPr>
            </w:pPr>
          </w:p>
        </w:tc>
      </w:tr>
      <w:tr>
        <w:trPr>
          <w:trHeight w:val="108"/>
        </w:trPr>
        <w:tc>
          <w:tcPr>
            <w:tcW w:w="3980" w:type="dxa"/>
            <w:vAlign w:val="bottom"/>
            <w:tcBorders>
              <w:left w:val="single" w:sz="8" w:color="A6A6A6"/>
              <w:right w:val="single" w:sz="8" w:color="A6A6A6"/>
            </w:tcBorders>
            <w:vMerge w:val="restart"/>
          </w:tcPr>
          <w:p>
            <w:pPr>
              <w:ind w:left="180"/>
              <w:spacing w:after="0" w:line="216" w:lineRule="exact"/>
              <w:rPr>
                <w:sz w:val="20"/>
                <w:szCs w:val="20"/>
                <w:color w:val="auto"/>
              </w:rPr>
            </w:pPr>
            <w:r>
              <w:rPr>
                <w:rFonts w:ascii="Arial" w:cs="Arial" w:eastAsia="Arial" w:hAnsi="Arial"/>
                <w:sz w:val="20"/>
                <w:szCs w:val="20"/>
                <w:b w:val="1"/>
                <w:bCs w:val="1"/>
                <w:color w:val="D64000"/>
              </w:rPr>
              <w:t>Total Thomson Reuters</w:t>
            </w:r>
          </w:p>
        </w:tc>
        <w:tc>
          <w:tcPr>
            <w:tcW w:w="100" w:type="dxa"/>
            <w:vAlign w:val="bottom"/>
          </w:tcPr>
          <w:p>
            <w:pPr>
              <w:spacing w:after="0"/>
              <w:rPr>
                <w:sz w:val="9"/>
                <w:szCs w:val="9"/>
                <w:color w:val="auto"/>
              </w:rPr>
            </w:pPr>
          </w:p>
        </w:tc>
        <w:tc>
          <w:tcPr>
            <w:tcW w:w="1340" w:type="dxa"/>
            <w:vAlign w:val="bottom"/>
            <w:tcBorders>
              <w:right w:val="single" w:sz="8" w:color="A6A6A6"/>
            </w:tcBorders>
            <w:vMerge w:val="continue"/>
          </w:tcPr>
          <w:p>
            <w:pPr>
              <w:spacing w:after="0"/>
              <w:rPr>
                <w:sz w:val="9"/>
                <w:szCs w:val="9"/>
                <w:color w:val="auto"/>
              </w:rPr>
            </w:pPr>
          </w:p>
        </w:tc>
        <w:tc>
          <w:tcPr>
            <w:tcW w:w="2020" w:type="dxa"/>
            <w:vAlign w:val="bottom"/>
            <w:tcBorders>
              <w:right w:val="single" w:sz="8" w:color="A6A6A6"/>
            </w:tcBorders>
            <w:vMerge w:val="restart"/>
          </w:tcPr>
          <w:p>
            <w:pPr>
              <w:jc w:val="center"/>
              <w:spacing w:after="0" w:line="216" w:lineRule="exact"/>
              <w:rPr>
                <w:sz w:val="20"/>
                <w:szCs w:val="20"/>
                <w:color w:val="auto"/>
              </w:rPr>
            </w:pPr>
            <w:r>
              <w:rPr>
                <w:rFonts w:ascii="Arial" w:cs="Arial" w:eastAsia="Arial" w:hAnsi="Arial"/>
                <w:sz w:val="20"/>
                <w:szCs w:val="20"/>
                <w:b w:val="1"/>
                <w:bCs w:val="1"/>
                <w:color w:val="D64000"/>
              </w:rPr>
              <w:t>Outlook</w:t>
            </w:r>
          </w:p>
        </w:tc>
        <w:tc>
          <w:tcPr>
            <w:tcW w:w="0" w:type="dxa"/>
            <w:vAlign w:val="bottom"/>
          </w:tcPr>
          <w:p>
            <w:pPr>
              <w:spacing w:after="0"/>
              <w:rPr>
                <w:sz w:val="1"/>
                <w:szCs w:val="1"/>
                <w:color w:val="auto"/>
              </w:rPr>
            </w:pPr>
          </w:p>
        </w:tc>
      </w:tr>
      <w:tr>
        <w:trPr>
          <w:trHeight w:val="108"/>
        </w:trPr>
        <w:tc>
          <w:tcPr>
            <w:tcW w:w="3980" w:type="dxa"/>
            <w:vAlign w:val="bottom"/>
            <w:tcBorders>
              <w:left w:val="single" w:sz="8" w:color="A6A6A6"/>
              <w:right w:val="single" w:sz="8" w:color="A6A6A6"/>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20"/>
                <w:szCs w:val="20"/>
                <w:b w:val="1"/>
                <w:bCs w:val="1"/>
                <w:color w:val="404040"/>
                <w:w w:val="97"/>
              </w:rPr>
              <w:t>Reported</w:t>
            </w:r>
          </w:p>
        </w:tc>
        <w:tc>
          <w:tcPr>
            <w:tcW w:w="2020" w:type="dxa"/>
            <w:vAlign w:val="bottom"/>
            <w:tcBorders>
              <w:right w:val="single" w:sz="8" w:color="A6A6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980" w:type="dxa"/>
            <w:vAlign w:val="bottom"/>
            <w:tcBorders>
              <w:left w:val="single" w:sz="8" w:color="A6A6A6"/>
              <w:right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right w:val="single" w:sz="8" w:color="A6A6A6"/>
            </w:tcBorders>
            <w:vMerge w:val="continue"/>
          </w:tcPr>
          <w:p>
            <w:pPr>
              <w:spacing w:after="0"/>
              <w:rPr>
                <w:sz w:val="14"/>
                <w:szCs w:val="14"/>
                <w:color w:val="auto"/>
              </w:rPr>
            </w:pPr>
          </w:p>
        </w:tc>
        <w:tc>
          <w:tcPr>
            <w:tcW w:w="202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20"/>
                <w:szCs w:val="20"/>
                <w:b w:val="1"/>
                <w:bCs w:val="1"/>
                <w:color w:val="D64000"/>
                <w:w w:val="97"/>
              </w:rPr>
              <w:t>8/5/2026</w:t>
            </w:r>
          </w:p>
        </w:tc>
        <w:tc>
          <w:tcPr>
            <w:tcW w:w="0" w:type="dxa"/>
            <w:vAlign w:val="bottom"/>
          </w:tcPr>
          <w:p>
            <w:pPr>
              <w:spacing w:after="0"/>
              <w:rPr>
                <w:sz w:val="1"/>
                <w:szCs w:val="1"/>
                <w:color w:val="auto"/>
              </w:rPr>
            </w:pPr>
          </w:p>
        </w:tc>
      </w:tr>
      <w:tr>
        <w:trPr>
          <w:trHeight w:val="108"/>
        </w:trPr>
        <w:tc>
          <w:tcPr>
            <w:tcW w:w="3980" w:type="dxa"/>
            <w:vAlign w:val="bottom"/>
            <w:tcBorders>
              <w:left w:val="single" w:sz="8" w:color="A6A6A6"/>
              <w:right w:val="single" w:sz="8" w:color="A6A6A6"/>
            </w:tcBorders>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Borders>
              <w:right w:val="single" w:sz="8" w:color="A6A6A6"/>
            </w:tcBorders>
          </w:tcPr>
          <w:p>
            <w:pPr>
              <w:spacing w:after="0"/>
              <w:rPr>
                <w:sz w:val="9"/>
                <w:szCs w:val="9"/>
                <w:color w:val="auto"/>
              </w:rPr>
            </w:pPr>
          </w:p>
        </w:tc>
        <w:tc>
          <w:tcPr>
            <w:tcW w:w="2020" w:type="dxa"/>
            <w:vAlign w:val="bottom"/>
            <w:tcBorders>
              <w:right w:val="single" w:sz="8" w:color="A6A6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980" w:type="dxa"/>
            <w:vAlign w:val="bottom"/>
            <w:tcBorders>
              <w:left w:val="single" w:sz="8" w:color="A6A6A6"/>
              <w:bottom w:val="single" w:sz="8" w:color="A6A6A6"/>
              <w:right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340" w:type="dxa"/>
            <w:vAlign w:val="bottom"/>
            <w:tcBorders>
              <w:bottom w:val="single" w:sz="8" w:color="A6A6A6"/>
              <w:right w:val="single" w:sz="8" w:color="A6A6A6"/>
            </w:tcBorders>
          </w:tcPr>
          <w:p>
            <w:pPr>
              <w:spacing w:after="0"/>
              <w:rPr>
                <w:sz w:val="3"/>
                <w:szCs w:val="3"/>
                <w:color w:val="auto"/>
              </w:rPr>
            </w:pPr>
          </w:p>
        </w:tc>
        <w:tc>
          <w:tcPr>
            <w:tcW w:w="2020" w:type="dxa"/>
            <w:vAlign w:val="bottom"/>
            <w:tcBorders>
              <w:bottom w:val="single" w:sz="8" w:color="A6A6A6"/>
              <w:right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3980" w:type="dxa"/>
            <w:vAlign w:val="bottom"/>
            <w:tcBorders>
              <w:left w:val="single" w:sz="8" w:color="A6A6A6"/>
              <w:bottom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Total Revenue Growth</w:t>
            </w:r>
          </w:p>
        </w:tc>
        <w:tc>
          <w:tcPr>
            <w:tcW w:w="1440" w:type="dxa"/>
            <w:vAlign w:val="bottom"/>
            <w:tcBorders>
              <w:bottom w:val="single" w:sz="8" w:color="A6A6A6"/>
              <w:right w:val="single" w:sz="8" w:color="A6A6A6"/>
            </w:tcBorders>
            <w:gridSpan w:val="2"/>
            <w:shd w:val="clear" w:color="auto" w:fill="F2F2F2"/>
          </w:tcPr>
          <w:p>
            <w:pPr>
              <w:jc w:val="center"/>
              <w:spacing w:after="0" w:line="296" w:lineRule="exact"/>
              <w:rPr>
                <w:sz w:val="20"/>
                <w:szCs w:val="20"/>
                <w:color w:val="auto"/>
              </w:rPr>
            </w:pPr>
            <w:r>
              <w:rPr>
                <w:rFonts w:ascii="Arial" w:cs="Arial" w:eastAsia="Arial" w:hAnsi="Arial"/>
                <w:sz w:val="32"/>
                <w:szCs w:val="32"/>
                <w:color w:val="auto"/>
                <w:w w:val="83"/>
                <w:vertAlign w:val="subscript"/>
              </w:rPr>
              <w:t>3%</w:t>
            </w:r>
            <w:r>
              <w:rPr>
                <w:rFonts w:ascii="Arial" w:cs="Arial" w:eastAsia="Arial" w:hAnsi="Arial"/>
                <w:sz w:val="12"/>
                <w:szCs w:val="12"/>
                <w:color w:val="auto"/>
                <w:w w:val="83"/>
              </w:rPr>
              <w:t>(4)</w:t>
            </w:r>
          </w:p>
        </w:tc>
        <w:tc>
          <w:tcPr>
            <w:tcW w:w="2020" w:type="dxa"/>
            <w:vAlign w:val="bottom"/>
            <w:tcBorders>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 8.0%</w:t>
            </w:r>
          </w:p>
        </w:tc>
        <w:tc>
          <w:tcPr>
            <w:tcW w:w="0" w:type="dxa"/>
            <w:vAlign w:val="bottom"/>
          </w:tcPr>
          <w:p>
            <w:pPr>
              <w:spacing w:after="0"/>
              <w:rPr>
                <w:sz w:val="1"/>
                <w:szCs w:val="1"/>
                <w:color w:val="auto"/>
              </w:rPr>
            </w:pPr>
          </w:p>
        </w:tc>
      </w:tr>
      <w:tr>
        <w:trPr>
          <w:trHeight w:val="304"/>
        </w:trPr>
        <w:tc>
          <w:tcPr>
            <w:tcW w:w="3980" w:type="dxa"/>
            <w:vAlign w:val="bottom"/>
            <w:tcBorders>
              <w:left w:val="single" w:sz="8" w:color="A6A6A6"/>
              <w:bottom w:val="single" w:sz="8" w:color="A6A6A6"/>
              <w:right w:val="single" w:sz="8" w:color="A6A6A6"/>
            </w:tcBorders>
          </w:tcPr>
          <w:p>
            <w:pPr>
              <w:ind w:left="180"/>
              <w:spacing w:after="0"/>
              <w:rPr>
                <w:sz w:val="20"/>
                <w:szCs w:val="20"/>
                <w:color w:val="auto"/>
              </w:rPr>
            </w:pPr>
            <w:r>
              <w:rPr>
                <w:rFonts w:ascii="Arial" w:cs="Arial" w:eastAsia="Arial" w:hAnsi="Arial"/>
                <w:sz w:val="16"/>
                <w:szCs w:val="16"/>
                <w:color w:val="auto"/>
              </w:rPr>
              <w:t>Organic Revenue Growth</w:t>
            </w:r>
            <w:r>
              <w:rPr>
                <w:rFonts w:ascii="Arial" w:cs="Arial" w:eastAsia="Arial" w:hAnsi="Arial"/>
                <w:sz w:val="24"/>
                <w:szCs w:val="24"/>
                <w:color w:val="auto"/>
                <w:vertAlign w:val="superscript"/>
              </w:rPr>
              <w:t>(1)</w:t>
            </w:r>
          </w:p>
        </w:tc>
        <w:tc>
          <w:tcPr>
            <w:tcW w:w="1440" w:type="dxa"/>
            <w:vAlign w:val="bottom"/>
            <w:tcBorders>
              <w:bottom w:val="single" w:sz="8" w:color="A6A6A6"/>
              <w:right w:val="single" w:sz="8" w:color="A6A6A6"/>
            </w:tcBorders>
            <w:gridSpan w:val="2"/>
          </w:tcPr>
          <w:p>
            <w:pPr>
              <w:jc w:val="center"/>
              <w:ind w:left="4"/>
              <w:spacing w:after="0"/>
              <w:rPr>
                <w:sz w:val="20"/>
                <w:szCs w:val="20"/>
                <w:color w:val="auto"/>
              </w:rPr>
            </w:pPr>
            <w:r>
              <w:rPr>
                <w:rFonts w:ascii="Arial" w:cs="Arial" w:eastAsia="Arial" w:hAnsi="Arial"/>
                <w:sz w:val="16"/>
                <w:szCs w:val="16"/>
                <w:color w:val="auto"/>
              </w:rPr>
              <w:t>7%</w:t>
            </w:r>
          </w:p>
        </w:tc>
        <w:tc>
          <w:tcPr>
            <w:tcW w:w="20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rPr>
              <w:t>~ 8.0%</w:t>
            </w:r>
          </w:p>
        </w:tc>
        <w:tc>
          <w:tcPr>
            <w:tcW w:w="0" w:type="dxa"/>
            <w:vAlign w:val="bottom"/>
          </w:tcPr>
          <w:p>
            <w:pPr>
              <w:spacing w:after="0"/>
              <w:rPr>
                <w:sz w:val="1"/>
                <w:szCs w:val="1"/>
                <w:color w:val="auto"/>
              </w:rPr>
            </w:pPr>
          </w:p>
        </w:tc>
      </w:tr>
      <w:tr>
        <w:trPr>
          <w:trHeight w:val="304"/>
        </w:trPr>
        <w:tc>
          <w:tcPr>
            <w:tcW w:w="3980" w:type="dxa"/>
            <w:vAlign w:val="bottom"/>
            <w:tcBorders>
              <w:left w:val="single" w:sz="8" w:color="A6A6A6"/>
              <w:bottom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Adjusted EBITDA Margin</w:t>
            </w:r>
            <w:r>
              <w:rPr>
                <w:rFonts w:ascii="Arial" w:cs="Arial" w:eastAsia="Arial" w:hAnsi="Arial"/>
                <w:sz w:val="24"/>
                <w:szCs w:val="24"/>
                <w:color w:val="auto"/>
                <w:vertAlign w:val="superscript"/>
              </w:rPr>
              <w:t>(1)</w:t>
            </w:r>
          </w:p>
        </w:tc>
        <w:tc>
          <w:tcPr>
            <w:tcW w:w="1440" w:type="dxa"/>
            <w:vAlign w:val="bottom"/>
            <w:tcBorders>
              <w:bottom w:val="single" w:sz="8" w:color="A6A6A6"/>
              <w:right w:val="single" w:sz="8" w:color="A6A6A6"/>
            </w:tcBorders>
            <w:gridSpan w:val="2"/>
            <w:shd w:val="clear" w:color="auto" w:fill="F2F2F2"/>
          </w:tcPr>
          <w:p>
            <w:pPr>
              <w:jc w:val="center"/>
              <w:spacing w:after="0"/>
              <w:rPr>
                <w:sz w:val="20"/>
                <w:szCs w:val="20"/>
                <w:color w:val="auto"/>
              </w:rPr>
            </w:pPr>
            <w:r>
              <w:rPr>
                <w:rFonts w:ascii="Arial" w:cs="Arial" w:eastAsia="Arial" w:hAnsi="Arial"/>
                <w:sz w:val="16"/>
                <w:szCs w:val="16"/>
                <w:color w:val="auto"/>
              </w:rPr>
              <w:t>39.2%</w:t>
            </w:r>
          </w:p>
        </w:tc>
        <w:tc>
          <w:tcPr>
            <w:tcW w:w="2020" w:type="dxa"/>
            <w:vAlign w:val="bottom"/>
            <w:tcBorders>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+100bps vs 2025</w:t>
            </w:r>
          </w:p>
        </w:tc>
        <w:tc>
          <w:tcPr>
            <w:tcW w:w="0" w:type="dxa"/>
            <w:vAlign w:val="bottom"/>
          </w:tcPr>
          <w:p>
            <w:pPr>
              <w:spacing w:after="0"/>
              <w:rPr>
                <w:sz w:val="1"/>
                <w:szCs w:val="1"/>
                <w:color w:val="auto"/>
              </w:rPr>
            </w:pPr>
          </w:p>
        </w:tc>
      </w:tr>
      <w:tr>
        <w:trPr>
          <w:trHeight w:val="304"/>
        </w:trPr>
        <w:tc>
          <w:tcPr>
            <w:tcW w:w="3980" w:type="dxa"/>
            <w:vAlign w:val="bottom"/>
            <w:tcBorders>
              <w:left w:val="single" w:sz="8" w:color="A6A6A6"/>
              <w:bottom w:val="single" w:sz="8" w:color="A6A6A6"/>
              <w:right w:val="single" w:sz="8" w:color="A6A6A6"/>
            </w:tcBorders>
          </w:tcPr>
          <w:p>
            <w:pPr>
              <w:ind w:left="180"/>
              <w:spacing w:after="0"/>
              <w:rPr>
                <w:sz w:val="20"/>
                <w:szCs w:val="20"/>
                <w:color w:val="auto"/>
              </w:rPr>
            </w:pPr>
            <w:r>
              <w:rPr>
                <w:rFonts w:ascii="Arial" w:cs="Arial" w:eastAsia="Arial" w:hAnsi="Arial"/>
                <w:sz w:val="16"/>
                <w:szCs w:val="16"/>
                <w:color w:val="auto"/>
              </w:rPr>
              <w:t>Corporate Center</w:t>
            </w:r>
            <w:r>
              <w:rPr>
                <w:rFonts w:ascii="Arial" w:cs="Arial" w:eastAsia="Arial" w:hAnsi="Arial"/>
                <w:sz w:val="24"/>
                <w:szCs w:val="24"/>
                <w:color w:val="auto"/>
                <w:vertAlign w:val="superscript"/>
              </w:rPr>
              <w:t>(2)</w:t>
            </w:r>
          </w:p>
        </w:tc>
        <w:tc>
          <w:tcPr>
            <w:tcW w:w="100" w:type="dxa"/>
            <w:vAlign w:val="bottom"/>
            <w:tcBorders>
              <w:bottom w:val="single" w:sz="8" w:color="A6A6A6"/>
            </w:tcBorders>
          </w:tcPr>
          <w:p>
            <w:pPr>
              <w:spacing w:after="0"/>
              <w:rPr>
                <w:sz w:val="24"/>
                <w:szCs w:val="24"/>
                <w:color w:val="auto"/>
              </w:rPr>
            </w:pPr>
          </w:p>
        </w:tc>
        <w:tc>
          <w:tcPr>
            <w:tcW w:w="134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rPr>
              <w:t>$118 million</w:t>
            </w:r>
          </w:p>
        </w:tc>
        <w:tc>
          <w:tcPr>
            <w:tcW w:w="20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w w:val="97"/>
              </w:rPr>
              <w:t>$115 - $125 million </w:t>
            </w:r>
          </w:p>
        </w:tc>
        <w:tc>
          <w:tcPr>
            <w:tcW w:w="0" w:type="dxa"/>
            <w:vAlign w:val="bottom"/>
          </w:tcPr>
          <w:p>
            <w:pPr>
              <w:spacing w:after="0"/>
              <w:rPr>
                <w:sz w:val="1"/>
                <w:szCs w:val="1"/>
                <w:color w:val="auto"/>
              </w:rPr>
            </w:pPr>
          </w:p>
        </w:tc>
      </w:tr>
      <w:tr>
        <w:trPr>
          <w:trHeight w:val="304"/>
        </w:trPr>
        <w:tc>
          <w:tcPr>
            <w:tcW w:w="3980" w:type="dxa"/>
            <w:vAlign w:val="bottom"/>
            <w:tcBorders>
              <w:left w:val="single" w:sz="8" w:color="A6A6A6"/>
              <w:bottom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Free Cash Flow</w:t>
            </w:r>
            <w:r>
              <w:rPr>
                <w:rFonts w:ascii="Arial" w:cs="Arial" w:eastAsia="Arial" w:hAnsi="Arial"/>
                <w:sz w:val="24"/>
                <w:szCs w:val="24"/>
                <w:color w:val="auto"/>
                <w:vertAlign w:val="superscript"/>
              </w:rPr>
              <w:t>(1)(3)</w:t>
            </w:r>
          </w:p>
        </w:tc>
        <w:tc>
          <w:tcPr>
            <w:tcW w:w="100" w:type="dxa"/>
            <w:vAlign w:val="bottom"/>
            <w:tcBorders>
              <w:bottom w:val="single" w:sz="8" w:color="A6A6A6"/>
            </w:tcBorders>
            <w:shd w:val="clear" w:color="auto" w:fill="F2F2F2"/>
          </w:tcPr>
          <w:p>
            <w:pPr>
              <w:spacing w:after="0"/>
              <w:rPr>
                <w:sz w:val="24"/>
                <w:szCs w:val="24"/>
                <w:color w:val="auto"/>
              </w:rPr>
            </w:pPr>
          </w:p>
        </w:tc>
        <w:tc>
          <w:tcPr>
            <w:tcW w:w="1340" w:type="dxa"/>
            <w:vAlign w:val="bottom"/>
            <w:tcBorders>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$1.95 billion</w:t>
            </w:r>
          </w:p>
        </w:tc>
        <w:tc>
          <w:tcPr>
            <w:tcW w:w="2020" w:type="dxa"/>
            <w:vAlign w:val="bottom"/>
            <w:tcBorders>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 $2.1 billion</w:t>
            </w:r>
          </w:p>
        </w:tc>
        <w:tc>
          <w:tcPr>
            <w:tcW w:w="0" w:type="dxa"/>
            <w:vAlign w:val="bottom"/>
          </w:tcPr>
          <w:p>
            <w:pPr>
              <w:spacing w:after="0"/>
              <w:rPr>
                <w:sz w:val="1"/>
                <w:szCs w:val="1"/>
                <w:color w:val="auto"/>
              </w:rPr>
            </w:pPr>
          </w:p>
        </w:tc>
      </w:tr>
      <w:tr>
        <w:trPr>
          <w:trHeight w:val="304"/>
        </w:trPr>
        <w:tc>
          <w:tcPr>
            <w:tcW w:w="3980" w:type="dxa"/>
            <w:vAlign w:val="bottom"/>
            <w:tcBorders>
              <w:left w:val="single" w:sz="8" w:color="A6A6A6"/>
              <w:bottom w:val="single" w:sz="8" w:color="A6A6A6"/>
              <w:right w:val="single" w:sz="8" w:color="A6A6A6"/>
            </w:tcBorders>
          </w:tcPr>
          <w:p>
            <w:pPr>
              <w:ind w:left="180"/>
              <w:spacing w:after="0"/>
              <w:rPr>
                <w:sz w:val="20"/>
                <w:szCs w:val="20"/>
                <w:color w:val="auto"/>
              </w:rPr>
            </w:pPr>
            <w:r>
              <w:rPr>
                <w:rFonts w:ascii="Arial" w:cs="Arial" w:eastAsia="Arial" w:hAnsi="Arial"/>
                <w:sz w:val="16"/>
                <w:szCs w:val="16"/>
                <w:color w:val="auto"/>
              </w:rPr>
              <w:t>Accrued Capex as % of Revenues</w:t>
            </w:r>
            <w:r>
              <w:rPr>
                <w:rFonts w:ascii="Arial" w:cs="Arial" w:eastAsia="Arial" w:hAnsi="Arial"/>
                <w:sz w:val="24"/>
                <w:szCs w:val="24"/>
                <w:color w:val="auto"/>
                <w:vertAlign w:val="superscript"/>
              </w:rPr>
              <w:t>(1)</w:t>
            </w:r>
          </w:p>
        </w:tc>
        <w:tc>
          <w:tcPr>
            <w:tcW w:w="1440" w:type="dxa"/>
            <w:vAlign w:val="bottom"/>
            <w:tcBorders>
              <w:bottom w:val="single" w:sz="8" w:color="A6A6A6"/>
              <w:right w:val="single" w:sz="8" w:color="A6A6A6"/>
            </w:tcBorders>
            <w:gridSpan w:val="2"/>
          </w:tcPr>
          <w:p>
            <w:pPr>
              <w:jc w:val="center"/>
              <w:spacing w:after="0"/>
              <w:rPr>
                <w:sz w:val="20"/>
                <w:szCs w:val="20"/>
                <w:color w:val="auto"/>
              </w:rPr>
            </w:pPr>
            <w:r>
              <w:rPr>
                <w:rFonts w:ascii="Arial" w:cs="Arial" w:eastAsia="Arial" w:hAnsi="Arial"/>
                <w:sz w:val="16"/>
                <w:szCs w:val="16"/>
                <w:color w:val="auto"/>
              </w:rPr>
              <w:t>8.2%</w:t>
            </w:r>
          </w:p>
        </w:tc>
        <w:tc>
          <w:tcPr>
            <w:tcW w:w="20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rPr>
              <w:t>~ 8.0%</w:t>
            </w:r>
          </w:p>
        </w:tc>
        <w:tc>
          <w:tcPr>
            <w:tcW w:w="0" w:type="dxa"/>
            <w:vAlign w:val="bottom"/>
          </w:tcPr>
          <w:p>
            <w:pPr>
              <w:spacing w:after="0"/>
              <w:rPr>
                <w:sz w:val="1"/>
                <w:szCs w:val="1"/>
                <w:color w:val="auto"/>
              </w:rPr>
            </w:pPr>
          </w:p>
        </w:tc>
      </w:tr>
      <w:tr>
        <w:trPr>
          <w:trHeight w:val="243"/>
        </w:trPr>
        <w:tc>
          <w:tcPr>
            <w:tcW w:w="3980" w:type="dxa"/>
            <w:vAlign w:val="bottom"/>
            <w:tcBorders>
              <w:left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Depreciation &amp; Amortization of Software</w:t>
            </w:r>
          </w:p>
        </w:tc>
        <w:tc>
          <w:tcPr>
            <w:tcW w:w="100" w:type="dxa"/>
            <w:vAlign w:val="bottom"/>
            <w:shd w:val="clear" w:color="auto" w:fill="F2F2F2"/>
          </w:tcPr>
          <w:p>
            <w:pPr>
              <w:spacing w:after="0"/>
              <w:rPr>
                <w:sz w:val="21"/>
                <w:szCs w:val="21"/>
                <w:color w:val="auto"/>
              </w:rPr>
            </w:pPr>
          </w:p>
        </w:tc>
        <w:tc>
          <w:tcPr>
            <w:tcW w:w="1340" w:type="dxa"/>
            <w:vAlign w:val="bottom"/>
            <w:tcBorders>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$832 million</w:t>
            </w:r>
          </w:p>
        </w:tc>
        <w:tc>
          <w:tcPr>
            <w:tcW w:w="2020" w:type="dxa"/>
            <w:vAlign w:val="bottom"/>
            <w:tcBorders>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$890 - $910 million</w:t>
            </w:r>
          </w:p>
        </w:tc>
        <w:tc>
          <w:tcPr>
            <w:tcW w:w="0" w:type="dxa"/>
            <w:vAlign w:val="bottom"/>
          </w:tcPr>
          <w:p>
            <w:pPr>
              <w:spacing w:after="0"/>
              <w:rPr>
                <w:sz w:val="1"/>
                <w:szCs w:val="1"/>
                <w:color w:val="auto"/>
              </w:rPr>
            </w:pPr>
          </w:p>
        </w:tc>
      </w:tr>
      <w:tr>
        <w:trPr>
          <w:trHeight w:val="153"/>
        </w:trPr>
        <w:tc>
          <w:tcPr>
            <w:tcW w:w="3980" w:type="dxa"/>
            <w:vAlign w:val="bottom"/>
            <w:tcBorders>
              <w:left w:val="single" w:sz="8" w:color="A6A6A6"/>
              <w:right w:val="single" w:sz="8" w:color="A6A6A6"/>
            </w:tcBorders>
            <w:shd w:val="clear" w:color="auto" w:fill="F2F2F2"/>
          </w:tcPr>
          <w:p>
            <w:pPr>
              <w:ind w:left="180"/>
              <w:spacing w:after="0" w:line="153" w:lineRule="exact"/>
              <w:rPr>
                <w:sz w:val="20"/>
                <w:szCs w:val="20"/>
                <w:color w:val="auto"/>
              </w:rPr>
            </w:pPr>
            <w:r>
              <w:rPr>
                <w:rFonts w:ascii="Arial" w:cs="Arial" w:eastAsia="Arial" w:hAnsi="Arial"/>
                <w:sz w:val="14"/>
                <w:szCs w:val="14"/>
                <w:color w:val="auto"/>
              </w:rPr>
              <w:t>Depreciation &amp; Amortization of Internally</w:t>
            </w:r>
          </w:p>
        </w:tc>
        <w:tc>
          <w:tcPr>
            <w:tcW w:w="100" w:type="dxa"/>
            <w:vAlign w:val="bottom"/>
            <w:shd w:val="clear" w:color="auto" w:fill="F2F2F2"/>
          </w:tcPr>
          <w:p>
            <w:pPr>
              <w:spacing w:after="0"/>
              <w:rPr>
                <w:sz w:val="13"/>
                <w:szCs w:val="13"/>
                <w:color w:val="auto"/>
              </w:rPr>
            </w:pPr>
          </w:p>
        </w:tc>
        <w:tc>
          <w:tcPr>
            <w:tcW w:w="1340" w:type="dxa"/>
            <w:vAlign w:val="bottom"/>
            <w:tcBorders>
              <w:right w:val="single" w:sz="8" w:color="A6A6A6"/>
            </w:tcBorders>
            <w:shd w:val="clear" w:color="auto" w:fill="F2F2F2"/>
          </w:tcPr>
          <w:p>
            <w:pPr>
              <w:spacing w:after="0"/>
              <w:rPr>
                <w:sz w:val="13"/>
                <w:szCs w:val="13"/>
                <w:color w:val="auto"/>
              </w:rPr>
            </w:pPr>
          </w:p>
        </w:tc>
        <w:tc>
          <w:tcPr>
            <w:tcW w:w="2020" w:type="dxa"/>
            <w:vAlign w:val="bottom"/>
            <w:tcBorders>
              <w:right w:val="single" w:sz="8" w:color="A6A6A6"/>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80" w:type="dxa"/>
            <w:vAlign w:val="bottom"/>
            <w:tcBorders>
              <w:left w:val="single" w:sz="8" w:color="A6A6A6"/>
              <w:right w:val="single" w:sz="8" w:color="A6A6A6"/>
            </w:tcBorders>
            <w:shd w:val="clear" w:color="auto" w:fill="F2F2F2"/>
          </w:tcPr>
          <w:p>
            <w:pPr>
              <w:ind w:left="320"/>
              <w:spacing w:after="0"/>
              <w:rPr>
                <w:sz w:val="20"/>
                <w:szCs w:val="20"/>
                <w:color w:val="auto"/>
              </w:rPr>
            </w:pPr>
            <w:r>
              <w:rPr>
                <w:rFonts w:ascii="Arial" w:cs="Arial" w:eastAsia="Arial" w:hAnsi="Arial"/>
                <w:sz w:val="14"/>
                <w:szCs w:val="14"/>
                <w:color w:val="auto"/>
              </w:rPr>
              <w:t>Developed Software</w:t>
            </w:r>
          </w:p>
        </w:tc>
        <w:tc>
          <w:tcPr>
            <w:tcW w:w="100" w:type="dxa"/>
            <w:vAlign w:val="bottom"/>
            <w:shd w:val="clear" w:color="auto" w:fill="F2F2F2"/>
          </w:tcPr>
          <w:p>
            <w:pPr>
              <w:spacing w:after="0"/>
              <w:rPr>
                <w:sz w:val="14"/>
                <w:szCs w:val="14"/>
                <w:color w:val="auto"/>
              </w:rPr>
            </w:pPr>
          </w:p>
        </w:tc>
        <w:tc>
          <w:tcPr>
            <w:tcW w:w="1340" w:type="dxa"/>
            <w:vAlign w:val="bottom"/>
            <w:tcBorders>
              <w:right w:val="single" w:sz="8" w:color="A6A6A6"/>
            </w:tcBorders>
            <w:shd w:val="clear" w:color="auto" w:fill="F2F2F2"/>
          </w:tcPr>
          <w:p>
            <w:pPr>
              <w:jc w:val="center"/>
              <w:spacing w:after="0"/>
              <w:rPr>
                <w:sz w:val="20"/>
                <w:szCs w:val="20"/>
                <w:color w:val="auto"/>
              </w:rPr>
            </w:pPr>
            <w:r>
              <w:rPr>
                <w:rFonts w:ascii="Arial" w:cs="Arial" w:eastAsia="Arial" w:hAnsi="Arial"/>
                <w:sz w:val="14"/>
                <w:szCs w:val="14"/>
                <w:color w:val="auto"/>
              </w:rPr>
              <w:t>$626 million</w:t>
            </w:r>
          </w:p>
        </w:tc>
        <w:tc>
          <w:tcPr>
            <w:tcW w:w="2020" w:type="dxa"/>
            <w:vAlign w:val="bottom"/>
            <w:tcBorders>
              <w:right w:val="single" w:sz="8" w:color="A6A6A6"/>
            </w:tcBorders>
            <w:shd w:val="clear" w:color="auto" w:fill="F2F2F2"/>
          </w:tcPr>
          <w:p>
            <w:pPr>
              <w:jc w:val="center"/>
              <w:spacing w:after="0"/>
              <w:rPr>
                <w:sz w:val="20"/>
                <w:szCs w:val="20"/>
                <w:color w:val="auto"/>
              </w:rPr>
            </w:pPr>
            <w:r>
              <w:rPr>
                <w:rFonts w:ascii="Arial" w:cs="Arial" w:eastAsia="Arial" w:hAnsi="Arial"/>
                <w:sz w:val="14"/>
                <w:szCs w:val="14"/>
                <w:color w:val="auto"/>
              </w:rPr>
              <w:t>$680 - $690 million </w:t>
            </w:r>
          </w:p>
        </w:tc>
        <w:tc>
          <w:tcPr>
            <w:tcW w:w="0" w:type="dxa"/>
            <w:vAlign w:val="bottom"/>
          </w:tcPr>
          <w:p>
            <w:pPr>
              <w:spacing w:after="0"/>
              <w:rPr>
                <w:sz w:val="1"/>
                <w:szCs w:val="1"/>
                <w:color w:val="auto"/>
              </w:rPr>
            </w:pPr>
          </w:p>
        </w:tc>
      </w:tr>
      <w:tr>
        <w:trPr>
          <w:trHeight w:val="228"/>
        </w:trPr>
        <w:tc>
          <w:tcPr>
            <w:tcW w:w="3980" w:type="dxa"/>
            <w:vAlign w:val="bottom"/>
            <w:tcBorders>
              <w:left w:val="single" w:sz="8" w:color="A6A6A6"/>
              <w:bottom w:val="single" w:sz="8" w:color="F2F2F2"/>
              <w:right w:val="single" w:sz="8" w:color="A6A6A6"/>
            </w:tcBorders>
            <w:shd w:val="clear" w:color="auto" w:fill="F2F2F2"/>
          </w:tcPr>
          <w:p>
            <w:pPr>
              <w:ind w:left="180"/>
              <w:spacing w:after="0"/>
              <w:rPr>
                <w:sz w:val="20"/>
                <w:szCs w:val="20"/>
                <w:color w:val="auto"/>
              </w:rPr>
            </w:pPr>
            <w:r>
              <w:rPr>
                <w:rFonts w:ascii="Arial" w:cs="Arial" w:eastAsia="Arial" w:hAnsi="Arial"/>
                <w:sz w:val="14"/>
                <w:szCs w:val="14"/>
                <w:color w:val="auto"/>
              </w:rPr>
              <w:t>Amortization of Acquired Software</w:t>
            </w:r>
          </w:p>
        </w:tc>
        <w:tc>
          <w:tcPr>
            <w:tcW w:w="100" w:type="dxa"/>
            <w:vAlign w:val="bottom"/>
            <w:tcBorders>
              <w:bottom w:val="single" w:sz="8" w:color="F2F2F2"/>
            </w:tcBorders>
            <w:shd w:val="clear" w:color="auto" w:fill="F2F2F2"/>
          </w:tcPr>
          <w:p>
            <w:pPr>
              <w:spacing w:after="0"/>
              <w:rPr>
                <w:sz w:val="19"/>
                <w:szCs w:val="19"/>
                <w:color w:val="auto"/>
              </w:rPr>
            </w:pPr>
          </w:p>
        </w:tc>
        <w:tc>
          <w:tcPr>
            <w:tcW w:w="1340" w:type="dxa"/>
            <w:vAlign w:val="bottom"/>
            <w:tcBorders>
              <w:bottom w:val="single" w:sz="8" w:color="F2F2F2"/>
              <w:right w:val="single" w:sz="8" w:color="A6A6A6"/>
            </w:tcBorders>
            <w:shd w:val="clear" w:color="auto" w:fill="F2F2F2"/>
          </w:tcPr>
          <w:p>
            <w:pPr>
              <w:jc w:val="center"/>
              <w:spacing w:after="0"/>
              <w:rPr>
                <w:sz w:val="20"/>
                <w:szCs w:val="20"/>
                <w:color w:val="auto"/>
              </w:rPr>
            </w:pPr>
            <w:r>
              <w:rPr>
                <w:rFonts w:ascii="Arial" w:cs="Arial" w:eastAsia="Arial" w:hAnsi="Arial"/>
                <w:sz w:val="14"/>
                <w:szCs w:val="14"/>
                <w:color w:val="auto"/>
              </w:rPr>
              <w:t>$206 million</w:t>
            </w:r>
          </w:p>
        </w:tc>
        <w:tc>
          <w:tcPr>
            <w:tcW w:w="2020" w:type="dxa"/>
            <w:vAlign w:val="bottom"/>
            <w:tcBorders>
              <w:bottom w:val="single" w:sz="8" w:color="F2F2F2"/>
              <w:right w:val="single" w:sz="8" w:color="A6A6A6"/>
            </w:tcBorders>
            <w:shd w:val="clear" w:color="auto" w:fill="F2F2F2"/>
          </w:tcPr>
          <w:p>
            <w:pPr>
              <w:jc w:val="center"/>
              <w:spacing w:after="0"/>
              <w:rPr>
                <w:sz w:val="20"/>
                <w:szCs w:val="20"/>
                <w:color w:val="auto"/>
              </w:rPr>
            </w:pPr>
            <w:r>
              <w:rPr>
                <w:rFonts w:ascii="Arial" w:cs="Arial" w:eastAsia="Arial" w:hAnsi="Arial"/>
                <w:sz w:val="14"/>
                <w:szCs w:val="14"/>
                <w:color w:val="auto"/>
              </w:rPr>
              <w:t>$210 - $220 million </w:t>
            </w:r>
          </w:p>
        </w:tc>
        <w:tc>
          <w:tcPr>
            <w:tcW w:w="0" w:type="dxa"/>
            <w:vAlign w:val="bottom"/>
          </w:tcPr>
          <w:p>
            <w:pPr>
              <w:spacing w:after="0"/>
              <w:rPr>
                <w:sz w:val="1"/>
                <w:szCs w:val="1"/>
                <w:color w:val="auto"/>
              </w:rPr>
            </w:pPr>
          </w:p>
        </w:tc>
      </w:tr>
      <w:tr>
        <w:trPr>
          <w:trHeight w:val="254"/>
        </w:trPr>
        <w:tc>
          <w:tcPr>
            <w:tcW w:w="3980" w:type="dxa"/>
            <w:vAlign w:val="bottom"/>
            <w:tcBorders>
              <w:top w:val="single" w:sz="8" w:color="A6A6A6"/>
              <w:left w:val="single" w:sz="8" w:color="A6A6A6"/>
              <w:right w:val="single" w:sz="8" w:color="A6A6A6"/>
            </w:tcBorders>
          </w:tcPr>
          <w:p>
            <w:pPr>
              <w:ind w:left="180"/>
              <w:spacing w:after="0"/>
              <w:rPr>
                <w:sz w:val="20"/>
                <w:szCs w:val="20"/>
                <w:color w:val="auto"/>
              </w:rPr>
            </w:pPr>
            <w:r>
              <w:rPr>
                <w:rFonts w:ascii="Arial" w:cs="Arial" w:eastAsia="Arial" w:hAnsi="Arial"/>
                <w:sz w:val="16"/>
                <w:szCs w:val="16"/>
                <w:color w:val="auto"/>
              </w:rPr>
              <w:t>Net Interest Expense</w:t>
            </w:r>
          </w:p>
        </w:tc>
        <w:tc>
          <w:tcPr>
            <w:tcW w:w="100" w:type="dxa"/>
            <w:vAlign w:val="bottom"/>
            <w:tcBorders>
              <w:top w:val="single" w:sz="8" w:color="A6A6A6"/>
            </w:tcBorders>
          </w:tcPr>
          <w:p>
            <w:pPr>
              <w:spacing w:after="0"/>
              <w:rPr>
                <w:sz w:val="22"/>
                <w:szCs w:val="22"/>
                <w:color w:val="auto"/>
              </w:rPr>
            </w:pPr>
          </w:p>
        </w:tc>
        <w:tc>
          <w:tcPr>
            <w:tcW w:w="1340" w:type="dxa"/>
            <w:vAlign w:val="bottom"/>
            <w:tcBorders>
              <w:top w:val="single" w:sz="8" w:color="A6A6A6"/>
              <w:right w:val="single" w:sz="8" w:color="A6A6A6"/>
            </w:tcBorders>
          </w:tcPr>
          <w:p>
            <w:pPr>
              <w:ind w:left="60"/>
              <w:spacing w:after="0"/>
              <w:rPr>
                <w:sz w:val="20"/>
                <w:szCs w:val="20"/>
                <w:color w:val="auto"/>
              </w:rPr>
            </w:pPr>
            <w:r>
              <w:rPr>
                <w:rFonts w:ascii="Arial" w:cs="Arial" w:eastAsia="Arial" w:hAnsi="Arial"/>
                <w:sz w:val="16"/>
                <w:szCs w:val="16"/>
                <w:color w:val="auto"/>
                <w:w w:val="98"/>
              </w:rPr>
              <w:t>   $143 million </w:t>
            </w:r>
          </w:p>
        </w:tc>
        <w:tc>
          <w:tcPr>
            <w:tcW w:w="2020" w:type="dxa"/>
            <w:vAlign w:val="bottom"/>
            <w:tcBorders>
              <w:top w:val="single" w:sz="8" w:color="A6A6A6"/>
              <w:right w:val="single" w:sz="8" w:color="A6A6A6"/>
            </w:tcBorders>
          </w:tcPr>
          <w:p>
            <w:pPr>
              <w:ind w:left="160"/>
              <w:spacing w:after="0"/>
              <w:rPr>
                <w:sz w:val="20"/>
                <w:szCs w:val="20"/>
                <w:color w:val="auto"/>
              </w:rPr>
            </w:pPr>
            <w:r>
              <w:rPr>
                <w:rFonts w:ascii="Arial" w:cs="Arial" w:eastAsia="Arial" w:hAnsi="Arial"/>
                <w:sz w:val="16"/>
                <w:szCs w:val="16"/>
                <w:color w:val="auto"/>
              </w:rPr>
              <w:t xml:space="preserve">   $180 - $190 million   </w:t>
            </w:r>
          </w:p>
        </w:tc>
        <w:tc>
          <w:tcPr>
            <w:tcW w:w="0" w:type="dxa"/>
            <w:vAlign w:val="bottom"/>
          </w:tcPr>
          <w:p>
            <w:pPr>
              <w:spacing w:after="0"/>
              <w:rPr>
                <w:sz w:val="1"/>
                <w:szCs w:val="1"/>
                <w:color w:val="auto"/>
              </w:rPr>
            </w:pPr>
          </w:p>
        </w:tc>
      </w:tr>
      <w:tr>
        <w:trPr>
          <w:trHeight w:val="50"/>
        </w:trPr>
        <w:tc>
          <w:tcPr>
            <w:tcW w:w="3980" w:type="dxa"/>
            <w:vAlign w:val="bottom"/>
            <w:tcBorders>
              <w:left w:val="single" w:sz="8" w:color="A6A6A6"/>
              <w:bottom w:val="single" w:sz="8" w:color="A6A6A6"/>
              <w:right w:val="single" w:sz="8" w:color="A6A6A6"/>
            </w:tcBorders>
          </w:tcPr>
          <w:p>
            <w:pPr>
              <w:spacing w:after="0"/>
              <w:rPr>
                <w:sz w:val="4"/>
                <w:szCs w:val="4"/>
                <w:color w:val="auto"/>
              </w:rPr>
            </w:pPr>
          </w:p>
        </w:tc>
        <w:tc>
          <w:tcPr>
            <w:tcW w:w="1440" w:type="dxa"/>
            <w:vAlign w:val="bottom"/>
            <w:tcBorders>
              <w:bottom w:val="single" w:sz="8" w:color="A6A6A6"/>
              <w:right w:val="single" w:sz="8" w:color="A6A6A6"/>
            </w:tcBorders>
            <w:gridSpan w:val="2"/>
          </w:tcPr>
          <w:p>
            <w:pPr>
              <w:spacing w:after="0"/>
              <w:rPr>
                <w:sz w:val="4"/>
                <w:szCs w:val="4"/>
                <w:color w:val="auto"/>
              </w:rPr>
            </w:pPr>
          </w:p>
        </w:tc>
        <w:tc>
          <w:tcPr>
            <w:tcW w:w="2020" w:type="dxa"/>
            <w:vAlign w:val="bottom"/>
            <w:tcBorders>
              <w:bottom w:val="single" w:sz="8" w:color="A6A6A6"/>
              <w:right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980" w:type="dxa"/>
            <w:vAlign w:val="bottom"/>
            <w:tcBorders>
              <w:left w:val="single" w:sz="8" w:color="A6A6A6"/>
              <w:bottom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Effective Tax Rate on Adjusted Earnings</w:t>
            </w:r>
            <w:r>
              <w:rPr>
                <w:rFonts w:ascii="Arial" w:cs="Arial" w:eastAsia="Arial" w:hAnsi="Arial"/>
                <w:sz w:val="24"/>
                <w:szCs w:val="24"/>
                <w:color w:val="auto"/>
                <w:vertAlign w:val="superscript"/>
              </w:rPr>
              <w:t>(1)</w:t>
            </w:r>
          </w:p>
        </w:tc>
        <w:tc>
          <w:tcPr>
            <w:tcW w:w="1440" w:type="dxa"/>
            <w:vAlign w:val="bottom"/>
            <w:tcBorders>
              <w:bottom w:val="single" w:sz="8" w:color="A6A6A6"/>
              <w:right w:val="single" w:sz="8" w:color="A6A6A6"/>
            </w:tcBorders>
            <w:gridSpan w:val="2"/>
            <w:shd w:val="clear" w:color="auto" w:fill="F2F2F2"/>
          </w:tcPr>
          <w:p>
            <w:pPr>
              <w:jc w:val="center"/>
              <w:spacing w:after="0"/>
              <w:rPr>
                <w:sz w:val="20"/>
                <w:szCs w:val="20"/>
                <w:color w:val="auto"/>
              </w:rPr>
            </w:pPr>
            <w:r>
              <w:rPr>
                <w:rFonts w:ascii="Arial" w:cs="Arial" w:eastAsia="Arial" w:hAnsi="Arial"/>
                <w:sz w:val="16"/>
                <w:szCs w:val="16"/>
                <w:color w:val="auto"/>
              </w:rPr>
              <w:t>18.5%</w:t>
            </w:r>
          </w:p>
        </w:tc>
        <w:tc>
          <w:tcPr>
            <w:tcW w:w="2020" w:type="dxa"/>
            <w:vAlign w:val="bottom"/>
            <w:tcBorders>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 19%</w:t>
            </w:r>
          </w:p>
        </w:tc>
        <w:tc>
          <w:tcPr>
            <w:tcW w:w="0" w:type="dxa"/>
            <w:vAlign w:val="bottom"/>
          </w:tcPr>
          <w:p>
            <w:pPr>
              <w:spacing w:after="0"/>
              <w:rPr>
                <w:sz w:val="1"/>
                <w:szCs w:val="1"/>
                <w:color w:val="auto"/>
              </w:rPr>
            </w:pPr>
          </w:p>
        </w:tc>
      </w:tr>
      <w:tr>
        <w:trPr>
          <w:trHeight w:val="246"/>
        </w:trPr>
        <w:tc>
          <w:tcPr>
            <w:tcW w:w="3980" w:type="dxa"/>
            <w:vAlign w:val="bottom"/>
            <w:tcBorders>
              <w:left w:val="single" w:sz="8" w:color="A6A6A6"/>
              <w:right w:val="single" w:sz="8" w:color="A6A6A6"/>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20"/>
                <w:szCs w:val="20"/>
                <w:b w:val="1"/>
                <w:bCs w:val="1"/>
                <w:color w:val="404040"/>
                <w:w w:val="97"/>
              </w:rPr>
              <w:t>FY 2025</w:t>
            </w:r>
          </w:p>
        </w:tc>
        <w:tc>
          <w:tcPr>
            <w:tcW w:w="2020" w:type="dxa"/>
            <w:vAlign w:val="bottom"/>
            <w:tcBorders>
              <w:right w:val="single" w:sz="8" w:color="A6A6A6"/>
            </w:tcBorders>
          </w:tcPr>
          <w:p>
            <w:pPr>
              <w:jc w:val="center"/>
              <w:spacing w:after="0"/>
              <w:rPr>
                <w:sz w:val="20"/>
                <w:szCs w:val="20"/>
                <w:color w:val="auto"/>
              </w:rPr>
            </w:pPr>
            <w:r>
              <w:rPr>
                <w:rFonts w:ascii="Arial" w:cs="Arial" w:eastAsia="Arial" w:hAnsi="Arial"/>
                <w:sz w:val="20"/>
                <w:szCs w:val="20"/>
                <w:b w:val="1"/>
                <w:bCs w:val="1"/>
                <w:color w:val="D64000"/>
              </w:rPr>
              <w:t>FY 2026</w:t>
            </w:r>
          </w:p>
        </w:tc>
        <w:tc>
          <w:tcPr>
            <w:tcW w:w="0" w:type="dxa"/>
            <w:vAlign w:val="bottom"/>
          </w:tcPr>
          <w:p>
            <w:pPr>
              <w:spacing w:after="0"/>
              <w:rPr>
                <w:sz w:val="1"/>
                <w:szCs w:val="1"/>
                <w:color w:val="auto"/>
              </w:rPr>
            </w:pPr>
          </w:p>
        </w:tc>
      </w:tr>
      <w:tr>
        <w:trPr>
          <w:trHeight w:val="108"/>
        </w:trPr>
        <w:tc>
          <w:tcPr>
            <w:tcW w:w="3980" w:type="dxa"/>
            <w:vAlign w:val="bottom"/>
            <w:tcBorders>
              <w:left w:val="single" w:sz="8" w:color="A6A6A6"/>
              <w:right w:val="single" w:sz="8" w:color="A6A6A6"/>
            </w:tcBorders>
            <w:vMerge w:val="restart"/>
          </w:tcPr>
          <w:p>
            <w:pPr>
              <w:ind w:left="180"/>
              <w:spacing w:after="0" w:line="216" w:lineRule="exact"/>
              <w:rPr>
                <w:sz w:val="20"/>
                <w:szCs w:val="20"/>
                <w:color w:val="auto"/>
              </w:rPr>
            </w:pPr>
            <w:r>
              <w:rPr>
                <w:rFonts w:ascii="Arial" w:cs="Arial" w:eastAsia="Arial" w:hAnsi="Arial"/>
                <w:sz w:val="17"/>
                <w:szCs w:val="17"/>
                <w:b w:val="1"/>
                <w:bCs w:val="1"/>
                <w:color w:val="D64000"/>
              </w:rPr>
              <w:t>“Big 3” Segments</w:t>
            </w:r>
            <w:r>
              <w:rPr>
                <w:rFonts w:ascii="Arial" w:cs="Arial" w:eastAsia="Arial" w:hAnsi="Arial"/>
                <w:sz w:val="25"/>
                <w:szCs w:val="25"/>
                <w:b w:val="1"/>
                <w:bCs w:val="1"/>
                <w:color w:val="D64000"/>
                <w:vertAlign w:val="superscript"/>
              </w:rPr>
              <w:t>(1)</w:t>
            </w:r>
          </w:p>
        </w:tc>
        <w:tc>
          <w:tcPr>
            <w:tcW w:w="100" w:type="dxa"/>
            <w:vAlign w:val="bottom"/>
          </w:tcPr>
          <w:p>
            <w:pPr>
              <w:spacing w:after="0"/>
              <w:rPr>
                <w:sz w:val="9"/>
                <w:szCs w:val="9"/>
                <w:color w:val="auto"/>
              </w:rPr>
            </w:pPr>
          </w:p>
        </w:tc>
        <w:tc>
          <w:tcPr>
            <w:tcW w:w="1340" w:type="dxa"/>
            <w:vAlign w:val="bottom"/>
            <w:tcBorders>
              <w:right w:val="single" w:sz="8" w:color="A6A6A6"/>
            </w:tcBorders>
            <w:vMerge w:val="continue"/>
          </w:tcPr>
          <w:p>
            <w:pPr>
              <w:spacing w:after="0"/>
              <w:rPr>
                <w:sz w:val="9"/>
                <w:szCs w:val="9"/>
                <w:color w:val="auto"/>
              </w:rPr>
            </w:pPr>
          </w:p>
        </w:tc>
        <w:tc>
          <w:tcPr>
            <w:tcW w:w="2020" w:type="dxa"/>
            <w:vAlign w:val="bottom"/>
            <w:tcBorders>
              <w:right w:val="single" w:sz="8" w:color="A6A6A6"/>
            </w:tcBorders>
            <w:vMerge w:val="restart"/>
          </w:tcPr>
          <w:p>
            <w:pPr>
              <w:jc w:val="center"/>
              <w:spacing w:after="0" w:line="216" w:lineRule="exact"/>
              <w:rPr>
                <w:sz w:val="20"/>
                <w:szCs w:val="20"/>
                <w:color w:val="auto"/>
              </w:rPr>
            </w:pPr>
            <w:r>
              <w:rPr>
                <w:rFonts w:ascii="Arial" w:cs="Arial" w:eastAsia="Arial" w:hAnsi="Arial"/>
                <w:sz w:val="20"/>
                <w:szCs w:val="20"/>
                <w:b w:val="1"/>
                <w:bCs w:val="1"/>
                <w:color w:val="D64000"/>
              </w:rPr>
              <w:t>Outlook</w:t>
            </w:r>
          </w:p>
        </w:tc>
        <w:tc>
          <w:tcPr>
            <w:tcW w:w="0" w:type="dxa"/>
            <w:vAlign w:val="bottom"/>
          </w:tcPr>
          <w:p>
            <w:pPr>
              <w:spacing w:after="0"/>
              <w:rPr>
                <w:sz w:val="1"/>
                <w:szCs w:val="1"/>
                <w:color w:val="auto"/>
              </w:rPr>
            </w:pPr>
          </w:p>
        </w:tc>
      </w:tr>
      <w:tr>
        <w:trPr>
          <w:trHeight w:val="108"/>
        </w:trPr>
        <w:tc>
          <w:tcPr>
            <w:tcW w:w="3980" w:type="dxa"/>
            <w:vAlign w:val="bottom"/>
            <w:tcBorders>
              <w:left w:val="single" w:sz="8" w:color="A6A6A6"/>
              <w:right w:val="single" w:sz="8" w:color="A6A6A6"/>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20"/>
                <w:szCs w:val="20"/>
                <w:b w:val="1"/>
                <w:bCs w:val="1"/>
                <w:color w:val="404040"/>
                <w:w w:val="97"/>
              </w:rPr>
              <w:t>Reported</w:t>
            </w:r>
          </w:p>
        </w:tc>
        <w:tc>
          <w:tcPr>
            <w:tcW w:w="2020" w:type="dxa"/>
            <w:vAlign w:val="bottom"/>
            <w:tcBorders>
              <w:right w:val="single" w:sz="8" w:color="A6A6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980" w:type="dxa"/>
            <w:vAlign w:val="bottom"/>
            <w:tcBorders>
              <w:left w:val="single" w:sz="8" w:color="A6A6A6"/>
              <w:right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right w:val="single" w:sz="8" w:color="A6A6A6"/>
            </w:tcBorders>
            <w:vMerge w:val="continue"/>
          </w:tcPr>
          <w:p>
            <w:pPr>
              <w:spacing w:after="0"/>
              <w:rPr>
                <w:sz w:val="14"/>
                <w:szCs w:val="14"/>
                <w:color w:val="auto"/>
              </w:rPr>
            </w:pPr>
          </w:p>
        </w:tc>
        <w:tc>
          <w:tcPr>
            <w:tcW w:w="202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20"/>
                <w:szCs w:val="20"/>
                <w:b w:val="1"/>
                <w:bCs w:val="1"/>
                <w:color w:val="D64000"/>
                <w:w w:val="97"/>
              </w:rPr>
              <w:t>8/5/2026</w:t>
            </w:r>
          </w:p>
        </w:tc>
        <w:tc>
          <w:tcPr>
            <w:tcW w:w="0" w:type="dxa"/>
            <w:vAlign w:val="bottom"/>
          </w:tcPr>
          <w:p>
            <w:pPr>
              <w:spacing w:after="0"/>
              <w:rPr>
                <w:sz w:val="1"/>
                <w:szCs w:val="1"/>
                <w:color w:val="auto"/>
              </w:rPr>
            </w:pPr>
          </w:p>
        </w:tc>
      </w:tr>
      <w:tr>
        <w:trPr>
          <w:trHeight w:val="108"/>
        </w:trPr>
        <w:tc>
          <w:tcPr>
            <w:tcW w:w="3980" w:type="dxa"/>
            <w:vAlign w:val="bottom"/>
            <w:tcBorders>
              <w:left w:val="single" w:sz="8" w:color="A6A6A6"/>
              <w:right w:val="single" w:sz="8" w:color="A6A6A6"/>
            </w:tcBorders>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Borders>
              <w:right w:val="single" w:sz="8" w:color="A6A6A6"/>
            </w:tcBorders>
          </w:tcPr>
          <w:p>
            <w:pPr>
              <w:spacing w:after="0"/>
              <w:rPr>
                <w:sz w:val="9"/>
                <w:szCs w:val="9"/>
                <w:color w:val="auto"/>
              </w:rPr>
            </w:pPr>
          </w:p>
        </w:tc>
        <w:tc>
          <w:tcPr>
            <w:tcW w:w="2020" w:type="dxa"/>
            <w:vAlign w:val="bottom"/>
            <w:tcBorders>
              <w:right w:val="single" w:sz="8" w:color="A6A6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980" w:type="dxa"/>
            <w:vAlign w:val="bottom"/>
            <w:tcBorders>
              <w:left w:val="single" w:sz="8" w:color="A6A6A6"/>
              <w:bottom w:val="single" w:sz="8" w:color="A6A6A6"/>
              <w:right w:val="single" w:sz="8" w:color="A6A6A6"/>
            </w:tcBorders>
          </w:tcPr>
          <w:p>
            <w:pPr>
              <w:spacing w:after="0"/>
              <w:rPr>
                <w:sz w:val="3"/>
                <w:szCs w:val="3"/>
                <w:color w:val="auto"/>
              </w:rPr>
            </w:pPr>
          </w:p>
        </w:tc>
        <w:tc>
          <w:tcPr>
            <w:tcW w:w="1440" w:type="dxa"/>
            <w:vAlign w:val="bottom"/>
            <w:tcBorders>
              <w:bottom w:val="single" w:sz="8" w:color="A6A6A6"/>
              <w:right w:val="single" w:sz="8" w:color="A6A6A6"/>
            </w:tcBorders>
            <w:gridSpan w:val="2"/>
          </w:tcPr>
          <w:p>
            <w:pPr>
              <w:spacing w:after="0"/>
              <w:rPr>
                <w:sz w:val="3"/>
                <w:szCs w:val="3"/>
                <w:color w:val="auto"/>
              </w:rPr>
            </w:pPr>
          </w:p>
        </w:tc>
        <w:tc>
          <w:tcPr>
            <w:tcW w:w="2020" w:type="dxa"/>
            <w:vAlign w:val="bottom"/>
            <w:tcBorders>
              <w:bottom w:val="single" w:sz="8" w:color="A6A6A6"/>
              <w:right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3980" w:type="dxa"/>
            <w:vAlign w:val="bottom"/>
            <w:tcBorders>
              <w:left w:val="single" w:sz="8" w:color="A6A6A6"/>
              <w:bottom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Total Revenue Growth</w:t>
            </w:r>
          </w:p>
        </w:tc>
        <w:tc>
          <w:tcPr>
            <w:tcW w:w="1440" w:type="dxa"/>
            <w:vAlign w:val="bottom"/>
            <w:tcBorders>
              <w:bottom w:val="single" w:sz="8" w:color="A6A6A6"/>
              <w:right w:val="single" w:sz="8" w:color="A6A6A6"/>
            </w:tcBorders>
            <w:gridSpan w:val="2"/>
            <w:shd w:val="clear" w:color="auto" w:fill="F2F2F2"/>
          </w:tcPr>
          <w:p>
            <w:pPr>
              <w:jc w:val="center"/>
              <w:spacing w:after="0" w:line="296" w:lineRule="exact"/>
              <w:rPr>
                <w:sz w:val="20"/>
                <w:szCs w:val="20"/>
                <w:color w:val="auto"/>
              </w:rPr>
            </w:pPr>
            <w:r>
              <w:rPr>
                <w:rFonts w:ascii="Arial" w:cs="Arial" w:eastAsia="Arial" w:hAnsi="Arial"/>
                <w:sz w:val="32"/>
                <w:szCs w:val="32"/>
                <w:color w:val="auto"/>
                <w:w w:val="83"/>
                <w:vertAlign w:val="subscript"/>
              </w:rPr>
              <w:t>4%</w:t>
            </w:r>
            <w:r>
              <w:rPr>
                <w:rFonts w:ascii="Arial" w:cs="Arial" w:eastAsia="Arial" w:hAnsi="Arial"/>
                <w:sz w:val="12"/>
                <w:szCs w:val="12"/>
                <w:color w:val="auto"/>
                <w:w w:val="83"/>
              </w:rPr>
              <w:t>(4)</w:t>
            </w:r>
          </w:p>
        </w:tc>
        <w:tc>
          <w:tcPr>
            <w:tcW w:w="2020" w:type="dxa"/>
            <w:vAlign w:val="bottom"/>
            <w:tcBorders>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w w:val="99"/>
              </w:rPr>
              <w:t>9.5% - 10.0%</w:t>
            </w:r>
          </w:p>
        </w:tc>
        <w:tc>
          <w:tcPr>
            <w:tcW w:w="0" w:type="dxa"/>
            <w:vAlign w:val="bottom"/>
          </w:tcPr>
          <w:p>
            <w:pPr>
              <w:spacing w:after="0"/>
              <w:rPr>
                <w:sz w:val="1"/>
                <w:szCs w:val="1"/>
                <w:color w:val="auto"/>
              </w:rPr>
            </w:pPr>
          </w:p>
        </w:tc>
      </w:tr>
      <w:tr>
        <w:trPr>
          <w:trHeight w:val="255"/>
        </w:trPr>
        <w:tc>
          <w:tcPr>
            <w:tcW w:w="3980" w:type="dxa"/>
            <w:vAlign w:val="bottom"/>
            <w:tcBorders>
              <w:left w:val="single" w:sz="8" w:color="A6A6A6"/>
              <w:right w:val="single" w:sz="8" w:color="A6A6A6"/>
            </w:tcBorders>
          </w:tcPr>
          <w:p>
            <w:pPr>
              <w:ind w:left="180"/>
              <w:spacing w:after="0"/>
              <w:rPr>
                <w:sz w:val="20"/>
                <w:szCs w:val="20"/>
                <w:color w:val="auto"/>
              </w:rPr>
            </w:pPr>
            <w:r>
              <w:rPr>
                <w:rFonts w:ascii="Arial" w:cs="Arial" w:eastAsia="Arial" w:hAnsi="Arial"/>
                <w:sz w:val="16"/>
                <w:szCs w:val="16"/>
                <w:color w:val="auto"/>
              </w:rPr>
              <w:t>Organic Revenue Growth</w:t>
            </w:r>
          </w:p>
        </w:tc>
        <w:tc>
          <w:tcPr>
            <w:tcW w:w="1440" w:type="dxa"/>
            <w:vAlign w:val="bottom"/>
            <w:tcBorders>
              <w:right w:val="single" w:sz="8" w:color="A6A6A6"/>
            </w:tcBorders>
            <w:gridSpan w:val="2"/>
          </w:tcPr>
          <w:p>
            <w:pPr>
              <w:jc w:val="center"/>
              <w:ind w:left="4"/>
              <w:spacing w:after="0"/>
              <w:rPr>
                <w:sz w:val="20"/>
                <w:szCs w:val="20"/>
                <w:color w:val="auto"/>
              </w:rPr>
            </w:pPr>
            <w:r>
              <w:rPr>
                <w:rFonts w:ascii="Arial" w:cs="Arial" w:eastAsia="Arial" w:hAnsi="Arial"/>
                <w:sz w:val="16"/>
                <w:szCs w:val="16"/>
                <w:color w:val="auto"/>
              </w:rPr>
              <w:t>9%</w:t>
            </w:r>
          </w:p>
        </w:tc>
        <w:tc>
          <w:tcPr>
            <w:tcW w:w="202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99"/>
              </w:rPr>
              <w:t>9.5% - 10.0%</w:t>
            </w:r>
          </w:p>
        </w:tc>
        <w:tc>
          <w:tcPr>
            <w:tcW w:w="0" w:type="dxa"/>
            <w:vAlign w:val="bottom"/>
          </w:tcPr>
          <w:p>
            <w:pPr>
              <w:spacing w:after="0"/>
              <w:rPr>
                <w:sz w:val="1"/>
                <w:szCs w:val="1"/>
                <w:color w:val="auto"/>
              </w:rPr>
            </w:pPr>
          </w:p>
        </w:tc>
      </w:tr>
      <w:tr>
        <w:trPr>
          <w:trHeight w:val="49"/>
        </w:trPr>
        <w:tc>
          <w:tcPr>
            <w:tcW w:w="3980" w:type="dxa"/>
            <w:vAlign w:val="bottom"/>
            <w:tcBorders>
              <w:left w:val="single" w:sz="8" w:color="A6A6A6"/>
              <w:bottom w:val="single" w:sz="8" w:color="A6A6A6"/>
              <w:right w:val="single" w:sz="8" w:color="A6A6A6"/>
            </w:tcBorders>
          </w:tcPr>
          <w:p>
            <w:pPr>
              <w:spacing w:after="0"/>
              <w:rPr>
                <w:sz w:val="4"/>
                <w:szCs w:val="4"/>
                <w:color w:val="auto"/>
              </w:rPr>
            </w:pPr>
          </w:p>
        </w:tc>
        <w:tc>
          <w:tcPr>
            <w:tcW w:w="1440" w:type="dxa"/>
            <w:vAlign w:val="bottom"/>
            <w:tcBorders>
              <w:bottom w:val="single" w:sz="8" w:color="A6A6A6"/>
              <w:right w:val="single" w:sz="8" w:color="A6A6A6"/>
            </w:tcBorders>
            <w:gridSpan w:val="2"/>
          </w:tcPr>
          <w:p>
            <w:pPr>
              <w:spacing w:after="0"/>
              <w:rPr>
                <w:sz w:val="4"/>
                <w:szCs w:val="4"/>
                <w:color w:val="auto"/>
              </w:rPr>
            </w:pPr>
          </w:p>
        </w:tc>
        <w:tc>
          <w:tcPr>
            <w:tcW w:w="2020" w:type="dxa"/>
            <w:vAlign w:val="bottom"/>
            <w:tcBorders>
              <w:bottom w:val="single" w:sz="8" w:color="A6A6A6"/>
              <w:right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980" w:type="dxa"/>
            <w:vAlign w:val="bottom"/>
            <w:tcBorders>
              <w:left w:val="single" w:sz="8" w:color="A6A6A6"/>
              <w:bottom w:val="single" w:sz="8" w:color="F2F2F2"/>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Adjusted EBITDA Margin</w:t>
            </w:r>
          </w:p>
        </w:tc>
        <w:tc>
          <w:tcPr>
            <w:tcW w:w="1440" w:type="dxa"/>
            <w:vAlign w:val="bottom"/>
            <w:tcBorders>
              <w:bottom w:val="single" w:sz="8" w:color="F2F2F2"/>
              <w:right w:val="single" w:sz="8" w:color="A6A6A6"/>
            </w:tcBorders>
            <w:gridSpan w:val="2"/>
            <w:shd w:val="clear" w:color="auto" w:fill="F2F2F2"/>
          </w:tcPr>
          <w:p>
            <w:pPr>
              <w:jc w:val="center"/>
              <w:spacing w:after="0"/>
              <w:rPr>
                <w:sz w:val="20"/>
                <w:szCs w:val="20"/>
                <w:color w:val="auto"/>
              </w:rPr>
            </w:pPr>
            <w:r>
              <w:rPr>
                <w:rFonts w:ascii="Arial" w:cs="Arial" w:eastAsia="Arial" w:hAnsi="Arial"/>
                <w:sz w:val="16"/>
                <w:szCs w:val="16"/>
                <w:color w:val="auto"/>
              </w:rPr>
              <w:t>43.6%</w:t>
            </w:r>
          </w:p>
        </w:tc>
        <w:tc>
          <w:tcPr>
            <w:tcW w:w="2020" w:type="dxa"/>
            <w:vAlign w:val="bottom"/>
            <w:tcBorders>
              <w:bottom w:val="single" w:sz="8" w:color="F2F2F2"/>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+100bps vs 2025</w:t>
            </w:r>
          </w:p>
        </w:tc>
        <w:tc>
          <w:tcPr>
            <w:tcW w:w="0" w:type="dxa"/>
            <w:vAlign w:val="bottom"/>
          </w:tcPr>
          <w:p>
            <w:pPr>
              <w:spacing w:after="0"/>
              <w:rPr>
                <w:sz w:val="1"/>
                <w:szCs w:val="1"/>
                <w:color w:val="auto"/>
              </w:rPr>
            </w:pPr>
          </w:p>
        </w:tc>
      </w:tr>
      <w:tr>
        <w:trPr>
          <w:trHeight w:val="27"/>
        </w:trPr>
        <w:tc>
          <w:tcPr>
            <w:tcW w:w="3980" w:type="dxa"/>
            <w:vAlign w:val="bottom"/>
            <w:tcBorders>
              <w:left w:val="single" w:sz="8" w:color="A6A6A6"/>
              <w:right w:val="single" w:sz="8" w:color="A6A6A6"/>
            </w:tcBorders>
            <w:shd w:val="clear" w:color="auto" w:fill="A6A6A6"/>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1340" w:type="dxa"/>
            <w:vAlign w:val="bottom"/>
            <w:tcBorders>
              <w:right w:val="single" w:sz="8" w:color="A6A6A6"/>
            </w:tcBorders>
            <w:shd w:val="clear" w:color="auto" w:fill="A6A6A6"/>
          </w:tcPr>
          <w:p>
            <w:pPr>
              <w:spacing w:after="0"/>
              <w:rPr>
                <w:sz w:val="2"/>
                <w:szCs w:val="2"/>
                <w:color w:val="auto"/>
              </w:rPr>
            </w:pPr>
          </w:p>
        </w:tc>
        <w:tc>
          <w:tcPr>
            <w:tcW w:w="2020" w:type="dxa"/>
            <w:vAlign w:val="bottom"/>
            <w:tcBorders>
              <w:right w:val="single" w:sz="8" w:color="A6A6A6"/>
            </w:tcBorders>
            <w:shd w:val="clear" w:color="auto" w:fill="A6A6A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404040"/>
        </w:rPr>
        <w:t>Continuing Operations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0" w:type="dxa"/>
            <w:vAlign w:val="bottom"/>
            <w:tcBorders>
              <w:top w:val="single" w:sz="8" w:color="A6A6A6"/>
            </w:tcBorders>
          </w:tcPr>
          <w:p>
            <w:pPr>
              <w:spacing w:after="0"/>
              <w:rPr>
                <w:sz w:val="23"/>
                <w:szCs w:val="23"/>
                <w:color w:val="auto"/>
              </w:rPr>
            </w:pPr>
          </w:p>
        </w:tc>
        <w:tc>
          <w:tcPr>
            <w:tcW w:w="120" w:type="dxa"/>
            <w:vAlign w:val="bottom"/>
            <w:tcBorders>
              <w:top w:val="single" w:sz="8" w:color="A6A6A6"/>
            </w:tcBorders>
          </w:tcPr>
          <w:p>
            <w:pPr>
              <w:spacing w:after="0"/>
              <w:rPr>
                <w:sz w:val="23"/>
                <w:szCs w:val="23"/>
                <w:color w:val="auto"/>
              </w:rPr>
            </w:pPr>
          </w:p>
        </w:tc>
        <w:tc>
          <w:tcPr>
            <w:tcW w:w="1320" w:type="dxa"/>
            <w:vAlign w:val="bottom"/>
            <w:tcBorders>
              <w:top w:val="single" w:sz="8" w:color="A6A6A6"/>
              <w:right w:val="single" w:sz="8" w:color="A6A6A6"/>
            </w:tcBorders>
            <w:vMerge w:val="restart"/>
          </w:tcPr>
          <w:p>
            <w:pPr>
              <w:jc w:val="center"/>
              <w:spacing w:after="0"/>
              <w:rPr>
                <w:sz w:val="20"/>
                <w:szCs w:val="20"/>
                <w:color w:val="auto"/>
              </w:rPr>
            </w:pPr>
            <w:r>
              <w:rPr>
                <w:rFonts w:ascii="Arial" w:cs="Arial" w:eastAsia="Arial" w:hAnsi="Arial"/>
                <w:sz w:val="20"/>
                <w:szCs w:val="20"/>
                <w:b w:val="1"/>
                <w:bCs w:val="1"/>
                <w:color w:val="404040"/>
                <w:w w:val="97"/>
              </w:rPr>
              <w:t>FY 2025</w:t>
            </w:r>
          </w:p>
        </w:tc>
        <w:tc>
          <w:tcPr>
            <w:tcW w:w="2040" w:type="dxa"/>
            <w:vAlign w:val="bottom"/>
            <w:tcBorders>
              <w:top w:val="single" w:sz="8" w:color="A6A6A6"/>
            </w:tcBorders>
            <w:shd w:val="clear" w:color="auto" w:fill="F8EADD"/>
          </w:tcPr>
          <w:p>
            <w:pPr>
              <w:jc w:val="center"/>
              <w:spacing w:after="0"/>
              <w:rPr>
                <w:sz w:val="20"/>
                <w:szCs w:val="20"/>
                <w:color w:val="auto"/>
              </w:rPr>
            </w:pPr>
            <w:r>
              <w:rPr>
                <w:rFonts w:ascii="Arial" w:cs="Arial" w:eastAsia="Arial" w:hAnsi="Arial"/>
                <w:sz w:val="20"/>
                <w:szCs w:val="20"/>
                <w:b w:val="1"/>
                <w:bCs w:val="1"/>
                <w:color w:val="0070C0"/>
              </w:rPr>
              <w:t>FY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right w:val="single" w:sz="8" w:color="A6A6A6"/>
            </w:tcBorders>
            <w:vMerge w:val="continue"/>
          </w:tcPr>
          <w:p>
            <w:pPr>
              <w:spacing w:after="0"/>
              <w:rPr>
                <w:sz w:val="18"/>
                <w:szCs w:val="18"/>
                <w:color w:val="auto"/>
              </w:rPr>
            </w:pPr>
          </w:p>
        </w:tc>
        <w:tc>
          <w:tcPr>
            <w:tcW w:w="2040" w:type="dxa"/>
            <w:vAlign w:val="bottom"/>
            <w:shd w:val="clear" w:color="auto" w:fill="F8EADD"/>
          </w:tcPr>
          <w:p>
            <w:pPr>
              <w:jc w:val="center"/>
              <w:spacing w:after="0" w:line="216" w:lineRule="exact"/>
              <w:rPr>
                <w:sz w:val="20"/>
                <w:szCs w:val="20"/>
                <w:color w:val="auto"/>
              </w:rPr>
            </w:pPr>
            <w:r>
              <w:rPr>
                <w:rFonts w:ascii="Arial" w:cs="Arial" w:eastAsia="Arial" w:hAnsi="Arial"/>
                <w:sz w:val="20"/>
                <w:szCs w:val="20"/>
                <w:b w:val="1"/>
                <w:bCs w:val="1"/>
                <w:color w:val="0070C0"/>
              </w:rPr>
              <w:t>Outlook</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right w:val="single" w:sz="8" w:color="A6A6A6"/>
            </w:tcBorders>
          </w:tcPr>
          <w:p>
            <w:pPr>
              <w:jc w:val="center"/>
              <w:spacing w:after="0"/>
              <w:rPr>
                <w:sz w:val="20"/>
                <w:szCs w:val="20"/>
                <w:color w:val="auto"/>
              </w:rPr>
            </w:pPr>
            <w:r>
              <w:rPr>
                <w:rFonts w:ascii="Arial" w:cs="Arial" w:eastAsia="Arial" w:hAnsi="Arial"/>
                <w:sz w:val="20"/>
                <w:szCs w:val="20"/>
                <w:b w:val="1"/>
                <w:bCs w:val="1"/>
                <w:color w:val="404040"/>
                <w:w w:val="99"/>
              </w:rPr>
              <w:t>Revised</w:t>
            </w:r>
          </w:p>
        </w:tc>
        <w:tc>
          <w:tcPr>
            <w:tcW w:w="2040" w:type="dxa"/>
            <w:vAlign w:val="bottom"/>
            <w:tcBorders>
              <w:bottom w:val="single" w:sz="8" w:color="F8EADD"/>
            </w:tcBorders>
            <w:shd w:val="clear" w:color="auto" w:fill="F8EADD"/>
          </w:tcPr>
          <w:p>
            <w:pPr>
              <w:jc w:val="center"/>
              <w:spacing w:after="0"/>
              <w:rPr>
                <w:sz w:val="20"/>
                <w:szCs w:val="20"/>
                <w:color w:val="auto"/>
              </w:rPr>
            </w:pPr>
            <w:r>
              <w:rPr>
                <w:rFonts w:ascii="Arial" w:cs="Arial" w:eastAsia="Arial" w:hAnsi="Arial"/>
                <w:sz w:val="20"/>
                <w:szCs w:val="20"/>
                <w:b w:val="1"/>
                <w:bCs w:val="1"/>
                <w:color w:val="0070C0"/>
                <w:w w:val="98"/>
              </w:rPr>
              <w:t>11/3/2026</w:t>
            </w:r>
          </w:p>
        </w:tc>
        <w:tc>
          <w:tcPr>
            <w:tcW w:w="0" w:type="dxa"/>
            <w:vAlign w:val="bottom"/>
          </w:tcPr>
          <w:p>
            <w:pPr>
              <w:spacing w:after="0"/>
              <w:rPr>
                <w:sz w:val="1"/>
                <w:szCs w:val="1"/>
                <w:color w:val="auto"/>
              </w:rPr>
            </w:pPr>
          </w:p>
        </w:tc>
      </w:tr>
      <w:tr>
        <w:trPr>
          <w:trHeight w:val="304"/>
        </w:trPr>
        <w:tc>
          <w:tcPr>
            <w:tcW w:w="20" w:type="dxa"/>
            <w:vAlign w:val="bottom"/>
            <w:tcBorders>
              <w:top w:val="single" w:sz="8" w:color="A6A6A6"/>
              <w:bottom w:val="single" w:sz="8" w:color="A6A6A6"/>
            </w:tcBorders>
          </w:tcPr>
          <w:p>
            <w:pPr>
              <w:spacing w:after="0"/>
              <w:rPr>
                <w:sz w:val="24"/>
                <w:szCs w:val="24"/>
                <w:color w:val="auto"/>
              </w:rPr>
            </w:pPr>
          </w:p>
        </w:tc>
        <w:tc>
          <w:tcPr>
            <w:tcW w:w="1440" w:type="dxa"/>
            <w:vAlign w:val="bottom"/>
            <w:tcBorders>
              <w:top w:val="single" w:sz="8" w:color="A6A6A6"/>
              <w:bottom w:val="single" w:sz="8" w:color="A6A6A6"/>
              <w:right w:val="single" w:sz="8" w:color="A6A6A6"/>
            </w:tcBorders>
            <w:gridSpan w:val="2"/>
            <w:shd w:val="clear" w:color="auto" w:fill="F2F2F2"/>
          </w:tcPr>
          <w:p>
            <w:pPr>
              <w:jc w:val="center"/>
              <w:ind w:left="24"/>
              <w:spacing w:after="0" w:line="296" w:lineRule="exact"/>
              <w:rPr>
                <w:sz w:val="20"/>
                <w:szCs w:val="20"/>
                <w:color w:val="auto"/>
              </w:rPr>
            </w:pPr>
            <w:r>
              <w:rPr>
                <w:rFonts w:ascii="Arial" w:cs="Arial" w:eastAsia="Arial" w:hAnsi="Arial"/>
                <w:sz w:val="32"/>
                <w:szCs w:val="32"/>
                <w:color w:val="auto"/>
                <w:w w:val="83"/>
                <w:vertAlign w:val="subscript"/>
              </w:rPr>
              <w:t>4%</w:t>
            </w:r>
            <w:r>
              <w:rPr>
                <w:rFonts w:ascii="Arial" w:cs="Arial" w:eastAsia="Arial" w:hAnsi="Arial"/>
                <w:sz w:val="12"/>
                <w:szCs w:val="12"/>
                <w:color w:val="auto"/>
                <w:w w:val="83"/>
              </w:rPr>
              <w:t>(4)</w:t>
            </w:r>
          </w:p>
        </w:tc>
        <w:tc>
          <w:tcPr>
            <w:tcW w:w="2040" w:type="dxa"/>
            <w:vAlign w:val="bottom"/>
            <w:tcBorders>
              <w:top w:val="single" w:sz="8" w:color="A6A6A6"/>
              <w:bottom w:val="single" w:sz="8" w:color="A6A6A6"/>
            </w:tcBorders>
            <w:shd w:val="clear" w:color="auto" w:fill="F8EADD"/>
          </w:tcPr>
          <w:p>
            <w:pPr>
              <w:jc w:val="center"/>
              <w:spacing w:after="0"/>
              <w:rPr>
                <w:sz w:val="20"/>
                <w:szCs w:val="20"/>
                <w:color w:val="auto"/>
              </w:rPr>
            </w:pPr>
            <w:r>
              <w:rPr>
                <w:rFonts w:ascii="Arial" w:cs="Arial" w:eastAsia="Arial" w:hAnsi="Arial"/>
                <w:sz w:val="16"/>
                <w:szCs w:val="16"/>
                <w:color w:val="auto"/>
              </w:rPr>
              <w:t>~ 9.5%</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40" w:type="dxa"/>
            <w:vAlign w:val="bottom"/>
            <w:tcBorders>
              <w:right w:val="single" w:sz="8" w:color="A6A6A6"/>
            </w:tcBorders>
            <w:gridSpan w:val="2"/>
          </w:tcPr>
          <w:p>
            <w:pPr>
              <w:jc w:val="center"/>
              <w:ind w:left="4"/>
              <w:spacing w:after="0"/>
              <w:rPr>
                <w:sz w:val="20"/>
                <w:szCs w:val="20"/>
                <w:color w:val="auto"/>
              </w:rPr>
            </w:pPr>
            <w:r>
              <w:rPr>
                <w:rFonts w:ascii="Arial" w:cs="Arial" w:eastAsia="Arial" w:hAnsi="Arial"/>
                <w:sz w:val="16"/>
                <w:szCs w:val="16"/>
                <w:color w:val="auto"/>
              </w:rPr>
              <w:t>8%</w:t>
            </w:r>
          </w:p>
        </w:tc>
        <w:tc>
          <w:tcPr>
            <w:tcW w:w="2040" w:type="dxa"/>
            <w:vAlign w:val="bottom"/>
            <w:tcBorders>
              <w:bottom w:val="single" w:sz="8" w:color="F8EADD"/>
            </w:tcBorders>
            <w:shd w:val="clear" w:color="auto" w:fill="F8EADD"/>
          </w:tcPr>
          <w:p>
            <w:pPr>
              <w:jc w:val="center"/>
              <w:spacing w:after="0"/>
              <w:rPr>
                <w:sz w:val="20"/>
                <w:szCs w:val="20"/>
                <w:color w:val="auto"/>
              </w:rPr>
            </w:pPr>
            <w:r>
              <w:rPr>
                <w:rFonts w:ascii="Arial" w:cs="Arial" w:eastAsia="Arial" w:hAnsi="Arial"/>
                <w:sz w:val="16"/>
                <w:szCs w:val="16"/>
                <w:color w:val="auto"/>
              </w:rPr>
              <w:t>8.5% - 9.0%</w:t>
            </w:r>
          </w:p>
        </w:tc>
        <w:tc>
          <w:tcPr>
            <w:tcW w:w="0" w:type="dxa"/>
            <w:vAlign w:val="bottom"/>
          </w:tcPr>
          <w:p>
            <w:pPr>
              <w:spacing w:after="0"/>
              <w:rPr>
                <w:sz w:val="1"/>
                <w:szCs w:val="1"/>
                <w:color w:val="auto"/>
              </w:rPr>
            </w:pPr>
          </w:p>
        </w:tc>
      </w:tr>
      <w:tr>
        <w:trPr>
          <w:trHeight w:val="304"/>
        </w:trPr>
        <w:tc>
          <w:tcPr>
            <w:tcW w:w="20" w:type="dxa"/>
            <w:vAlign w:val="bottom"/>
            <w:tcBorders>
              <w:top w:val="single" w:sz="8" w:color="A6A6A6"/>
            </w:tcBorders>
          </w:tcPr>
          <w:p>
            <w:pPr>
              <w:spacing w:after="0"/>
              <w:rPr>
                <w:sz w:val="24"/>
                <w:szCs w:val="24"/>
                <w:color w:val="auto"/>
              </w:rPr>
            </w:pPr>
          </w:p>
        </w:tc>
        <w:tc>
          <w:tcPr>
            <w:tcW w:w="1440" w:type="dxa"/>
            <w:vAlign w:val="bottom"/>
            <w:tcBorders>
              <w:top w:val="single" w:sz="8" w:color="A6A6A6"/>
              <w:bottom w:val="single" w:sz="8" w:color="F2F2F2"/>
              <w:right w:val="single" w:sz="8" w:color="A6A6A6"/>
            </w:tcBorders>
            <w:gridSpan w:val="2"/>
            <w:shd w:val="clear" w:color="auto" w:fill="F2F2F2"/>
          </w:tcPr>
          <w:p>
            <w:pPr>
              <w:jc w:val="center"/>
              <w:ind w:left="24"/>
              <w:spacing w:after="0"/>
              <w:rPr>
                <w:sz w:val="20"/>
                <w:szCs w:val="20"/>
                <w:color w:val="auto"/>
              </w:rPr>
            </w:pPr>
            <w:r>
              <w:rPr>
                <w:rFonts w:ascii="Arial" w:cs="Arial" w:eastAsia="Arial" w:hAnsi="Arial"/>
                <w:sz w:val="16"/>
                <w:szCs w:val="16"/>
                <w:color w:val="auto"/>
              </w:rPr>
              <w:t>37.4%</w:t>
            </w:r>
          </w:p>
        </w:tc>
        <w:tc>
          <w:tcPr>
            <w:tcW w:w="2040" w:type="dxa"/>
            <w:vAlign w:val="bottom"/>
            <w:tcBorders>
              <w:top w:val="single" w:sz="8" w:color="A6A6A6"/>
              <w:bottom w:val="single" w:sz="8" w:color="F8EADD"/>
            </w:tcBorders>
            <w:shd w:val="clear" w:color="auto" w:fill="F8EADD"/>
          </w:tcPr>
          <w:p>
            <w:pPr>
              <w:jc w:val="center"/>
              <w:spacing w:after="0"/>
              <w:rPr>
                <w:sz w:val="20"/>
                <w:szCs w:val="20"/>
                <w:color w:val="auto"/>
              </w:rPr>
            </w:pPr>
            <w:r>
              <w:rPr>
                <w:rFonts w:ascii="Arial" w:cs="Arial" w:eastAsia="Arial" w:hAnsi="Arial"/>
                <w:sz w:val="16"/>
                <w:szCs w:val="16"/>
                <w:color w:val="auto"/>
              </w:rPr>
              <w:t>~ 39%</w:t>
            </w:r>
          </w:p>
        </w:tc>
        <w:tc>
          <w:tcPr>
            <w:tcW w:w="0" w:type="dxa"/>
            <w:vAlign w:val="bottom"/>
          </w:tcPr>
          <w:p>
            <w:pPr>
              <w:spacing w:after="0"/>
              <w:rPr>
                <w:sz w:val="1"/>
                <w:szCs w:val="1"/>
                <w:color w:val="auto"/>
              </w:rPr>
            </w:pPr>
          </w:p>
        </w:tc>
      </w:tr>
      <w:tr>
        <w:trPr>
          <w:trHeight w:val="304"/>
        </w:trPr>
        <w:tc>
          <w:tcPr>
            <w:tcW w:w="20" w:type="dxa"/>
            <w:vAlign w:val="bottom"/>
            <w:tcBorders>
              <w:top w:val="single" w:sz="8" w:color="A6A6A6"/>
            </w:tcBorders>
          </w:tcPr>
          <w:p>
            <w:pPr>
              <w:spacing w:after="0"/>
              <w:rPr>
                <w:sz w:val="24"/>
                <w:szCs w:val="24"/>
                <w:color w:val="auto"/>
              </w:rPr>
            </w:pPr>
          </w:p>
        </w:tc>
        <w:tc>
          <w:tcPr>
            <w:tcW w:w="120" w:type="dxa"/>
            <w:vAlign w:val="bottom"/>
            <w:tcBorders>
              <w:top w:val="single" w:sz="8" w:color="A6A6A6"/>
            </w:tcBorders>
          </w:tcPr>
          <w:p>
            <w:pPr>
              <w:spacing w:after="0"/>
              <w:rPr>
                <w:sz w:val="24"/>
                <w:szCs w:val="24"/>
                <w:color w:val="auto"/>
              </w:rPr>
            </w:pPr>
          </w:p>
        </w:tc>
        <w:tc>
          <w:tcPr>
            <w:tcW w:w="1320" w:type="dxa"/>
            <w:vAlign w:val="bottom"/>
            <w:tcBorders>
              <w:top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rPr>
              <w:t>$252 million</w:t>
            </w:r>
          </w:p>
        </w:tc>
        <w:tc>
          <w:tcPr>
            <w:tcW w:w="2040" w:type="dxa"/>
            <w:vAlign w:val="bottom"/>
            <w:tcBorders>
              <w:top w:val="single" w:sz="8" w:color="A6A6A6"/>
              <w:bottom w:val="single" w:sz="8" w:color="F8EADD"/>
            </w:tcBorders>
            <w:shd w:val="clear" w:color="auto" w:fill="F8EADD"/>
          </w:tcPr>
          <w:p>
            <w:pPr>
              <w:jc w:val="center"/>
              <w:spacing w:after="0"/>
              <w:rPr>
                <w:sz w:val="20"/>
                <w:szCs w:val="20"/>
                <w:color w:val="auto"/>
              </w:rPr>
            </w:pPr>
            <w:r>
              <w:rPr>
                <w:rFonts w:ascii="Arial" w:cs="Arial" w:eastAsia="Arial" w:hAnsi="Arial"/>
                <w:sz w:val="16"/>
                <w:szCs w:val="16"/>
                <w:color w:val="auto"/>
                <w:w w:val="97"/>
              </w:rPr>
              <w:t>   $190 - $195 million</w:t>
            </w:r>
          </w:p>
        </w:tc>
        <w:tc>
          <w:tcPr>
            <w:tcW w:w="0" w:type="dxa"/>
            <w:vAlign w:val="bottom"/>
          </w:tcPr>
          <w:p>
            <w:pPr>
              <w:spacing w:after="0"/>
              <w:rPr>
                <w:sz w:val="1"/>
                <w:szCs w:val="1"/>
                <w:color w:val="auto"/>
              </w:rPr>
            </w:pPr>
          </w:p>
        </w:tc>
      </w:tr>
      <w:tr>
        <w:trPr>
          <w:trHeight w:val="304"/>
        </w:trPr>
        <w:tc>
          <w:tcPr>
            <w:tcW w:w="20" w:type="dxa"/>
            <w:vAlign w:val="bottom"/>
            <w:tcBorders>
              <w:top w:val="single" w:sz="8" w:color="A6A6A6"/>
            </w:tcBorders>
          </w:tcPr>
          <w:p>
            <w:pPr>
              <w:spacing w:after="0"/>
              <w:rPr>
                <w:sz w:val="24"/>
                <w:szCs w:val="24"/>
                <w:color w:val="auto"/>
              </w:rPr>
            </w:pPr>
          </w:p>
        </w:tc>
        <w:tc>
          <w:tcPr>
            <w:tcW w:w="120" w:type="dxa"/>
            <w:vAlign w:val="bottom"/>
            <w:tcBorders>
              <w:top w:val="single" w:sz="8" w:color="A6A6A6"/>
              <w:bottom w:val="single" w:sz="8" w:color="F2F2F2"/>
            </w:tcBorders>
            <w:shd w:val="clear" w:color="auto" w:fill="F2F2F2"/>
          </w:tcPr>
          <w:p>
            <w:pPr>
              <w:spacing w:after="0"/>
              <w:rPr>
                <w:sz w:val="24"/>
                <w:szCs w:val="24"/>
                <w:color w:val="auto"/>
              </w:rPr>
            </w:pPr>
          </w:p>
        </w:tc>
        <w:tc>
          <w:tcPr>
            <w:tcW w:w="1320" w:type="dxa"/>
            <w:vAlign w:val="bottom"/>
            <w:tcBorders>
              <w:top w:val="single" w:sz="8" w:color="A6A6A6"/>
              <w:bottom w:val="single" w:sz="8" w:color="F2F2F2"/>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$1.95 billion</w:t>
            </w:r>
          </w:p>
        </w:tc>
        <w:tc>
          <w:tcPr>
            <w:tcW w:w="2040" w:type="dxa"/>
            <w:vAlign w:val="bottom"/>
            <w:tcBorders>
              <w:top w:val="single" w:sz="8" w:color="A6A6A6"/>
              <w:bottom w:val="single" w:sz="8" w:color="F8EADD"/>
            </w:tcBorders>
            <w:shd w:val="clear" w:color="auto" w:fill="F8EADD"/>
          </w:tcPr>
          <w:p>
            <w:pPr>
              <w:jc w:val="center"/>
              <w:spacing w:after="0"/>
              <w:rPr>
                <w:sz w:val="20"/>
                <w:szCs w:val="20"/>
                <w:color w:val="auto"/>
              </w:rPr>
            </w:pPr>
            <w:r>
              <w:rPr>
                <w:rFonts w:ascii="Arial" w:cs="Arial" w:eastAsia="Arial" w:hAnsi="Arial"/>
                <w:sz w:val="16"/>
                <w:szCs w:val="16"/>
                <w:color w:val="auto"/>
              </w:rPr>
              <w:t>~ $2.1 billion</w:t>
            </w:r>
          </w:p>
        </w:tc>
        <w:tc>
          <w:tcPr>
            <w:tcW w:w="0" w:type="dxa"/>
            <w:vAlign w:val="bottom"/>
          </w:tcPr>
          <w:p>
            <w:pPr>
              <w:spacing w:after="0"/>
              <w:rPr>
                <w:sz w:val="1"/>
                <w:szCs w:val="1"/>
                <w:color w:val="auto"/>
              </w:rPr>
            </w:pPr>
          </w:p>
        </w:tc>
      </w:tr>
      <w:tr>
        <w:trPr>
          <w:trHeight w:val="304"/>
        </w:trPr>
        <w:tc>
          <w:tcPr>
            <w:tcW w:w="20" w:type="dxa"/>
            <w:vAlign w:val="bottom"/>
            <w:tcBorders>
              <w:top w:val="single" w:sz="8" w:color="A6A6A6"/>
            </w:tcBorders>
          </w:tcPr>
          <w:p>
            <w:pPr>
              <w:spacing w:after="0"/>
              <w:rPr>
                <w:sz w:val="24"/>
                <w:szCs w:val="24"/>
                <w:color w:val="auto"/>
              </w:rPr>
            </w:pPr>
          </w:p>
        </w:tc>
        <w:tc>
          <w:tcPr>
            <w:tcW w:w="1440" w:type="dxa"/>
            <w:vAlign w:val="bottom"/>
            <w:tcBorders>
              <w:top w:val="single" w:sz="8" w:color="A6A6A6"/>
              <w:right w:val="single" w:sz="8" w:color="A6A6A6"/>
            </w:tcBorders>
            <w:gridSpan w:val="2"/>
          </w:tcPr>
          <w:p>
            <w:pPr>
              <w:jc w:val="center"/>
              <w:ind w:left="4"/>
              <w:spacing w:after="0"/>
              <w:rPr>
                <w:sz w:val="20"/>
                <w:szCs w:val="20"/>
                <w:color w:val="auto"/>
              </w:rPr>
            </w:pPr>
            <w:r>
              <w:rPr>
                <w:rFonts w:ascii="Arial" w:cs="Arial" w:eastAsia="Arial" w:hAnsi="Arial"/>
                <w:sz w:val="16"/>
                <w:szCs w:val="16"/>
                <w:color w:val="auto"/>
                <w:w w:val="98"/>
              </w:rPr>
              <w:t>8.8%</w:t>
            </w:r>
          </w:p>
        </w:tc>
        <w:tc>
          <w:tcPr>
            <w:tcW w:w="2040" w:type="dxa"/>
            <w:vAlign w:val="bottom"/>
            <w:tcBorders>
              <w:top w:val="single" w:sz="8" w:color="A6A6A6"/>
              <w:bottom w:val="single" w:sz="8" w:color="F8EADD"/>
            </w:tcBorders>
            <w:shd w:val="clear" w:color="auto" w:fill="F8EADD"/>
          </w:tcPr>
          <w:p>
            <w:pPr>
              <w:jc w:val="center"/>
              <w:spacing w:after="0"/>
              <w:rPr>
                <w:sz w:val="20"/>
                <w:szCs w:val="20"/>
                <w:color w:val="auto"/>
              </w:rPr>
            </w:pPr>
            <w:r>
              <w:rPr>
                <w:rFonts w:ascii="Arial" w:cs="Arial" w:eastAsia="Arial" w:hAnsi="Arial"/>
                <w:sz w:val="16"/>
                <w:szCs w:val="16"/>
                <w:color w:val="auto"/>
              </w:rPr>
              <w:t>8.5% - 9.0%</w:t>
            </w:r>
          </w:p>
        </w:tc>
        <w:tc>
          <w:tcPr>
            <w:tcW w:w="0" w:type="dxa"/>
            <w:vAlign w:val="bottom"/>
          </w:tcPr>
          <w:p>
            <w:pPr>
              <w:spacing w:after="0"/>
              <w:rPr>
                <w:sz w:val="1"/>
                <w:szCs w:val="1"/>
                <w:color w:val="auto"/>
              </w:rPr>
            </w:pPr>
          </w:p>
        </w:tc>
      </w:tr>
      <w:tr>
        <w:trPr>
          <w:trHeight w:val="243"/>
        </w:trPr>
        <w:tc>
          <w:tcPr>
            <w:tcW w:w="20" w:type="dxa"/>
            <w:vAlign w:val="bottom"/>
            <w:tcBorders>
              <w:top w:val="single" w:sz="8" w:color="A6A6A6"/>
            </w:tcBorders>
          </w:tcPr>
          <w:p>
            <w:pPr>
              <w:spacing w:after="0"/>
              <w:rPr>
                <w:sz w:val="21"/>
                <w:szCs w:val="21"/>
                <w:color w:val="auto"/>
              </w:rPr>
            </w:pPr>
          </w:p>
        </w:tc>
        <w:tc>
          <w:tcPr>
            <w:tcW w:w="120" w:type="dxa"/>
            <w:vAlign w:val="bottom"/>
            <w:tcBorders>
              <w:top w:val="single" w:sz="8" w:color="A6A6A6"/>
            </w:tcBorders>
            <w:shd w:val="clear" w:color="auto" w:fill="F2F2F2"/>
          </w:tcPr>
          <w:p>
            <w:pPr>
              <w:spacing w:after="0"/>
              <w:rPr>
                <w:sz w:val="21"/>
                <w:szCs w:val="21"/>
                <w:color w:val="auto"/>
              </w:rPr>
            </w:pPr>
          </w:p>
        </w:tc>
        <w:tc>
          <w:tcPr>
            <w:tcW w:w="1320" w:type="dxa"/>
            <w:vAlign w:val="bottom"/>
            <w:tcBorders>
              <w:top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$823 million</w:t>
            </w:r>
          </w:p>
        </w:tc>
        <w:tc>
          <w:tcPr>
            <w:tcW w:w="2040" w:type="dxa"/>
            <w:vAlign w:val="bottom"/>
            <w:tcBorders>
              <w:top w:val="single" w:sz="8" w:color="A6A6A6"/>
            </w:tcBorders>
            <w:shd w:val="clear" w:color="auto" w:fill="F8EADD"/>
          </w:tcPr>
          <w:p>
            <w:pPr>
              <w:jc w:val="center"/>
              <w:spacing w:after="0"/>
              <w:rPr>
                <w:sz w:val="20"/>
                <w:szCs w:val="20"/>
                <w:color w:val="auto"/>
              </w:rPr>
            </w:pPr>
            <w:r>
              <w:rPr>
                <w:rFonts w:ascii="Arial" w:cs="Arial" w:eastAsia="Arial" w:hAnsi="Arial"/>
                <w:sz w:val="16"/>
                <w:szCs w:val="16"/>
                <w:color w:val="auto"/>
              </w:rPr>
              <w:t>~ $900 million</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1320" w:type="dxa"/>
            <w:vAlign w:val="bottom"/>
            <w:tcBorders>
              <w:right w:val="single" w:sz="8" w:color="A6A6A6"/>
            </w:tcBorders>
            <w:shd w:val="clear" w:color="auto" w:fill="F2F2F2"/>
          </w:tcPr>
          <w:p>
            <w:pPr>
              <w:jc w:val="center"/>
              <w:spacing w:after="0"/>
              <w:rPr>
                <w:sz w:val="20"/>
                <w:szCs w:val="20"/>
                <w:color w:val="auto"/>
              </w:rPr>
            </w:pPr>
            <w:r>
              <w:rPr>
                <w:rFonts w:ascii="Arial" w:cs="Arial" w:eastAsia="Arial" w:hAnsi="Arial"/>
                <w:sz w:val="14"/>
                <w:szCs w:val="14"/>
                <w:color w:val="auto"/>
              </w:rPr>
              <w:t>$617 million</w:t>
            </w:r>
          </w:p>
        </w:tc>
        <w:tc>
          <w:tcPr>
            <w:tcW w:w="2040" w:type="dxa"/>
            <w:vAlign w:val="bottom"/>
            <w:shd w:val="clear" w:color="auto" w:fill="F8EADD"/>
          </w:tcPr>
          <w:p>
            <w:pPr>
              <w:jc w:val="center"/>
              <w:spacing w:after="0"/>
              <w:rPr>
                <w:sz w:val="20"/>
                <w:szCs w:val="20"/>
                <w:color w:val="auto"/>
              </w:rPr>
            </w:pPr>
            <w:r>
              <w:rPr>
                <w:rFonts w:ascii="Arial" w:cs="Arial" w:eastAsia="Arial" w:hAnsi="Arial"/>
                <w:sz w:val="14"/>
                <w:szCs w:val="14"/>
                <w:color w:val="auto"/>
              </w:rPr>
              <w:t>~ $670 million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0" w:type="dxa"/>
            <w:vAlign w:val="bottom"/>
            <w:tcBorders>
              <w:bottom w:val="single" w:sz="8" w:color="F2F2F2"/>
            </w:tcBorders>
            <w:shd w:val="clear" w:color="auto" w:fill="F2F2F2"/>
          </w:tcPr>
          <w:p>
            <w:pPr>
              <w:spacing w:after="0"/>
              <w:rPr>
                <w:sz w:val="20"/>
                <w:szCs w:val="20"/>
                <w:color w:val="auto"/>
              </w:rPr>
            </w:pPr>
          </w:p>
        </w:tc>
        <w:tc>
          <w:tcPr>
            <w:tcW w:w="1320" w:type="dxa"/>
            <w:vAlign w:val="bottom"/>
            <w:tcBorders>
              <w:bottom w:val="single" w:sz="8" w:color="F2F2F2"/>
              <w:right w:val="single" w:sz="8" w:color="A6A6A6"/>
            </w:tcBorders>
            <w:shd w:val="clear" w:color="auto" w:fill="F2F2F2"/>
          </w:tcPr>
          <w:p>
            <w:pPr>
              <w:jc w:val="center"/>
              <w:spacing w:after="0"/>
              <w:rPr>
                <w:sz w:val="20"/>
                <w:szCs w:val="20"/>
                <w:color w:val="auto"/>
              </w:rPr>
            </w:pPr>
            <w:r>
              <w:rPr>
                <w:rFonts w:ascii="Arial" w:cs="Arial" w:eastAsia="Arial" w:hAnsi="Arial"/>
                <w:sz w:val="14"/>
                <w:szCs w:val="14"/>
                <w:color w:val="auto"/>
              </w:rPr>
              <w:t>$206 million</w:t>
            </w:r>
          </w:p>
        </w:tc>
        <w:tc>
          <w:tcPr>
            <w:tcW w:w="2040" w:type="dxa"/>
            <w:vAlign w:val="bottom"/>
            <w:tcBorders>
              <w:bottom w:val="single" w:sz="8" w:color="F8EADD"/>
            </w:tcBorders>
            <w:shd w:val="clear" w:color="auto" w:fill="F8EADD"/>
          </w:tcPr>
          <w:p>
            <w:pPr>
              <w:jc w:val="center"/>
              <w:spacing w:after="0"/>
              <w:rPr>
                <w:sz w:val="20"/>
                <w:szCs w:val="20"/>
                <w:color w:val="auto"/>
              </w:rPr>
            </w:pPr>
            <w:r>
              <w:rPr>
                <w:rFonts w:ascii="Arial" w:cs="Arial" w:eastAsia="Arial" w:hAnsi="Arial"/>
                <w:sz w:val="14"/>
                <w:szCs w:val="14"/>
                <w:color w:val="auto"/>
              </w:rPr>
              <w:t>~ $230 million</w:t>
            </w:r>
          </w:p>
        </w:tc>
        <w:tc>
          <w:tcPr>
            <w:tcW w:w="0" w:type="dxa"/>
            <w:vAlign w:val="bottom"/>
          </w:tcPr>
          <w:p>
            <w:pPr>
              <w:spacing w:after="0"/>
              <w:rPr>
                <w:sz w:val="1"/>
                <w:szCs w:val="1"/>
                <w:color w:val="auto"/>
              </w:rPr>
            </w:pPr>
          </w:p>
        </w:tc>
      </w:tr>
      <w:tr>
        <w:trPr>
          <w:trHeight w:val="304"/>
        </w:trPr>
        <w:tc>
          <w:tcPr>
            <w:tcW w:w="20" w:type="dxa"/>
            <w:vAlign w:val="bottom"/>
            <w:tcBorders>
              <w:top w:val="single" w:sz="8" w:color="A6A6A6"/>
            </w:tcBorders>
          </w:tcPr>
          <w:p>
            <w:pPr>
              <w:spacing w:after="0"/>
              <w:rPr>
                <w:sz w:val="24"/>
                <w:szCs w:val="24"/>
                <w:color w:val="auto"/>
              </w:rPr>
            </w:pPr>
          </w:p>
        </w:tc>
        <w:tc>
          <w:tcPr>
            <w:tcW w:w="120" w:type="dxa"/>
            <w:vAlign w:val="bottom"/>
            <w:tcBorders>
              <w:top w:val="single" w:sz="8" w:color="A6A6A6"/>
            </w:tcBorders>
          </w:tcPr>
          <w:p>
            <w:pPr>
              <w:spacing w:after="0"/>
              <w:rPr>
                <w:sz w:val="24"/>
                <w:szCs w:val="24"/>
                <w:color w:val="auto"/>
              </w:rPr>
            </w:pPr>
          </w:p>
        </w:tc>
        <w:tc>
          <w:tcPr>
            <w:tcW w:w="1320" w:type="dxa"/>
            <w:vAlign w:val="bottom"/>
            <w:tcBorders>
              <w:top w:val="single" w:sz="8" w:color="A6A6A6"/>
              <w:right w:val="single" w:sz="8" w:color="A6A6A6"/>
            </w:tcBorders>
          </w:tcPr>
          <w:p>
            <w:pPr>
              <w:ind w:left="60"/>
              <w:spacing w:after="0"/>
              <w:rPr>
                <w:sz w:val="20"/>
                <w:szCs w:val="20"/>
                <w:color w:val="auto"/>
              </w:rPr>
            </w:pPr>
            <w:r>
              <w:rPr>
                <w:rFonts w:ascii="Arial" w:cs="Arial" w:eastAsia="Arial" w:hAnsi="Arial"/>
                <w:sz w:val="16"/>
                <w:szCs w:val="16"/>
                <w:color w:val="auto"/>
                <w:w w:val="96"/>
              </w:rPr>
              <w:t>   $143 million </w:t>
            </w:r>
          </w:p>
        </w:tc>
        <w:tc>
          <w:tcPr>
            <w:tcW w:w="2040" w:type="dxa"/>
            <w:vAlign w:val="bottom"/>
            <w:tcBorders>
              <w:top w:val="single" w:sz="8" w:color="A6A6A6"/>
              <w:bottom w:val="single" w:sz="8" w:color="F8EADD"/>
            </w:tcBorders>
            <w:shd w:val="clear" w:color="auto" w:fill="F8EADD"/>
          </w:tcPr>
          <w:p>
            <w:pPr>
              <w:jc w:val="center"/>
              <w:spacing w:after="0"/>
              <w:rPr>
                <w:sz w:val="20"/>
                <w:szCs w:val="20"/>
                <w:color w:val="auto"/>
              </w:rPr>
            </w:pPr>
            <w:r>
              <w:rPr>
                <w:rFonts w:ascii="Arial" w:cs="Arial" w:eastAsia="Arial" w:hAnsi="Arial"/>
                <w:sz w:val="16"/>
                <w:szCs w:val="16"/>
                <w:color w:val="auto"/>
              </w:rPr>
              <w:t>~ $190 million</w:t>
            </w:r>
          </w:p>
        </w:tc>
        <w:tc>
          <w:tcPr>
            <w:tcW w:w="0" w:type="dxa"/>
            <w:vAlign w:val="bottom"/>
          </w:tcPr>
          <w:p>
            <w:pPr>
              <w:spacing w:after="0"/>
              <w:rPr>
                <w:sz w:val="1"/>
                <w:szCs w:val="1"/>
                <w:color w:val="auto"/>
              </w:rPr>
            </w:pPr>
          </w:p>
        </w:tc>
      </w:tr>
      <w:tr>
        <w:trPr>
          <w:trHeight w:val="304"/>
        </w:trPr>
        <w:tc>
          <w:tcPr>
            <w:tcW w:w="20" w:type="dxa"/>
            <w:vAlign w:val="bottom"/>
            <w:tcBorders>
              <w:top w:val="single" w:sz="8" w:color="A6A6A6"/>
            </w:tcBorders>
          </w:tcPr>
          <w:p>
            <w:pPr>
              <w:spacing w:after="0"/>
              <w:rPr>
                <w:sz w:val="24"/>
                <w:szCs w:val="24"/>
                <w:color w:val="auto"/>
              </w:rPr>
            </w:pPr>
          </w:p>
        </w:tc>
        <w:tc>
          <w:tcPr>
            <w:tcW w:w="1440" w:type="dxa"/>
            <w:vAlign w:val="bottom"/>
            <w:tcBorders>
              <w:top w:val="single" w:sz="8" w:color="A6A6A6"/>
              <w:bottom w:val="single" w:sz="8" w:color="F2F2F2"/>
              <w:right w:val="single" w:sz="8" w:color="A6A6A6"/>
            </w:tcBorders>
            <w:gridSpan w:val="2"/>
            <w:shd w:val="clear" w:color="auto" w:fill="F2F2F2"/>
          </w:tcPr>
          <w:p>
            <w:pPr>
              <w:jc w:val="center"/>
              <w:ind w:left="24"/>
              <w:spacing w:after="0"/>
              <w:rPr>
                <w:sz w:val="20"/>
                <w:szCs w:val="20"/>
                <w:color w:val="auto"/>
              </w:rPr>
            </w:pPr>
            <w:r>
              <w:rPr>
                <w:rFonts w:ascii="Arial" w:cs="Arial" w:eastAsia="Arial" w:hAnsi="Arial"/>
                <w:sz w:val="16"/>
                <w:szCs w:val="16"/>
                <w:color w:val="auto"/>
              </w:rPr>
              <w:t>18.8%</w:t>
            </w:r>
          </w:p>
        </w:tc>
        <w:tc>
          <w:tcPr>
            <w:tcW w:w="2040" w:type="dxa"/>
            <w:vAlign w:val="bottom"/>
            <w:tcBorders>
              <w:top w:val="single" w:sz="8" w:color="A6A6A6"/>
              <w:bottom w:val="single" w:sz="8" w:color="F8EADD"/>
            </w:tcBorders>
            <w:shd w:val="clear" w:color="auto" w:fill="F8EADD"/>
          </w:tcPr>
          <w:p>
            <w:pPr>
              <w:jc w:val="center"/>
              <w:spacing w:after="0"/>
              <w:rPr>
                <w:sz w:val="20"/>
                <w:szCs w:val="20"/>
                <w:color w:val="auto"/>
              </w:rPr>
            </w:pPr>
            <w:r>
              <w:rPr>
                <w:rFonts w:ascii="Arial" w:cs="Arial" w:eastAsia="Arial" w:hAnsi="Arial"/>
                <w:sz w:val="16"/>
                <w:szCs w:val="16"/>
                <w:color w:val="auto"/>
              </w:rPr>
              <w:t>~ 19%</w:t>
            </w:r>
          </w:p>
        </w:tc>
        <w:tc>
          <w:tcPr>
            <w:tcW w:w="0" w:type="dxa"/>
            <w:vAlign w:val="bottom"/>
          </w:tcPr>
          <w:p>
            <w:pPr>
              <w:spacing w:after="0"/>
              <w:rPr>
                <w:sz w:val="1"/>
                <w:szCs w:val="1"/>
                <w:color w:val="auto"/>
              </w:rPr>
            </w:pPr>
          </w:p>
        </w:tc>
      </w:tr>
      <w:tr>
        <w:trPr>
          <w:trHeight w:val="246"/>
        </w:trPr>
        <w:tc>
          <w:tcPr>
            <w:tcW w:w="20" w:type="dxa"/>
            <w:vAlign w:val="bottom"/>
            <w:tcBorders>
              <w:top w:val="single" w:sz="8" w:color="A6A6A6"/>
            </w:tcBorders>
          </w:tcPr>
          <w:p>
            <w:pPr>
              <w:spacing w:after="0"/>
              <w:rPr>
                <w:sz w:val="21"/>
                <w:szCs w:val="21"/>
                <w:color w:val="auto"/>
              </w:rPr>
            </w:pPr>
          </w:p>
        </w:tc>
        <w:tc>
          <w:tcPr>
            <w:tcW w:w="120" w:type="dxa"/>
            <w:vAlign w:val="bottom"/>
            <w:tcBorders>
              <w:top w:val="single" w:sz="8" w:color="A6A6A6"/>
            </w:tcBorders>
          </w:tcPr>
          <w:p>
            <w:pPr>
              <w:spacing w:after="0"/>
              <w:rPr>
                <w:sz w:val="21"/>
                <w:szCs w:val="21"/>
                <w:color w:val="auto"/>
              </w:rPr>
            </w:pPr>
          </w:p>
        </w:tc>
        <w:tc>
          <w:tcPr>
            <w:tcW w:w="1320" w:type="dxa"/>
            <w:vAlign w:val="bottom"/>
            <w:tcBorders>
              <w:top w:val="single" w:sz="8" w:color="A6A6A6"/>
              <w:right w:val="single" w:sz="8" w:color="A6A6A6"/>
            </w:tcBorders>
            <w:vMerge w:val="restart"/>
          </w:tcPr>
          <w:p>
            <w:pPr>
              <w:jc w:val="center"/>
              <w:spacing w:after="0"/>
              <w:rPr>
                <w:sz w:val="20"/>
                <w:szCs w:val="20"/>
                <w:color w:val="auto"/>
              </w:rPr>
            </w:pPr>
            <w:r>
              <w:rPr>
                <w:rFonts w:ascii="Arial" w:cs="Arial" w:eastAsia="Arial" w:hAnsi="Arial"/>
                <w:sz w:val="20"/>
                <w:szCs w:val="20"/>
                <w:b w:val="1"/>
                <w:bCs w:val="1"/>
                <w:color w:val="404040"/>
                <w:w w:val="97"/>
              </w:rPr>
              <w:t>FY 2025</w:t>
            </w:r>
          </w:p>
        </w:tc>
        <w:tc>
          <w:tcPr>
            <w:tcW w:w="2040" w:type="dxa"/>
            <w:vAlign w:val="bottom"/>
            <w:tcBorders>
              <w:top w:val="single" w:sz="8" w:color="A6A6A6"/>
            </w:tcBorders>
            <w:shd w:val="clear" w:color="auto" w:fill="F8EADD"/>
          </w:tcPr>
          <w:p>
            <w:pPr>
              <w:jc w:val="center"/>
              <w:spacing w:after="0"/>
              <w:rPr>
                <w:sz w:val="20"/>
                <w:szCs w:val="20"/>
                <w:color w:val="auto"/>
              </w:rPr>
            </w:pPr>
            <w:r>
              <w:rPr>
                <w:rFonts w:ascii="Arial" w:cs="Arial" w:eastAsia="Arial" w:hAnsi="Arial"/>
                <w:sz w:val="20"/>
                <w:szCs w:val="20"/>
                <w:b w:val="1"/>
                <w:bCs w:val="1"/>
                <w:color w:val="0070C0"/>
              </w:rPr>
              <w:t>FY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right w:val="single" w:sz="8" w:color="A6A6A6"/>
            </w:tcBorders>
            <w:vMerge w:val="continue"/>
          </w:tcPr>
          <w:p>
            <w:pPr>
              <w:spacing w:after="0"/>
              <w:rPr>
                <w:sz w:val="18"/>
                <w:szCs w:val="18"/>
                <w:color w:val="auto"/>
              </w:rPr>
            </w:pPr>
          </w:p>
        </w:tc>
        <w:tc>
          <w:tcPr>
            <w:tcW w:w="2040" w:type="dxa"/>
            <w:vAlign w:val="bottom"/>
            <w:shd w:val="clear" w:color="auto" w:fill="F8EADD"/>
          </w:tcPr>
          <w:p>
            <w:pPr>
              <w:jc w:val="center"/>
              <w:spacing w:after="0" w:line="216" w:lineRule="exact"/>
              <w:rPr>
                <w:sz w:val="20"/>
                <w:szCs w:val="20"/>
                <w:color w:val="auto"/>
              </w:rPr>
            </w:pPr>
            <w:r>
              <w:rPr>
                <w:rFonts w:ascii="Arial" w:cs="Arial" w:eastAsia="Arial" w:hAnsi="Arial"/>
                <w:sz w:val="20"/>
                <w:szCs w:val="20"/>
                <w:b w:val="1"/>
                <w:bCs w:val="1"/>
                <w:color w:val="0070C0"/>
              </w:rPr>
              <w:t>Outlook</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right w:val="single" w:sz="8" w:color="A6A6A6"/>
            </w:tcBorders>
          </w:tcPr>
          <w:p>
            <w:pPr>
              <w:jc w:val="center"/>
              <w:spacing w:after="0"/>
              <w:rPr>
                <w:sz w:val="20"/>
                <w:szCs w:val="20"/>
                <w:color w:val="auto"/>
              </w:rPr>
            </w:pPr>
            <w:r>
              <w:rPr>
                <w:rFonts w:ascii="Arial" w:cs="Arial" w:eastAsia="Arial" w:hAnsi="Arial"/>
                <w:sz w:val="20"/>
                <w:szCs w:val="20"/>
                <w:b w:val="1"/>
                <w:bCs w:val="1"/>
                <w:color w:val="404040"/>
                <w:w w:val="99"/>
              </w:rPr>
              <w:t>Revised</w:t>
            </w:r>
          </w:p>
        </w:tc>
        <w:tc>
          <w:tcPr>
            <w:tcW w:w="2040" w:type="dxa"/>
            <w:vAlign w:val="bottom"/>
            <w:tcBorders>
              <w:bottom w:val="single" w:sz="8" w:color="F8EADD"/>
            </w:tcBorders>
            <w:shd w:val="clear" w:color="auto" w:fill="F8EADD"/>
          </w:tcPr>
          <w:p>
            <w:pPr>
              <w:jc w:val="center"/>
              <w:spacing w:after="0"/>
              <w:rPr>
                <w:sz w:val="20"/>
                <w:szCs w:val="20"/>
                <w:color w:val="auto"/>
              </w:rPr>
            </w:pPr>
            <w:r>
              <w:rPr>
                <w:rFonts w:ascii="Arial" w:cs="Arial" w:eastAsia="Arial" w:hAnsi="Arial"/>
                <w:sz w:val="20"/>
                <w:szCs w:val="20"/>
                <w:b w:val="1"/>
                <w:bCs w:val="1"/>
                <w:color w:val="0070C0"/>
                <w:w w:val="98"/>
              </w:rPr>
              <w:t>11/3/2026</w:t>
            </w:r>
          </w:p>
        </w:tc>
        <w:tc>
          <w:tcPr>
            <w:tcW w:w="0" w:type="dxa"/>
            <w:vAlign w:val="bottom"/>
          </w:tcPr>
          <w:p>
            <w:pPr>
              <w:spacing w:after="0"/>
              <w:rPr>
                <w:sz w:val="1"/>
                <w:szCs w:val="1"/>
                <w:color w:val="auto"/>
              </w:rPr>
            </w:pPr>
          </w:p>
        </w:tc>
      </w:tr>
      <w:tr>
        <w:trPr>
          <w:trHeight w:val="304"/>
        </w:trPr>
        <w:tc>
          <w:tcPr>
            <w:tcW w:w="20" w:type="dxa"/>
            <w:vAlign w:val="bottom"/>
            <w:tcBorders>
              <w:top w:val="single" w:sz="8" w:color="A6A6A6"/>
              <w:bottom w:val="single" w:sz="8" w:color="A6A6A6"/>
            </w:tcBorders>
          </w:tcPr>
          <w:p>
            <w:pPr>
              <w:spacing w:after="0"/>
              <w:rPr>
                <w:sz w:val="24"/>
                <w:szCs w:val="24"/>
                <w:color w:val="auto"/>
              </w:rPr>
            </w:pPr>
          </w:p>
        </w:tc>
        <w:tc>
          <w:tcPr>
            <w:tcW w:w="1440" w:type="dxa"/>
            <w:vAlign w:val="bottom"/>
            <w:tcBorders>
              <w:top w:val="single" w:sz="8" w:color="A6A6A6"/>
              <w:bottom w:val="single" w:sz="8" w:color="A6A6A6"/>
              <w:right w:val="single" w:sz="8" w:color="A6A6A6"/>
            </w:tcBorders>
            <w:gridSpan w:val="2"/>
            <w:shd w:val="clear" w:color="auto" w:fill="F2F2F2"/>
          </w:tcPr>
          <w:p>
            <w:pPr>
              <w:jc w:val="center"/>
              <w:ind w:left="24"/>
              <w:spacing w:after="0" w:line="296" w:lineRule="exact"/>
              <w:rPr>
                <w:sz w:val="20"/>
                <w:szCs w:val="20"/>
                <w:color w:val="auto"/>
              </w:rPr>
            </w:pPr>
            <w:r>
              <w:rPr>
                <w:rFonts w:ascii="Arial" w:cs="Arial" w:eastAsia="Arial" w:hAnsi="Arial"/>
                <w:sz w:val="32"/>
                <w:szCs w:val="32"/>
                <w:color w:val="auto"/>
                <w:w w:val="83"/>
                <w:vertAlign w:val="subscript"/>
              </w:rPr>
              <w:t>4%</w:t>
            </w:r>
            <w:r>
              <w:rPr>
                <w:rFonts w:ascii="Arial" w:cs="Arial" w:eastAsia="Arial" w:hAnsi="Arial"/>
                <w:sz w:val="12"/>
                <w:szCs w:val="12"/>
                <w:color w:val="auto"/>
                <w:w w:val="83"/>
              </w:rPr>
              <w:t>(4)</w:t>
            </w:r>
          </w:p>
        </w:tc>
        <w:tc>
          <w:tcPr>
            <w:tcW w:w="2040" w:type="dxa"/>
            <w:vAlign w:val="bottom"/>
            <w:tcBorders>
              <w:top w:val="single" w:sz="8" w:color="A6A6A6"/>
              <w:bottom w:val="single" w:sz="8" w:color="A6A6A6"/>
            </w:tcBorders>
            <w:shd w:val="clear" w:color="auto" w:fill="F8EADD"/>
          </w:tcPr>
          <w:p>
            <w:pPr>
              <w:jc w:val="center"/>
              <w:spacing w:after="0"/>
              <w:rPr>
                <w:sz w:val="20"/>
                <w:szCs w:val="20"/>
                <w:color w:val="auto"/>
              </w:rPr>
            </w:pPr>
            <w:r>
              <w:rPr>
                <w:rFonts w:ascii="Arial" w:cs="Arial" w:eastAsia="Arial" w:hAnsi="Arial"/>
                <w:sz w:val="16"/>
                <w:szCs w:val="16"/>
                <w:color w:val="auto"/>
                <w:w w:val="92"/>
              </w:rPr>
              <w:t>   9.5% - 10.0%</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40" w:type="dxa"/>
            <w:vAlign w:val="bottom"/>
            <w:tcBorders>
              <w:right w:val="single" w:sz="8" w:color="A6A6A6"/>
            </w:tcBorders>
            <w:gridSpan w:val="2"/>
          </w:tcPr>
          <w:p>
            <w:pPr>
              <w:jc w:val="center"/>
              <w:ind w:left="4"/>
              <w:spacing w:after="0"/>
              <w:rPr>
                <w:sz w:val="20"/>
                <w:szCs w:val="20"/>
                <w:color w:val="auto"/>
              </w:rPr>
            </w:pPr>
            <w:r>
              <w:rPr>
                <w:rFonts w:ascii="Arial" w:cs="Arial" w:eastAsia="Arial" w:hAnsi="Arial"/>
                <w:sz w:val="16"/>
                <w:szCs w:val="16"/>
                <w:color w:val="auto"/>
              </w:rPr>
              <w:t>9%</w:t>
            </w:r>
          </w:p>
        </w:tc>
        <w:tc>
          <w:tcPr>
            <w:tcW w:w="2040" w:type="dxa"/>
            <w:vAlign w:val="bottom"/>
            <w:tcBorders>
              <w:bottom w:val="single" w:sz="8" w:color="F8EADD"/>
            </w:tcBorders>
            <w:shd w:val="clear" w:color="auto" w:fill="F8EADD"/>
          </w:tcPr>
          <w:p>
            <w:pPr>
              <w:jc w:val="center"/>
              <w:spacing w:after="0"/>
              <w:rPr>
                <w:sz w:val="20"/>
                <w:szCs w:val="20"/>
                <w:color w:val="auto"/>
              </w:rPr>
            </w:pPr>
            <w:r>
              <w:rPr>
                <w:rFonts w:ascii="Arial" w:cs="Arial" w:eastAsia="Arial" w:hAnsi="Arial"/>
                <w:sz w:val="16"/>
                <w:szCs w:val="16"/>
                <w:color w:val="auto"/>
                <w:w w:val="99"/>
              </w:rPr>
              <w:t>9.5% - 10.0%</w:t>
            </w:r>
          </w:p>
        </w:tc>
        <w:tc>
          <w:tcPr>
            <w:tcW w:w="0" w:type="dxa"/>
            <w:vAlign w:val="bottom"/>
          </w:tcPr>
          <w:p>
            <w:pPr>
              <w:spacing w:after="0"/>
              <w:rPr>
                <w:sz w:val="1"/>
                <w:szCs w:val="1"/>
                <w:color w:val="auto"/>
              </w:rPr>
            </w:pPr>
          </w:p>
        </w:tc>
      </w:tr>
      <w:tr>
        <w:trPr>
          <w:trHeight w:val="277"/>
        </w:trPr>
        <w:tc>
          <w:tcPr>
            <w:tcW w:w="20" w:type="dxa"/>
            <w:vAlign w:val="bottom"/>
            <w:tcBorders>
              <w:top w:val="single" w:sz="8" w:color="A6A6A6"/>
            </w:tcBorders>
          </w:tcPr>
          <w:p>
            <w:pPr>
              <w:spacing w:after="0"/>
              <w:rPr>
                <w:sz w:val="24"/>
                <w:szCs w:val="24"/>
                <w:color w:val="auto"/>
              </w:rPr>
            </w:pPr>
          </w:p>
        </w:tc>
        <w:tc>
          <w:tcPr>
            <w:tcW w:w="1440" w:type="dxa"/>
            <w:vAlign w:val="bottom"/>
            <w:tcBorders>
              <w:top w:val="single" w:sz="8" w:color="A6A6A6"/>
              <w:bottom w:val="single" w:sz="8" w:color="F2F2F2"/>
              <w:right w:val="single" w:sz="8" w:color="A6A6A6"/>
            </w:tcBorders>
            <w:gridSpan w:val="2"/>
            <w:shd w:val="clear" w:color="auto" w:fill="F2F2F2"/>
          </w:tcPr>
          <w:p>
            <w:pPr>
              <w:jc w:val="center"/>
              <w:ind w:left="24"/>
              <w:spacing w:after="0"/>
              <w:rPr>
                <w:sz w:val="20"/>
                <w:szCs w:val="20"/>
                <w:color w:val="auto"/>
              </w:rPr>
            </w:pPr>
            <w:r>
              <w:rPr>
                <w:rFonts w:ascii="Arial" w:cs="Arial" w:eastAsia="Arial" w:hAnsi="Arial"/>
                <w:sz w:val="16"/>
                <w:szCs w:val="16"/>
                <w:color w:val="auto"/>
              </w:rPr>
              <w:t>43.6%</w:t>
            </w:r>
          </w:p>
        </w:tc>
        <w:tc>
          <w:tcPr>
            <w:tcW w:w="2040" w:type="dxa"/>
            <w:vAlign w:val="bottom"/>
            <w:tcBorders>
              <w:top w:val="single" w:sz="8" w:color="A6A6A6"/>
              <w:bottom w:val="single" w:sz="8" w:color="F8EADD"/>
            </w:tcBorders>
            <w:shd w:val="clear" w:color="auto" w:fill="F8EADD"/>
          </w:tcPr>
          <w:p>
            <w:pPr>
              <w:jc w:val="center"/>
              <w:spacing w:after="0"/>
              <w:rPr>
                <w:sz w:val="20"/>
                <w:szCs w:val="20"/>
                <w:color w:val="auto"/>
              </w:rPr>
            </w:pPr>
            <w:r>
              <w:rPr>
                <w:rFonts w:ascii="Arial" w:cs="Arial" w:eastAsia="Arial" w:hAnsi="Arial"/>
                <w:sz w:val="16"/>
                <w:szCs w:val="16"/>
                <w:color w:val="auto"/>
              </w:rPr>
              <w:t>+100bps vs 2025</w:t>
            </w:r>
          </w:p>
        </w:tc>
        <w:tc>
          <w:tcPr>
            <w:tcW w:w="0" w:type="dxa"/>
            <w:vAlign w:val="bottom"/>
          </w:tcPr>
          <w:p>
            <w:pPr>
              <w:spacing w:after="0"/>
              <w:rPr>
                <w:sz w:val="1"/>
                <w:szCs w:val="1"/>
                <w:color w:val="auto"/>
              </w:rPr>
            </w:pPr>
          </w:p>
        </w:tc>
      </w:tr>
      <w:tr>
        <w:trPr>
          <w:trHeight w:val="27"/>
        </w:trPr>
        <w:tc>
          <w:tcPr>
            <w:tcW w:w="20" w:type="dxa"/>
            <w:vAlign w:val="bottom"/>
            <w:shd w:val="clear" w:color="auto" w:fill="A6A6A6"/>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1320" w:type="dxa"/>
            <w:vAlign w:val="bottom"/>
            <w:tcBorders>
              <w:right w:val="single" w:sz="8" w:color="A6A6A6"/>
            </w:tcBorders>
            <w:shd w:val="clear" w:color="auto" w:fill="A6A6A6"/>
          </w:tcPr>
          <w:p>
            <w:pPr>
              <w:spacing w:after="0"/>
              <w:rPr>
                <w:sz w:val="2"/>
                <w:szCs w:val="2"/>
                <w:color w:val="auto"/>
              </w:rPr>
            </w:pPr>
          </w:p>
        </w:tc>
        <w:tc>
          <w:tcPr>
            <w:tcW w:w="2040" w:type="dxa"/>
            <w:vAlign w:val="bottom"/>
            <w:shd w:val="clear" w:color="auto" w:fill="A6A6A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ectPr>
          <w:pgSz w:w="11900" w:h="16838" w:orient="portrait"/>
          <w:cols w:equalWidth="0" w:num="2">
            <w:col w:w="7440" w:space="100"/>
            <w:col w:w="3500"/>
          </w:cols>
          <w:pgMar w:left="420" w:top="1093" w:right="439" w:bottom="1440" w:gutter="0" w:footer="0" w:header="0"/>
          <w:type w:val="continuous"/>
        </w:sectPr>
      </w:pPr>
    </w:p>
    <w:p>
      <w:pPr>
        <w:ind w:left="440" w:right="140" w:hanging="424"/>
        <w:spacing w:after="0" w:line="248" w:lineRule="auto"/>
        <w:tabs>
          <w:tab w:leader="none" w:pos="4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company uses certain non-IFRS financial measures as supplemental indicators of its operating performance and financial position. See the “Non-IFRS Financial Measures” section and the tables appended to this news release for additional information on these and other non-IFRS financial measures, including how they are defined and reconciled to the most directly comparable IFRS measures.</w:t>
      </w:r>
    </w:p>
    <w:p>
      <w:pPr>
        <w:ind w:left="440" w:right="120" w:hanging="424"/>
        <w:spacing w:after="0" w:line="241" w:lineRule="auto"/>
        <w:tabs>
          <w:tab w:leader="none" w:pos="4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Corporate Center includes costs for centrally managed functions and, on a continuing operations basis, certain content and editorial costs associated with our former Global Print business. Starting October 1, 2026, Corporate Center will also include a royalty paid to Thomson Reuters from Westbridge Print and fees for certain transition services as the joint venture migrates to a stand-alone entity.</w:t>
      </w:r>
    </w:p>
    <w:p>
      <w:pPr>
        <w:spacing w:after="0" w:line="1" w:lineRule="exact"/>
        <w:rPr>
          <w:rFonts w:ascii="Arial" w:cs="Arial" w:eastAsia="Arial" w:hAnsi="Arial"/>
          <w:sz w:val="14"/>
          <w:szCs w:val="14"/>
          <w:color w:val="auto"/>
        </w:rPr>
      </w:pPr>
    </w:p>
    <w:p>
      <w:pPr>
        <w:ind w:left="440" w:hanging="424"/>
        <w:spacing w:after="0"/>
        <w:tabs>
          <w:tab w:leader="none" w:pos="4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Free cash flow includes continuing and discontinued operations.</w:t>
      </w:r>
    </w:p>
    <w:p>
      <w:pPr>
        <w:spacing w:after="0" w:line="1" w:lineRule="exact"/>
        <w:rPr>
          <w:rFonts w:ascii="Arial" w:cs="Arial" w:eastAsia="Arial" w:hAnsi="Arial"/>
          <w:sz w:val="14"/>
          <w:szCs w:val="14"/>
          <w:color w:val="auto"/>
        </w:rPr>
      </w:pPr>
    </w:p>
    <w:p>
      <w:pPr>
        <w:ind w:left="440" w:hanging="424"/>
        <w:spacing w:after="0"/>
        <w:tabs>
          <w:tab w:leader="none" w:pos="4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revenue growth reflects the impact of the disposals of FindLaw and other non-core businesses in December 2024.</w:t>
      </w:r>
    </w:p>
    <w:p>
      <w:pPr>
        <w:spacing w:after="0" w:line="193" w:lineRule="exact"/>
        <w:rPr>
          <w:sz w:val="20"/>
          <w:szCs w:val="20"/>
          <w:color w:val="auto"/>
        </w:rPr>
      </w:pPr>
    </w:p>
    <w:p>
      <w:pPr>
        <w:ind w:left="20" w:right="520"/>
        <w:spacing w:after="0" w:line="271" w:lineRule="auto"/>
        <w:rPr>
          <w:sz w:val="20"/>
          <w:szCs w:val="20"/>
          <w:color w:val="auto"/>
        </w:rPr>
      </w:pPr>
      <w:r>
        <w:rPr>
          <w:rFonts w:ascii="Arial" w:cs="Arial" w:eastAsia="Arial" w:hAnsi="Arial"/>
          <w:sz w:val="18"/>
          <w:szCs w:val="18"/>
          <w:color w:val="auto"/>
        </w:rPr>
        <w:t>The company expects its fourth-quarter 2026 organic revenue growth to be approximately 8% and its adjusted EBITDA margin to be approximately 42%.</w:t>
      </w:r>
    </w:p>
    <w:p>
      <w:pPr>
        <w:spacing w:after="0" w:line="264" w:lineRule="exact"/>
        <w:rPr>
          <w:sz w:val="20"/>
          <w:szCs w:val="20"/>
          <w:color w:val="auto"/>
        </w:rPr>
      </w:pPr>
    </w:p>
    <w:p>
      <w:pPr>
        <w:ind w:left="20" w:right="280"/>
        <w:spacing w:after="0" w:line="249" w:lineRule="auto"/>
        <w:rPr>
          <w:sz w:val="20"/>
          <w:szCs w:val="20"/>
          <w:color w:val="auto"/>
        </w:rPr>
      </w:pPr>
      <w:r>
        <w:rPr>
          <w:rFonts w:ascii="Arial" w:cs="Arial" w:eastAsia="Arial" w:hAnsi="Arial"/>
          <w:sz w:val="18"/>
          <w:szCs w:val="18"/>
          <w:b w:val="1"/>
          <w:bCs w:val="1"/>
          <w:i w:val="1"/>
          <w:iCs w:val="1"/>
          <w:color w:val="auto"/>
        </w:rPr>
        <w:t>The information in this section is forward-looking. Actual results, which will include the impact of currency, and future acquisitions and dispositions completed during the remainder of 2026 may differ materially from the company’s 2026 outlook. The information in this section should also be read in conjunction with the section below entitled “Special Note Regarding Forward-Looking Statements, Material Risks and Material Assumptions.”</w:t>
      </w:r>
    </w:p>
    <w:p>
      <w:pPr>
        <w:sectPr>
          <w:pgSz w:w="11900" w:h="16838" w:orient="portrait"/>
          <w:cols w:equalWidth="0" w:num="1">
            <w:col w:w="11040"/>
          </w:cols>
          <w:pgMar w:left="420" w:top="1093" w:right="439" w:bottom="1440" w:gutter="0" w:footer="0" w:header="0"/>
          <w:type w:val="continuous"/>
        </w:sectPr>
      </w:pPr>
    </w:p>
    <w:bookmarkStart w:id="12" w:name="page13"/>
    <w:bookmarkEnd w:id="1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34440" cy="4629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10 of 23</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Debt Issuance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September 2026, the company issued the following notes:</w:t>
      </w:r>
    </w:p>
    <w:p>
      <w:pPr>
        <w:spacing w:after="0" w:line="117" w:lineRule="exact"/>
        <w:rPr>
          <w:sz w:val="20"/>
          <w:szCs w:val="20"/>
          <w:color w:val="auto"/>
        </w:rPr>
      </w:pPr>
    </w:p>
    <w:p>
      <w:pPr>
        <w:ind w:left="1424" w:hanging="439"/>
        <w:spacing w:after="0"/>
        <w:tabs>
          <w:tab w:leader="none" w:pos="1424"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CDN$350 million 4.13% Notes due 2029</w:t>
      </w:r>
    </w:p>
    <w:p>
      <w:pPr>
        <w:spacing w:after="0" w:line="26"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CDN$350 million 4.48% Notes due 2031</w:t>
      </w:r>
    </w:p>
    <w:p>
      <w:pPr>
        <w:spacing w:after="0" w:line="8"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CDN$300 million Floating rate notes due 2029</w:t>
      </w:r>
    </w:p>
    <w:p>
      <w:pPr>
        <w:spacing w:after="0" w:line="8"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$800 million 5.10% Notes due 2028</w:t>
      </w:r>
    </w:p>
    <w:p>
      <w:pPr>
        <w:spacing w:after="0" w:line="8"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$500 million 5.75% Notes due 2033</w:t>
      </w:r>
    </w:p>
    <w:p>
      <w:pPr>
        <w:spacing w:after="0" w:line="206"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The Canadian dollar notes issued were immediately swapped into U.S. dollars by way of cross-currency interest rate swaps. The company used the proceeds of approximately $2.0 billion in aggregate for general corporate purposes, which included repayment of borrowings under its commercial paper program.</w:t>
      </w:r>
    </w:p>
    <w:p>
      <w:pPr>
        <w:spacing w:after="0" w:line="27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Notice of Intent to Voluntarily Delist TR Finance LLC Notes (Nasdaq: TRI43A, TRI40, TRI35)</w:t>
      </w:r>
    </w:p>
    <w:p>
      <w:pPr>
        <w:spacing w:after="0" w:line="104" w:lineRule="exact"/>
        <w:rPr>
          <w:sz w:val="20"/>
          <w:szCs w:val="20"/>
          <w:color w:val="auto"/>
        </w:rPr>
      </w:pPr>
    </w:p>
    <w:p>
      <w:pPr>
        <w:ind w:left="4" w:right="40"/>
        <w:spacing w:after="0" w:line="255" w:lineRule="auto"/>
        <w:rPr>
          <w:sz w:val="20"/>
          <w:szCs w:val="20"/>
          <w:color w:val="auto"/>
        </w:rPr>
      </w:pPr>
      <w:r>
        <w:rPr>
          <w:rFonts w:ascii="Arial" w:cs="Arial" w:eastAsia="Arial" w:hAnsi="Arial"/>
          <w:sz w:val="17"/>
          <w:szCs w:val="17"/>
          <w:color w:val="auto"/>
        </w:rPr>
        <w:t>The company announced today that it has notified the Nasdaq Stock Market LLC (Nasdaq) of its decision to voluntarily delist from the Nasdaq Global Select Market TR Finance LLC’s 4.500% notes due May 23, 2043 (CUSIP: 87268LAC1 / ISIN: US87268LAC19), 5.850% notes due April 15, 2040 (CUSIP: 87268LAB3 / ISIN: US87268LAB36) and 5.500% debentures due August 15, 2035 (CUSIP: 87268LAE7</w:t>
      </w:r>
    </w:p>
    <w:p>
      <w:pPr>
        <w:spacing w:after="0" w:line="2" w:lineRule="exact"/>
        <w:rPr>
          <w:sz w:val="20"/>
          <w:szCs w:val="20"/>
          <w:color w:val="auto"/>
        </w:rPr>
      </w:pPr>
    </w:p>
    <w:p>
      <w:pPr>
        <w:ind w:left="4" w:right="40" w:hanging="4"/>
        <w:spacing w:after="0" w:line="237" w:lineRule="auto"/>
        <w:tabs>
          <w:tab w:leader="none" w:pos="1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ISIN: US87268LAE74) (collectively, the Notes), and its intention to file a Notification of Removal from Listing on Form 25 on or about November 13, 2026 (Form 25) with the US Securities and Exchange Commission (SEC). As a result, the company expects the delisting of the Notes to become effective on or about November 23, 2026, from which time the Notes will no longer be listed on the Nasdaq. The Company has not made arrangements for the listing and/or registration of the Notes on another national securities exchange or quotation medium. The company has decided to delist the Notes from the Nasdaq due to the direct and indirect costs of maintaining the listing. The delisting will not affect the terms of the Notes or TR Finance LLC’s obligations under the indentures governing the Notes, and the Notes will remain outstanding.</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$600 Million Share Repurchase Program and Common Shares Outstanding</w:t>
      </w:r>
    </w:p>
    <w:p>
      <w:pPr>
        <w:spacing w:after="0" w:line="104" w:lineRule="exact"/>
        <w:rPr>
          <w:sz w:val="20"/>
          <w:szCs w:val="20"/>
          <w:color w:val="auto"/>
        </w:rPr>
      </w:pPr>
    </w:p>
    <w:p>
      <w:pPr>
        <w:jc w:val="both"/>
        <w:ind w:left="4" w:right="420"/>
        <w:spacing w:after="0" w:line="253" w:lineRule="auto"/>
        <w:rPr>
          <w:sz w:val="20"/>
          <w:szCs w:val="20"/>
          <w:color w:val="auto"/>
        </w:rPr>
      </w:pPr>
      <w:r>
        <w:rPr>
          <w:rFonts w:ascii="Arial" w:cs="Arial" w:eastAsia="Arial" w:hAnsi="Arial"/>
          <w:sz w:val="18"/>
          <w:szCs w:val="18"/>
          <w:color w:val="auto"/>
        </w:rPr>
        <w:t>In February 2026, the company announced its plan to repurchase up to $600 million of additional common shares under an amended Normal Course Issuer Bid that was approved by the TSX. In July 2026, the company completed the program, repurchasing a total of 6.2 million common shares for $600 million.</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of October 30, 2026, Thomson Reuters had approximately 433.5 million common shares outstanding.</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Dividends</w:t>
      </w:r>
    </w:p>
    <w:p>
      <w:pPr>
        <w:spacing w:after="0" w:line="104" w:lineRule="exact"/>
        <w:rPr>
          <w:sz w:val="20"/>
          <w:szCs w:val="20"/>
          <w:color w:val="auto"/>
        </w:rPr>
      </w:pPr>
    </w:p>
    <w:p>
      <w:pPr>
        <w:jc w:val="both"/>
        <w:ind w:left="4" w:right="260"/>
        <w:spacing w:after="0" w:line="216" w:lineRule="auto"/>
        <w:rPr>
          <w:sz w:val="20"/>
          <w:szCs w:val="20"/>
          <w:color w:val="auto"/>
        </w:rPr>
      </w:pPr>
      <w:r>
        <w:rPr>
          <w:rFonts w:ascii="Arial" w:cs="Arial" w:eastAsia="Arial" w:hAnsi="Arial"/>
          <w:sz w:val="18"/>
          <w:szCs w:val="18"/>
          <w:color w:val="auto"/>
        </w:rPr>
        <w:t>In February 2026, the company announced a 10% or $0.24 per share annualized increase in the dividend to $2.62 per common share, representing the 33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consecutive year of dividend increases and the fifth consecutive 10% increase. A quarterly dividend of $0.655 per share is payable on December 10, 2026 to common shareholders of record as of November 18, 2026.</w:t>
      </w:r>
    </w:p>
    <w:p>
      <w:pPr>
        <w:spacing w:after="0" w:line="29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Thomson Reuters</w:t>
      </w:r>
    </w:p>
    <w:p>
      <w:pPr>
        <w:spacing w:after="0" w:line="104" w:lineRule="exact"/>
        <w:rPr>
          <w:sz w:val="20"/>
          <w:szCs w:val="20"/>
          <w:color w:val="auto"/>
        </w:rPr>
      </w:pPr>
    </w:p>
    <w:p>
      <w:pPr>
        <w:ind w:left="4" w:right="280"/>
        <w:spacing w:after="0" w:line="242" w:lineRule="auto"/>
        <w:rPr>
          <w:sz w:val="20"/>
          <w:szCs w:val="20"/>
          <w:color w:val="auto"/>
        </w:rPr>
      </w:pPr>
      <w:r>
        <w:rPr>
          <w:rFonts w:ascii="Arial" w:cs="Arial" w:eastAsia="Arial" w:hAnsi="Arial"/>
          <w:sz w:val="18"/>
          <w:szCs w:val="18"/>
          <w:color w:val="auto"/>
        </w:rPr>
        <w:t xml:space="preserve">Thomson Reuters (TSX/Nasdaq: TRI) informs the way forward by bringing together the trusted content and technology that people and organizations need to make the right decisions. The company serves professionals across legal, tax, audit, accounting, 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For more information, visit </w:t>
      </w:r>
      <w:r>
        <w:rPr>
          <w:rFonts w:ascii="Arial" w:cs="Arial" w:eastAsia="Arial" w:hAnsi="Arial"/>
          <w:sz w:val="18"/>
          <w:szCs w:val="18"/>
          <w:u w:val="single" w:color="auto"/>
          <w:color w:val="auto"/>
        </w:rPr>
        <w:t>thomsonreuters.com</w:t>
      </w:r>
      <w:r>
        <w:rPr>
          <w:rFonts w:ascii="Arial" w:cs="Arial" w:eastAsia="Arial" w:hAnsi="Arial"/>
          <w:sz w:val="18"/>
          <w:szCs w:val="18"/>
          <w:color w:val="auto"/>
        </w:rPr>
        <w:t>.</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NON-IFRS FINANCIAL MEASURES</w:t>
      </w:r>
    </w:p>
    <w:p>
      <w:pPr>
        <w:spacing w:after="0" w:line="106" w:lineRule="exact"/>
        <w:rPr>
          <w:sz w:val="20"/>
          <w:szCs w:val="20"/>
          <w:color w:val="auto"/>
        </w:rPr>
      </w:pPr>
    </w:p>
    <w:p>
      <w:pPr>
        <w:ind w:left="4" w:right="220"/>
        <w:spacing w:after="0" w:line="269" w:lineRule="auto"/>
        <w:rPr>
          <w:sz w:val="20"/>
          <w:szCs w:val="20"/>
          <w:color w:val="auto"/>
        </w:rPr>
      </w:pPr>
      <w:r>
        <w:rPr>
          <w:rFonts w:ascii="Arial" w:cs="Arial" w:eastAsia="Arial" w:hAnsi="Arial"/>
          <w:sz w:val="18"/>
          <w:szCs w:val="18"/>
          <w:i w:val="1"/>
          <w:iCs w:val="1"/>
          <w:color w:val="auto"/>
        </w:rPr>
        <w:t>Thomson Reuters prepares its financial statements in accordance with International Financial Reporting Standards (IFRS), as issued by the International Accounting Standards Board (IASB).</w:t>
      </w:r>
    </w:p>
    <w:p>
      <w:pPr>
        <w:sectPr>
          <w:pgSz w:w="11900" w:h="16838" w:orient="portrait"/>
          <w:cols w:equalWidth="0" w:num="1">
            <w:col w:w="11004"/>
          </w:cols>
          <w:pgMar w:left="436" w:top="1106" w:right="459" w:bottom="1440" w:gutter="0" w:footer="0" w:header="0"/>
        </w:sectPr>
      </w:pPr>
    </w:p>
    <w:p>
      <w:pPr>
        <w:spacing w:after="0" w:line="265" w:lineRule="exact"/>
        <w:rPr>
          <w:sz w:val="20"/>
          <w:szCs w:val="20"/>
          <w:color w:val="auto"/>
        </w:rPr>
      </w:pPr>
    </w:p>
    <w:p>
      <w:pPr>
        <w:ind w:left="4" w:right="60"/>
        <w:spacing w:after="0" w:line="252" w:lineRule="auto"/>
        <w:rPr>
          <w:sz w:val="20"/>
          <w:szCs w:val="20"/>
          <w:color w:val="auto"/>
        </w:rPr>
      </w:pPr>
      <w:r>
        <w:rPr>
          <w:rFonts w:ascii="Arial" w:cs="Arial" w:eastAsia="Arial" w:hAnsi="Arial"/>
          <w:sz w:val="18"/>
          <w:szCs w:val="18"/>
          <w:i w:val="1"/>
          <w:iCs w:val="1"/>
          <w:color w:val="auto"/>
        </w:rPr>
        <w:t>This news release includes certain non-IFRS financial measures, which include ratios that incorporate one or more non-IFRS financial measures, such as adjusted EBITDA (other than at the customer segment level) and the related margin, free cash flow, adjusted earnings and the effective tax rate on adjusted earnings, adjusted EPS, accrued capital expenditures expressed as a</w:t>
      </w:r>
    </w:p>
    <w:p>
      <w:pPr>
        <w:sectPr>
          <w:pgSz w:w="11900" w:h="16838" w:orient="portrait"/>
          <w:cols w:equalWidth="0" w:num="1">
            <w:col w:w="11004"/>
          </w:cols>
          <w:pgMar w:left="436" w:top="1106" w:right="4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17295" cy="454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11 of 23</w:t>
      </w:r>
    </w:p>
    <w:p>
      <w:pPr>
        <w:spacing w:after="0" w:line="223"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i w:val="1"/>
          <w:iCs w:val="1"/>
          <w:color w:val="auto"/>
        </w:rPr>
        <w:t>percentage of revenues, net debt and leverage ratio of net debt to adjusted EBITDA, selected measures excluding the impact of foreign currency, changes in revenues computed on an organic basis as well as all financial measures for the “Big 3” segments.</w:t>
      </w:r>
    </w:p>
    <w:p>
      <w:pPr>
        <w:spacing w:after="0" w:line="157"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i w:val="1"/>
          <w:iCs w:val="1"/>
          <w:color w:val="auto"/>
        </w:rPr>
        <w:t>Thomson Reuters uses these non-IFRS financial measures as supplemental indicators of its operating performance and financial position as well as for internal planning purposes and the company’s business outlook. Additionally, Thomson Reuters uses non-IFRS measures as the basis for management incentive programs. These measures do not have any standardized meanings prescribed by IFRS and therefore are unlikely to be comparable to the calculation of similar measures used by other companies and should not be viewed as alternatives to measures of financial performance calculated in accordance with IFRS. Non-IFRS financial measures are defined and reconciled to the most directly comparable IFRS measures in the appended tables.</w:t>
      </w:r>
    </w:p>
    <w:p>
      <w:pPr>
        <w:spacing w:after="0" w:line="29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i w:val="1"/>
          <w:iCs w:val="1"/>
          <w:color w:val="auto"/>
        </w:rPr>
        <w:t>The company’s outlook contains various non-IFRS financial measures. The company believes that providing reconciliations of forward-looking non-IFRS financial measures in its outlook would be potentially misleading and not practical due to the difficulty of projecting items that are not reflective of ongoing operations in any future period. The magnitude of these items may be significant. Consequently, for purposes of its outlook only, the company is unable to reconcile these non-IFRS measures to the most directly comparable IFRS measures because it cannot predict, with reasonable certainty, the impacts of changes in foreign exchange rates which impact (i) the translation of its results reported at average foreign currency rates for the year, and (ii) other finance income or expense related to intercompany financing arrangements. Additionally, the company cannot reasonably predict the occurrence or amount of other operating gains and losses that generally arise from business transactions that the company does not currently anticipate.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10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i w:val="1"/>
          <w:iCs w:val="1"/>
          <w:color w:val="auto"/>
        </w:rPr>
        <w:t>Other than EPS, the company reports its results in millions of U.S. dollars, but computes percentage changes and margins using whole dollars to be more precise. As a result, percentages and margins calculated from reported amounts may differ from those presented, and growth components may not total due to rounding.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TO PRIOR-YEAR RESULTS</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On October 1, 2026, Thomson Reuters completed the sale of a 51% stake in its Global Print business to capital accounts advised by KKR, with the two parties forming a joint venture to operate the Global Print business, now operating as Westbridge Print. In three-month and nine-month periods ended September 30, 2026, the Global Print business was reported as discontinued operations. Prior-year period amounts have been revised to reflect this change. See previous news release, “Thomson Reuters Provides Supplemental Financial Information Following Close of Global Print Transaction” available in the Investor Relations section of </w:t>
      </w:r>
      <w:r>
        <w:rPr>
          <w:rFonts w:ascii="Arial" w:cs="Arial" w:eastAsia="Arial" w:hAnsi="Arial"/>
          <w:sz w:val="18"/>
          <w:szCs w:val="18"/>
          <w:u w:val="single" w:color="auto"/>
          <w:color w:val="auto"/>
        </w:rPr>
        <w:t>thomsonreuters.com</w:t>
      </w:r>
      <w:r>
        <w:rPr>
          <w:rFonts w:ascii="Arial" w:cs="Arial" w:eastAsia="Arial" w:hAnsi="Arial"/>
          <w:sz w:val="18"/>
          <w:szCs w:val="18"/>
          <w:color w:val="auto"/>
        </w:rPr>
        <w:t xml:space="preserve"> and also filed with Canadian securities regulatory authorities and the U.S. Securities and Exchange Commission (SEC).</w:t>
      </w:r>
    </w:p>
    <w:p>
      <w:pPr>
        <w:spacing w:after="0" w:line="17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Additionally, in the first quarter of 2026, the company changed its segment reporting to reflect how it currently manages its segments. The change reflects the transfer of certain customers and their related revenues and expenses among the company’s Legal Professionals, Corporates and Tax, Audit &amp; Accounting Professionals segments. These changes impact the financial results of the company’s segments, but do not change its consolidated financial results. The following summarizes the changes to the applicable segment’s reported amounts.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2025</w:t>
      </w:r>
    </w:p>
    <w:p>
      <w:pPr>
        <w:spacing w:after="0" w:line="117" w:lineRule="exact"/>
        <w:rPr>
          <w:sz w:val="20"/>
          <w:szCs w:val="20"/>
          <w:color w:val="auto"/>
        </w:rPr>
      </w:pPr>
    </w:p>
    <w:p>
      <w:pPr>
        <w:ind w:left="960" w:right="20" w:hanging="532"/>
        <w:spacing w:after="0" w:line="244" w:lineRule="auto"/>
        <w:tabs>
          <w:tab w:leader="none" w:pos="9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Legal Professionals revenues decreased $7 million to $721 million, adjusted EBITDA decreased $1 million to $353 million and adjusted EBITDA margin increased 30 basis points to 49.0%;</w:t>
      </w:r>
    </w:p>
    <w:p>
      <w:pPr>
        <w:spacing w:after="0" w:line="1" w:lineRule="exact"/>
        <w:rPr>
          <w:rFonts w:ascii="Times New Roman" w:cs="Times New Roman" w:eastAsia="Times New Roman" w:hAnsi="Times New Roman"/>
          <w:sz w:val="18"/>
          <w:szCs w:val="18"/>
          <w:color w:val="auto"/>
        </w:rPr>
      </w:pPr>
    </w:p>
    <w:p>
      <w:pPr>
        <w:ind w:left="960" w:hanging="532"/>
        <w:spacing w:after="0" w:line="234" w:lineRule="auto"/>
        <w:tabs>
          <w:tab w:leader="none" w:pos="9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Corporates revenues increased $11 million to $489 million, adjusted EBITDA increased $3 million to $177 million and adjusted EBITDA margin decreased 20 basis points to 36.3%; and</w:t>
      </w:r>
    </w:p>
    <w:p>
      <w:pPr>
        <w:ind w:left="960" w:right="140" w:hanging="532"/>
        <w:spacing w:after="0" w:line="249" w:lineRule="auto"/>
        <w:tabs>
          <w:tab w:leader="none" w:pos="9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Tax, Audit &amp; Accounting Professionals revenues decreased $4 million to $247 million, adjusted EBITDA decreased $2 million to $76 million and adjusted EBITDA margin decreased 60 basis points to 30.6%.</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2025</w:t>
      </w:r>
    </w:p>
    <w:p>
      <w:pPr>
        <w:spacing w:after="0" w:line="117" w:lineRule="exact"/>
        <w:rPr>
          <w:sz w:val="20"/>
          <w:szCs w:val="20"/>
          <w:color w:val="auto"/>
        </w:rPr>
      </w:pPr>
    </w:p>
    <w:p>
      <w:pPr>
        <w:ind w:left="960" w:right="1140" w:hanging="532"/>
        <w:spacing w:after="0" w:line="244" w:lineRule="auto"/>
        <w:tabs>
          <w:tab w:leader="none" w:pos="9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Legal Professionals revenues decreased $17 million to $2,113 million, adjusted EBITDA decreased $1 million to $1,028 million and adjusted EBITDA margin increased 30 basis points to 48.6%;</w:t>
      </w:r>
    </w:p>
    <w:p>
      <w:pPr>
        <w:spacing w:after="0" w:line="1" w:lineRule="exact"/>
        <w:rPr>
          <w:rFonts w:ascii="Times New Roman" w:cs="Times New Roman" w:eastAsia="Times New Roman" w:hAnsi="Times New Roman"/>
          <w:sz w:val="18"/>
          <w:szCs w:val="18"/>
          <w:color w:val="auto"/>
        </w:rPr>
      </w:pPr>
    </w:p>
    <w:p>
      <w:pPr>
        <w:ind w:left="960" w:right="580" w:hanging="532"/>
        <w:spacing w:after="0" w:line="234" w:lineRule="auto"/>
        <w:tabs>
          <w:tab w:leader="none" w:pos="9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Corporates revenues increased $26 million to $1,517 million, adjusted EBITDA increased $8 million to $564 million and adjusted EBITDA margin decreased 10 basis points to 37.2%; and</w:t>
      </w:r>
    </w:p>
    <w:p>
      <w:pPr>
        <w:ind w:left="960" w:right="140" w:hanging="532"/>
        <w:spacing w:after="0" w:line="249" w:lineRule="auto"/>
        <w:tabs>
          <w:tab w:leader="none" w:pos="9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Tax, Audit &amp; Accounting Professionals revenues decreased $9 million to $879 million, adjusted EBITDA decreased $7 million to $394 million and adjusted EBITDA margin decreased 30 basis points to 43.9%.</w:t>
      </w:r>
    </w:p>
    <w:p>
      <w:pPr>
        <w:sectPr>
          <w:pgSz w:w="11900" w:h="16838" w:orient="portrait"/>
          <w:cols w:equalWidth="0" w:num="1">
            <w:col w:w="11000"/>
          </w:cols>
          <w:pgMar w:left="440" w:top="1093"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34440" cy="4629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12 of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 MATERIAL RISKS AND MATERIAL ASSUMPTIONS</w:t>
      </w:r>
    </w:p>
    <w:p>
      <w:pPr>
        <w:spacing w:after="0" w:line="106"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Certain statements in this news release, including, but not limited to, statements in Mr. Hasker’s comments, the “2026 Outlook” section, statements related to the closing of the October 1, 2026 Global Print transaction and the corresponding joint venture royalty arrangement and transition services agreement, the provision of certain financial support to KKR, the expected financial impacts from, and pre-tax gain on, the transaction and statements in respect of the voluntary delisting of the Notes from the Nasdaq are forward looking. The words “will”, “expect”, “believe”, “target”, “estimate”, “could”, “should”, “intend”, “predict”, “project” and similar expressions identify forward-looking statements. While the company believes that it has a reasonable basis for making forward-looking statements in this news release, they are not a guarantee of future performance or outcomes and there is no assurance that any of the other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the company’s control and the effects of them can be difficult to predict.</w:t>
      </w:r>
    </w:p>
    <w:p>
      <w:pPr>
        <w:spacing w:after="0" w:line="188"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i w:val="1"/>
          <w:iCs w:val="1"/>
          <w:color w:val="auto"/>
        </w:rPr>
        <w:t xml:space="preserve">Some of the material risk factors that could cause actual results or events to differ materially from those expressed in or implied by forward-looking statements in this news release include, but are not limited to, those discussed on pages 19-32 in the “Risk Factors” section of the company’s 2025 annual report. These and other risk factors are discussed in materials that Thomson Reuters from time-to-time files with, or furnishes to, the Canadian securities regulatory authorities and the U.S. Securities and Exchange Commission (SEC). Thomson Reuters’ annual and quarterly reports are also available in the “Investor Relations” section of </w:t>
      </w:r>
      <w:r>
        <w:rPr>
          <w:rFonts w:ascii="Arial" w:cs="Arial" w:eastAsia="Arial" w:hAnsi="Arial"/>
          <w:sz w:val="18"/>
          <w:szCs w:val="18"/>
          <w:u w:val="single" w:color="auto"/>
          <w:color w:val="auto"/>
        </w:rPr>
        <w:t>thomsonreuters.com</w:t>
      </w:r>
      <w:r>
        <w:rPr>
          <w:rFonts w:ascii="Arial" w:cs="Arial" w:eastAsia="Arial" w:hAnsi="Arial"/>
          <w:sz w:val="18"/>
          <w:szCs w:val="18"/>
          <w:i w:val="1"/>
          <w:iCs w:val="1"/>
          <w:color w:val="auto"/>
        </w:rPr>
        <w:t>.</w:t>
      </w:r>
    </w:p>
    <w:p>
      <w:pPr>
        <w:spacing w:after="0" w:line="181"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 xml:space="preserve">The company’s 2026 business outlook is based on information currently available to the company and is based on various external and internal assumptions made by the company in light of its experience and perception of historical trends, current conditions and expected future developments, as well as other factors that the company believes are appropriate under the circumstances. Material assumptions and material risks may cause actual performance to differ from the company’s expectations underlying its 2026 business outlook. In particular, the global economy has experienced substantial disruption due to concerns regarding economic effects associated with the macroeconomic backdrop and ongoing geopolitical risks. The company’s 2026 business outlook assumes that uncertain macroeconomic and geopolitical conditions will continue to disrupt the economy and cause periods of volatility, however, these conditions may last substantially longer than expected and any worsening of the global economic or business environment could impact the company’s ability to achieve its outlook and affect its results and other expectations. The company provided a November 2026 outlook and its previously communicated August 2026 outlook for comparative purposes. For a discussion of material assumptions and material risks related to both the November 2026 outlook and August 2026 outlook see pages 18-19 of the company’s second-quarter management’s discussion and analysis (MD&amp;A) for the period ended June 30, 2026. In addition to the material risks and assumptions included in the company’s second-quarter management’s discussion and analysis (MD&amp;A), the November 2026 outlook is subject to an additional material assumption and material risk. The material assumption is that, specific to the November 2026 outlook, the company’s adjusted EBITDA margin outlook anticipates that royalty revenue from the joint venture combined with the transition services reimbursement will offset stranded costs from its former Global Print business. The material risk is that the combined royalty and expense reimbursement will be lower and unable to fully offset stranded costs. The company’s quarterly MD&amp;A and annual report were filed with, or furnished to, the Canadian securities regulatory authorities and the U.S. SEC and are also available in the “Investor Relations” section of </w:t>
      </w:r>
      <w:r>
        <w:rPr>
          <w:rFonts w:ascii="Arial" w:cs="Arial" w:eastAsia="Arial" w:hAnsi="Arial"/>
          <w:sz w:val="17"/>
          <w:szCs w:val="17"/>
          <w:u w:val="single" w:color="auto"/>
          <w:color w:val="auto"/>
        </w:rPr>
        <w:t>thomsonreuters.com</w:t>
      </w:r>
      <w:r>
        <w:rPr>
          <w:rFonts w:ascii="Arial" w:cs="Arial" w:eastAsia="Arial" w:hAnsi="Arial"/>
          <w:sz w:val="17"/>
          <w:szCs w:val="17"/>
          <w:i w:val="1"/>
          <w:iCs w:val="1"/>
          <w:color w:val="auto"/>
        </w:rPr>
        <w:t>.</w:t>
      </w:r>
    </w:p>
    <w:p>
      <w:pPr>
        <w:spacing w:after="0" w:line="28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i w:val="1"/>
          <w:iCs w:val="1"/>
          <w:color w:val="auto"/>
        </w:rPr>
        <w:t>The company has provided an outlook for the purpose of presenting information about current expectations for the period presented. This information may not be appropriate for other purposes. You are cautioned not to place undue reliance on forward-looking statements which reflect expectations only as of the date of this news release.</w:t>
      </w:r>
    </w:p>
    <w:p>
      <w:pPr>
        <w:spacing w:after="0" w:line="280" w:lineRule="exact"/>
        <w:rPr>
          <w:sz w:val="20"/>
          <w:szCs w:val="20"/>
          <w:color w:val="auto"/>
        </w:rPr>
      </w:pPr>
    </w:p>
    <w:p>
      <w:pPr>
        <w:ind w:right="780"/>
        <w:spacing w:after="0" w:line="269" w:lineRule="auto"/>
        <w:rPr>
          <w:sz w:val="20"/>
          <w:szCs w:val="20"/>
          <w:color w:val="auto"/>
        </w:rPr>
      </w:pPr>
      <w:r>
        <w:rPr>
          <w:rFonts w:ascii="Arial" w:cs="Arial" w:eastAsia="Arial" w:hAnsi="Arial"/>
          <w:sz w:val="18"/>
          <w:szCs w:val="18"/>
          <w:i w:val="1"/>
          <w:iCs w:val="1"/>
          <w:color w:val="auto"/>
        </w:rPr>
        <w:t>Except as may be required by applicable law, Thomson Reuters disclaims any obligation to update or revise any forward-looking statements.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420" w:type="dxa"/>
            <w:vAlign w:val="bottom"/>
          </w:tcPr>
          <w:p>
            <w:pPr>
              <w:spacing w:after="0"/>
              <w:rPr>
                <w:sz w:val="21"/>
                <w:szCs w:val="21"/>
                <w:color w:val="auto"/>
              </w:rPr>
            </w:pPr>
          </w:p>
        </w:tc>
        <w:tc>
          <w:tcPr>
            <w:tcW w:w="2740" w:type="dxa"/>
            <w:vAlign w:val="bottom"/>
          </w:tcPr>
          <w:p>
            <w:pPr>
              <w:spacing w:after="0"/>
              <w:rPr>
                <w:sz w:val="21"/>
                <w:szCs w:val="21"/>
                <w:color w:val="auto"/>
              </w:rPr>
            </w:pPr>
          </w:p>
        </w:tc>
      </w:tr>
      <w:tr>
        <w:trPr>
          <w:trHeight w:val="401"/>
        </w:trPr>
        <w:tc>
          <w:tcPr>
            <w:tcW w:w="4320" w:type="dxa"/>
            <w:vAlign w:val="bottom"/>
            <w:gridSpan w:val="2"/>
          </w:tcPr>
          <w:p>
            <w:pPr>
              <w:spacing w:after="0"/>
              <w:rPr>
                <w:sz w:val="20"/>
                <w:szCs w:val="20"/>
                <w:color w:val="auto"/>
              </w:rPr>
            </w:pPr>
            <w:r>
              <w:rPr>
                <w:rFonts w:ascii="Arial" w:cs="Arial" w:eastAsia="Arial" w:hAnsi="Arial"/>
                <w:sz w:val="18"/>
                <w:szCs w:val="18"/>
                <w:color w:val="auto"/>
              </w:rPr>
              <w:t>MEDIA</w:t>
            </w:r>
          </w:p>
        </w:tc>
        <w:tc>
          <w:tcPr>
            <w:tcW w:w="4160" w:type="dxa"/>
            <w:vAlign w:val="bottom"/>
            <w:gridSpan w:val="2"/>
          </w:tcPr>
          <w:p>
            <w:pPr>
              <w:ind w:left="1420"/>
              <w:spacing w:after="0"/>
              <w:rPr>
                <w:sz w:val="20"/>
                <w:szCs w:val="20"/>
                <w:color w:val="auto"/>
              </w:rPr>
            </w:pPr>
            <w:r>
              <w:rPr>
                <w:rFonts w:ascii="Arial" w:cs="Arial" w:eastAsia="Arial" w:hAnsi="Arial"/>
                <w:sz w:val="18"/>
                <w:szCs w:val="18"/>
                <w:color w:val="auto"/>
              </w:rPr>
              <w:t>INVESTORS</w:t>
            </w: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Zoe Zanettos</w:t>
            </w:r>
          </w:p>
        </w:tc>
        <w:tc>
          <w:tcPr>
            <w:tcW w:w="4160" w:type="dxa"/>
            <w:vAlign w:val="bottom"/>
            <w:gridSpan w:val="2"/>
          </w:tcPr>
          <w:p>
            <w:pPr>
              <w:ind w:left="1420"/>
              <w:spacing w:after="0" w:line="202" w:lineRule="exact"/>
              <w:rPr>
                <w:sz w:val="20"/>
                <w:szCs w:val="20"/>
                <w:color w:val="auto"/>
              </w:rPr>
            </w:pPr>
            <w:r>
              <w:rPr>
                <w:rFonts w:ascii="Arial" w:cs="Arial" w:eastAsia="Arial" w:hAnsi="Arial"/>
                <w:sz w:val="18"/>
                <w:szCs w:val="18"/>
                <w:color w:val="auto"/>
              </w:rPr>
              <w:t>Gary Bisbee, CFA</w:t>
            </w: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Director, Corporate Communications</w:t>
            </w:r>
          </w:p>
        </w:tc>
        <w:tc>
          <w:tcPr>
            <w:tcW w:w="4160" w:type="dxa"/>
            <w:vAlign w:val="bottom"/>
            <w:gridSpan w:val="2"/>
          </w:tcPr>
          <w:p>
            <w:pPr>
              <w:ind w:left="1420"/>
              <w:spacing w:after="0" w:line="202" w:lineRule="exact"/>
              <w:rPr>
                <w:sz w:val="20"/>
                <w:szCs w:val="20"/>
                <w:color w:val="auto"/>
              </w:rPr>
            </w:pPr>
            <w:r>
              <w:rPr>
                <w:rFonts w:ascii="Arial" w:cs="Arial" w:eastAsia="Arial" w:hAnsi="Arial"/>
                <w:sz w:val="18"/>
                <w:szCs w:val="18"/>
                <w:color w:val="auto"/>
              </w:rPr>
              <w:t>Head of Investor Relations</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+1 647 202 8948</w:t>
            </w:r>
          </w:p>
        </w:tc>
        <w:tc>
          <w:tcPr>
            <w:tcW w:w="1480" w:type="dxa"/>
            <w:vAlign w:val="bottom"/>
          </w:tcPr>
          <w:p>
            <w:pPr>
              <w:spacing w:after="0"/>
              <w:rPr>
                <w:sz w:val="17"/>
                <w:szCs w:val="17"/>
                <w:color w:val="auto"/>
              </w:rPr>
            </w:pPr>
          </w:p>
        </w:tc>
        <w:tc>
          <w:tcPr>
            <w:tcW w:w="4160" w:type="dxa"/>
            <w:vAlign w:val="bottom"/>
            <w:gridSpan w:val="2"/>
          </w:tcPr>
          <w:p>
            <w:pPr>
              <w:ind w:left="1420"/>
              <w:spacing w:after="0" w:line="202" w:lineRule="exact"/>
              <w:rPr>
                <w:sz w:val="20"/>
                <w:szCs w:val="20"/>
                <w:color w:val="auto"/>
              </w:rPr>
            </w:pPr>
            <w:r>
              <w:rPr>
                <w:rFonts w:ascii="Arial" w:cs="Arial" w:eastAsia="Arial" w:hAnsi="Arial"/>
                <w:sz w:val="18"/>
                <w:szCs w:val="18"/>
                <w:color w:val="auto"/>
              </w:rPr>
              <w:t>+1 646 540 3249</w:t>
            </w:r>
          </w:p>
        </w:tc>
      </w:tr>
      <w:tr>
        <w:trPr>
          <w:trHeight w:val="194"/>
        </w:trPr>
        <w:tc>
          <w:tcPr>
            <w:tcW w:w="2840" w:type="dxa"/>
            <w:vAlign w:val="bottom"/>
          </w:tcPr>
          <w:p>
            <w:pPr>
              <w:spacing w:after="0" w:line="195" w:lineRule="exact"/>
              <w:rPr>
                <w:sz w:val="20"/>
                <w:szCs w:val="20"/>
                <w:color w:val="auto"/>
              </w:rPr>
            </w:pPr>
            <w:r>
              <w:rPr>
                <w:rFonts w:ascii="Arial" w:cs="Arial" w:eastAsia="Arial" w:hAnsi="Arial"/>
                <w:sz w:val="18"/>
                <w:szCs w:val="18"/>
                <w:color w:val="auto"/>
                <w:w w:val="99"/>
              </w:rPr>
              <w:t>zoe.zanettos@thomsonreuters.com</w:t>
            </w:r>
          </w:p>
        </w:tc>
        <w:tc>
          <w:tcPr>
            <w:tcW w:w="1480" w:type="dxa"/>
            <w:vAlign w:val="bottom"/>
          </w:tcPr>
          <w:p>
            <w:pPr>
              <w:spacing w:after="0"/>
              <w:rPr>
                <w:sz w:val="16"/>
                <w:szCs w:val="16"/>
                <w:color w:val="auto"/>
              </w:rPr>
            </w:pPr>
          </w:p>
        </w:tc>
        <w:tc>
          <w:tcPr>
            <w:tcW w:w="4160" w:type="dxa"/>
            <w:vAlign w:val="bottom"/>
            <w:gridSpan w:val="2"/>
          </w:tcPr>
          <w:p>
            <w:pPr>
              <w:ind w:left="1420"/>
              <w:spacing w:after="0" w:line="195" w:lineRule="exact"/>
              <w:rPr>
                <w:sz w:val="20"/>
                <w:szCs w:val="20"/>
                <w:color w:val="auto"/>
              </w:rPr>
            </w:pPr>
            <w:r>
              <w:rPr>
                <w:rFonts w:ascii="Arial" w:cs="Arial" w:eastAsia="Arial" w:hAnsi="Arial"/>
                <w:sz w:val="18"/>
                <w:szCs w:val="18"/>
                <w:color w:val="auto"/>
                <w:w w:val="98"/>
              </w:rPr>
              <w:t>gary.bisbee@thomsonreuters.com</w:t>
            </w:r>
          </w:p>
        </w:tc>
      </w:tr>
      <w:tr>
        <w:trPr>
          <w:trHeight w:val="20"/>
        </w:trPr>
        <w:tc>
          <w:tcPr>
            <w:tcW w:w="28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bl>
    <w:p>
      <w:pPr>
        <w:spacing w:after="0" w:line="33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b w:val="1"/>
          <w:bCs w:val="1"/>
          <w:color w:val="auto"/>
        </w:rPr>
        <w:t xml:space="preserve">Thomson Reuters will webcast a discussion of its third-quarter 2026 results and its 2026 business outlook today beginning at 8:30 a.m. Eastern Standard Time (EST). You can access the webcast by visiting </w:t>
      </w:r>
      <w:r>
        <w:rPr>
          <w:rFonts w:ascii="Arial" w:cs="Arial" w:eastAsia="Arial" w:hAnsi="Arial"/>
          <w:sz w:val="18"/>
          <w:szCs w:val="18"/>
          <w:b w:val="1"/>
          <w:bCs w:val="1"/>
          <w:u w:val="single" w:color="auto"/>
          <w:color w:val="auto"/>
        </w:rPr>
        <w:t>ir.thomsonreuters.com</w:t>
      </w:r>
      <w:r>
        <w:rPr>
          <w:rFonts w:ascii="Arial" w:cs="Arial" w:eastAsia="Arial" w:hAnsi="Arial"/>
          <w:sz w:val="18"/>
          <w:szCs w:val="18"/>
          <w:b w:val="1"/>
          <w:bCs w:val="1"/>
          <w:color w:val="auto"/>
        </w:rPr>
        <w:t>. An archive of the webcast will be available following the presentation.</w:t>
      </w:r>
    </w:p>
    <w:p>
      <w:pPr>
        <w:sectPr>
          <w:pgSz w:w="11900" w:h="16838" w:orient="portrait"/>
          <w:cols w:equalWidth="0" w:num="1">
            <w:col w:w="10960"/>
          </w:cols>
          <w:pgMar w:left="440" w:top="1106" w:right="4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17295" cy="4546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13 of 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(millions of U.S. dollars,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42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2026</w:t>
            </w:r>
          </w:p>
        </w:tc>
        <w:tc>
          <w:tcPr>
            <w:tcW w:w="3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2026</w:t>
            </w:r>
          </w:p>
        </w:tc>
        <w:tc>
          <w:tcPr>
            <w:tcW w:w="6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2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CONTINUING OPERATIONS</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1,833</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1,658</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5,651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(1,181)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(1,070)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(3,509)</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(75)</w:t>
            </w: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software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operating (losses) gains, net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costs, net: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360"/>
              <w:spacing w:after="0" w:line="202" w:lineRule="exact"/>
              <w:rPr>
                <w:sz w:val="20"/>
                <w:szCs w:val="20"/>
                <w:color w:val="auto"/>
              </w:rPr>
            </w:pPr>
            <w:r>
              <w:rPr>
                <w:rFonts w:ascii="Arial" w:cs="Arial" w:eastAsia="Arial" w:hAnsi="Arial"/>
                <w:sz w:val="18"/>
                <w:szCs w:val="18"/>
                <w:color w:val="auto"/>
              </w:rPr>
              <w:t>Net interest expense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(137)</w:t>
            </w: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finance income (costs)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Income before tax and equity method investments</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2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Share of post-tax losses in equity method</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Tax expense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(235)</w:t>
            </w: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Earnings from continuing operations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289</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364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1,102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Earnings from discontinued operations, net of tax</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144</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339</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423</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1,246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Earnings attributable to common shareholders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339</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423</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1,246</w:t>
            </w:r>
          </w:p>
        </w:tc>
        <w:tc>
          <w:tcPr>
            <w:tcW w:w="6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Earnings per share: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Basic and diluted earnings per share: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From continuing operations</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0.66</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0.81</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3"/>
        </w:trPr>
        <w:tc>
          <w:tcPr>
            <w:tcW w:w="4280" w:type="dxa"/>
            <w:vAlign w:val="bottom"/>
          </w:tcPr>
          <w:p>
            <w:pPr>
              <w:ind w:left="360"/>
              <w:spacing w:after="0" w:line="202" w:lineRule="exact"/>
              <w:rPr>
                <w:sz w:val="20"/>
                <w:szCs w:val="20"/>
                <w:color w:val="auto"/>
              </w:rPr>
            </w:pPr>
            <w:r>
              <w:rPr>
                <w:rFonts w:ascii="Arial" w:cs="Arial" w:eastAsia="Arial" w:hAnsi="Arial"/>
                <w:sz w:val="18"/>
                <w:szCs w:val="18"/>
                <w:color w:val="auto"/>
              </w:rPr>
              <w:t>From discontinued operations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0.12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0.13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0.33</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and diluted earnings per share</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0.78</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0.94</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Basic weighted-average common shares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433,709,654</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449,783,419</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438,884,848</w:t>
            </w:r>
          </w:p>
        </w:tc>
        <w:tc>
          <w:tcPr>
            <w:tcW w:w="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450,244,795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weighted-average common shares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w w:val="99"/>
              </w:rPr>
              <w:t>434,017,155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w w:val="97"/>
              </w:rPr>
              <w:t>450,283,728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w w:val="97"/>
              </w:rPr>
              <w:t>439,135,684</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9"/>
              </w:rPr>
              <w:t>450,796,588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093"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17295" cy="4546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14 of 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2026</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1,394</w:t>
            </w:r>
          </w:p>
        </w:tc>
        <w:tc>
          <w:tcPr>
            <w:tcW w:w="280" w:type="dxa"/>
            <w:vAlign w:val="bottom"/>
          </w:tcPr>
          <w:p>
            <w:pPr>
              <w:spacing w:after="0"/>
              <w:rPr>
                <w:sz w:val="17"/>
                <w:szCs w:val="17"/>
                <w:color w:val="auto"/>
              </w:rPr>
            </w:pPr>
          </w:p>
        </w:tc>
        <w:tc>
          <w:tcPr>
            <w:tcW w:w="4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and other receivables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1,154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Other financial assets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421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0"/>
        </w:trPr>
        <w:tc>
          <w:tcPr>
            <w:tcW w:w="8440" w:type="dxa"/>
            <w:vAlign w:val="bottom"/>
          </w:tcPr>
          <w:p>
            <w:pPr>
              <w:ind w:left="360"/>
              <w:spacing w:after="0"/>
              <w:rPr>
                <w:sz w:val="20"/>
                <w:szCs w:val="20"/>
                <w:color w:val="auto"/>
              </w:rPr>
            </w:pPr>
            <w:r>
              <w:rPr>
                <w:rFonts w:ascii="Arial" w:cs="Arial" w:eastAsia="Arial" w:hAnsi="Arial"/>
                <w:sz w:val="18"/>
                <w:szCs w:val="18"/>
                <w:color w:val="auto"/>
              </w:rPr>
              <w:t>Current assets excluding assets held for sale</w:t>
            </w: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held for sale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Software, net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1,664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identifiable intangible assets, net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3,034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7,857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method investments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Other financial assets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480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713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9"/>
        </w:trPr>
        <w:tc>
          <w:tcPr>
            <w:tcW w:w="8440" w:type="dxa"/>
            <w:vAlign w:val="bottom"/>
          </w:tcPr>
          <w:p>
            <w:pPr>
              <w:spacing w:after="0" w:line="202" w:lineRule="exact"/>
              <w:rPr>
                <w:sz w:val="20"/>
                <w:szCs w:val="20"/>
                <w:color w:val="auto"/>
              </w:rPr>
            </w:pPr>
            <w:r>
              <w:rPr>
                <w:rFonts w:ascii="Arial" w:cs="Arial" w:eastAsia="Arial" w:hAnsi="Arial"/>
                <w:sz w:val="18"/>
                <w:szCs w:val="18"/>
                <w:color w:val="auto"/>
              </w:rPr>
              <w:t>Deferred tax</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18,908</w:t>
            </w:r>
          </w:p>
        </w:tc>
        <w:tc>
          <w:tcPr>
            <w:tcW w:w="2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17,940</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Current indebtedness</w:t>
            </w:r>
          </w:p>
        </w:tc>
        <w:tc>
          <w:tcPr>
            <w:tcW w:w="20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565</w:t>
            </w:r>
          </w:p>
        </w:tc>
        <w:tc>
          <w:tcPr>
            <w:tcW w:w="280" w:type="dxa"/>
            <w:vAlign w:val="bottom"/>
          </w:tcPr>
          <w:p>
            <w:pPr>
              <w:spacing w:after="0"/>
              <w:rPr>
                <w:sz w:val="17"/>
                <w:szCs w:val="17"/>
                <w:color w:val="auto"/>
              </w:rPr>
            </w:pPr>
          </w:p>
        </w:tc>
        <w:tc>
          <w:tcPr>
            <w:tcW w:w="4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Payables, accruals and provisions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1,071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Current tax liabilities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1,191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0"/>
        </w:trPr>
        <w:tc>
          <w:tcPr>
            <w:tcW w:w="8440" w:type="dxa"/>
            <w:vAlign w:val="bottom"/>
          </w:tcPr>
          <w:p>
            <w:pPr>
              <w:spacing w:after="0" w:line="202" w:lineRule="exact"/>
              <w:rPr>
                <w:sz w:val="20"/>
                <w:szCs w:val="20"/>
                <w:color w:val="auto"/>
              </w:rPr>
            </w:pPr>
            <w:r>
              <w:rPr>
                <w:rFonts w:ascii="Arial" w:cs="Arial" w:eastAsia="Arial" w:hAnsi="Arial"/>
                <w:sz w:val="18"/>
                <w:szCs w:val="18"/>
                <w:color w:val="auto"/>
              </w:rPr>
              <w:t>Other financial liabilities</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Current liabilities excluding liabilities associated with assets held for sale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3,155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10"/>
        </w:trPr>
        <w:tc>
          <w:tcPr>
            <w:tcW w:w="8440" w:type="dxa"/>
            <w:vAlign w:val="bottom"/>
          </w:tcPr>
          <w:p>
            <w:pPr>
              <w:spacing w:after="0" w:line="202" w:lineRule="exact"/>
              <w:rPr>
                <w:sz w:val="20"/>
                <w:szCs w:val="20"/>
                <w:color w:val="auto"/>
              </w:rPr>
            </w:pPr>
            <w:r>
              <w:rPr>
                <w:rFonts w:ascii="Arial" w:cs="Arial" w:eastAsia="Arial" w:hAnsi="Arial"/>
                <w:sz w:val="18"/>
                <w:szCs w:val="18"/>
                <w:color w:val="auto"/>
              </w:rPr>
              <w:t>Liabilities associated with assets held for sale</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3,189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Long-term indebtedness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3,247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02"/>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Provisions and other non-current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Other financial liabilities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7"/>
        </w:trPr>
        <w:tc>
          <w:tcPr>
            <w:tcW w:w="84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Capital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3,095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9,095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9,220</w:t>
            </w:r>
          </w:p>
        </w:tc>
        <w:tc>
          <w:tcPr>
            <w:tcW w:w="0" w:type="dxa"/>
            <w:vAlign w:val="bottom"/>
          </w:tcPr>
          <w:p>
            <w:pPr>
              <w:spacing w:after="0"/>
              <w:rPr>
                <w:sz w:val="1"/>
                <w:szCs w:val="1"/>
                <w:color w:val="auto"/>
              </w:rPr>
            </w:pPr>
          </w:p>
        </w:tc>
      </w:tr>
      <w:tr>
        <w:trPr>
          <w:trHeight w:val="210"/>
        </w:trPr>
        <w:tc>
          <w:tcPr>
            <w:tcW w:w="844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(966)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2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11,224</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18,908</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093"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17295" cy="454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15 of 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17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6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74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2026</w:t>
            </w: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1"/>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rPr>
              <w:t>2026</w:t>
            </w:r>
          </w:p>
        </w:tc>
        <w:tc>
          <w:tcPr>
            <w:tcW w:w="2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4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provided by (used in):</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activities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364</w:t>
            </w:r>
          </w:p>
        </w:tc>
        <w:tc>
          <w:tcPr>
            <w:tcW w:w="9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$1,102</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Adjustments for:</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w:t>
            </w:r>
          </w:p>
        </w:tc>
        <w:tc>
          <w:tcPr>
            <w:tcW w:w="9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software</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202</w:t>
            </w:r>
          </w:p>
        </w:tc>
        <w:tc>
          <w:tcPr>
            <w:tcW w:w="10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181</w:t>
            </w:r>
          </w:p>
        </w:tc>
        <w:tc>
          <w:tcPr>
            <w:tcW w:w="9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596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w:t>
            </w:r>
          </w:p>
        </w:tc>
        <w:tc>
          <w:tcPr>
            <w:tcW w:w="9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Share of post-tax losses in equity method investments</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w:t>
            </w:r>
          </w:p>
        </w:tc>
        <w:tc>
          <w:tcPr>
            <w:tcW w:w="9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gains on disposals of businesses and investments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Deferred tax</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32</w:t>
            </w:r>
          </w:p>
        </w:tc>
        <w:tc>
          <w:tcPr>
            <w:tcW w:w="9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52</w:t>
            </w:r>
          </w:p>
        </w:tc>
        <w:tc>
          <w:tcPr>
            <w:tcW w:w="9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Changes in working capital and other items</w:t>
            </w:r>
          </w:p>
        </w:tc>
        <w:tc>
          <w:tcPr>
            <w:tcW w:w="140" w:type="dxa"/>
            <w:vAlign w:val="bottom"/>
          </w:tcPr>
          <w:p>
            <w:pPr>
              <w:spacing w:after="0"/>
              <w:rPr>
                <w:sz w:val="17"/>
                <w:szCs w:val="17"/>
                <w:color w:val="auto"/>
              </w:rPr>
            </w:pP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(72)</w:t>
            </w:r>
          </w:p>
        </w:tc>
        <w:tc>
          <w:tcPr>
            <w:tcW w:w="10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105</w:t>
            </w:r>
          </w:p>
        </w:tc>
        <w:tc>
          <w:tcPr>
            <w:tcW w:w="9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cash flows from continuing operations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635</w:t>
            </w:r>
          </w:p>
        </w:tc>
        <w:tc>
          <w:tcPr>
            <w:tcW w:w="9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Operating cash flows from discontinued operations</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52</w:t>
            </w:r>
          </w:p>
        </w:tc>
        <w:tc>
          <w:tcPr>
            <w:tcW w:w="10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69</w:t>
            </w:r>
          </w:p>
        </w:tc>
        <w:tc>
          <w:tcPr>
            <w:tcW w:w="9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704</w:t>
            </w:r>
          </w:p>
        </w:tc>
        <w:tc>
          <w:tcPr>
            <w:tcW w:w="9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09"/>
        </w:trPr>
        <w:tc>
          <w:tcPr>
            <w:tcW w:w="74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Acquisitions, net of cash acquired</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(193)</w:t>
            </w:r>
          </w:p>
        </w:tc>
        <w:tc>
          <w:tcPr>
            <w:tcW w:w="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Proceeds related to disposals of businesses and investments</w:t>
            </w:r>
          </w:p>
        </w:tc>
        <w:tc>
          <w:tcPr>
            <w:tcW w:w="140" w:type="dxa"/>
            <w:vAlign w:val="bottom"/>
          </w:tcPr>
          <w:p>
            <w:pPr>
              <w:spacing w:after="0"/>
              <w:rPr>
                <w:sz w:val="17"/>
                <w:szCs w:val="17"/>
                <w:color w:val="auto"/>
              </w:rPr>
            </w:pPr>
          </w:p>
        </w:tc>
        <w:tc>
          <w:tcPr>
            <w:tcW w:w="8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— </w:t>
            </w:r>
          </w:p>
        </w:tc>
        <w:tc>
          <w:tcPr>
            <w:tcW w:w="10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247</w:t>
            </w:r>
          </w:p>
        </w:tc>
        <w:tc>
          <w:tcPr>
            <w:tcW w:w="9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(161)</w:t>
            </w:r>
          </w:p>
        </w:tc>
        <w:tc>
          <w:tcPr>
            <w:tcW w:w="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Other investing activities</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— </w:t>
            </w:r>
          </w:p>
        </w:tc>
        <w:tc>
          <w:tcPr>
            <w:tcW w:w="9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Taxes (paid) received on disposals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w:t>
            </w:r>
          </w:p>
        </w:tc>
        <w:tc>
          <w:tcPr>
            <w:tcW w:w="9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color w:val="auto"/>
              </w:rPr>
              <w:t>Investing cash flows from continuing operations</w:t>
            </w: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cash flows from discontinued operations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Proceeds from debt</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— </w:t>
            </w:r>
          </w:p>
        </w:tc>
        <w:tc>
          <w:tcPr>
            <w:tcW w:w="9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Repayments of debt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w:t>
            </w:r>
          </w:p>
        </w:tc>
        <w:tc>
          <w:tcPr>
            <w:tcW w:w="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Net (repayments) borrowings under short-term loan facilities</w:t>
            </w:r>
          </w:p>
        </w:tc>
        <w:tc>
          <w:tcPr>
            <w:tcW w:w="140" w:type="dxa"/>
            <w:vAlign w:val="bottom"/>
          </w:tcPr>
          <w:p>
            <w:pPr>
              <w:spacing w:after="0"/>
              <w:rPr>
                <w:sz w:val="17"/>
                <w:szCs w:val="17"/>
                <w:color w:val="auto"/>
              </w:rPr>
            </w:pP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(1,068)</w:t>
            </w:r>
          </w:p>
        </w:tc>
        <w:tc>
          <w:tcPr>
            <w:tcW w:w="10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339</w:t>
            </w:r>
          </w:p>
        </w:tc>
        <w:tc>
          <w:tcPr>
            <w:tcW w:w="9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of lease principal</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w:t>
            </w:r>
          </w:p>
        </w:tc>
        <w:tc>
          <w:tcPr>
            <w:tcW w:w="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Payments for return of capital on common shares</w:t>
            </w:r>
          </w:p>
        </w:tc>
        <w:tc>
          <w:tcPr>
            <w:tcW w:w="140" w:type="dxa"/>
            <w:vAlign w:val="bottom"/>
          </w:tcPr>
          <w:p>
            <w:pPr>
              <w:spacing w:after="0"/>
              <w:rPr>
                <w:sz w:val="17"/>
                <w:szCs w:val="17"/>
                <w:color w:val="auto"/>
              </w:rPr>
            </w:pPr>
          </w:p>
        </w:tc>
        <w:tc>
          <w:tcPr>
            <w:tcW w:w="8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— </w:t>
            </w: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— </w:t>
            </w:r>
          </w:p>
        </w:tc>
        <w:tc>
          <w:tcPr>
            <w:tcW w:w="9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Repurchases of common shares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(670)</w:t>
            </w:r>
          </w:p>
        </w:tc>
        <w:tc>
          <w:tcPr>
            <w:tcW w:w="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Dividends paid on preference shares</w:t>
            </w:r>
          </w:p>
        </w:tc>
        <w:tc>
          <w:tcPr>
            <w:tcW w:w="140" w:type="dxa"/>
            <w:vAlign w:val="bottom"/>
          </w:tcPr>
          <w:p>
            <w:pPr>
              <w:spacing w:after="0"/>
              <w:rPr>
                <w:sz w:val="17"/>
                <w:szCs w:val="17"/>
                <w:color w:val="auto"/>
              </w:rPr>
            </w:pP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9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paid on common shares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(260)</w:t>
            </w:r>
          </w:p>
        </w:tc>
        <w:tc>
          <w:tcPr>
            <w:tcW w:w="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Other financing activities</w:t>
            </w:r>
          </w:p>
        </w:tc>
        <w:tc>
          <w:tcPr>
            <w:tcW w:w="140" w:type="dxa"/>
            <w:vAlign w:val="bottom"/>
          </w:tcPr>
          <w:p>
            <w:pPr>
              <w:spacing w:after="0"/>
              <w:rPr>
                <w:sz w:val="17"/>
                <w:szCs w:val="17"/>
                <w:color w:val="auto"/>
              </w:rPr>
            </w:pP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— </w:t>
            </w:r>
          </w:p>
        </w:tc>
        <w:tc>
          <w:tcPr>
            <w:tcW w:w="9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Financing cash flows from continuing operations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(606)</w:t>
            </w:r>
          </w:p>
        </w:tc>
        <w:tc>
          <w:tcPr>
            <w:tcW w:w="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(2,169)</w:t>
            </w:r>
          </w:p>
        </w:tc>
        <w:tc>
          <w:tcPr>
            <w:tcW w:w="0" w:type="dxa"/>
            <w:vAlign w:val="bottom"/>
          </w:tcPr>
          <w:p>
            <w:pPr>
              <w:spacing w:after="0"/>
              <w:rPr>
                <w:sz w:val="1"/>
                <w:szCs w:val="1"/>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Financing cash flows from discontinued operations</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9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(607)</w:t>
            </w:r>
          </w:p>
        </w:tc>
        <w:tc>
          <w:tcPr>
            <w:tcW w:w="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(2,170)</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Translation adjustments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— </w:t>
            </w:r>
          </w:p>
        </w:tc>
        <w:tc>
          <w:tcPr>
            <w:tcW w:w="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(decrease) in cash and cash equivalents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w:t>
            </w:r>
          </w:p>
        </w:tc>
        <w:tc>
          <w:tcPr>
            <w:tcW w:w="9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(1,350)</w:t>
            </w:r>
          </w:p>
        </w:tc>
        <w:tc>
          <w:tcPr>
            <w:tcW w:w="0" w:type="dxa"/>
            <w:vAlign w:val="bottom"/>
          </w:tcPr>
          <w:p>
            <w:pPr>
              <w:spacing w:after="0"/>
              <w:rPr>
                <w:sz w:val="1"/>
                <w:szCs w:val="1"/>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577</w:t>
            </w:r>
          </w:p>
        </w:tc>
        <w:tc>
          <w:tcPr>
            <w:tcW w:w="10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664</w:t>
            </w:r>
          </w:p>
        </w:tc>
        <w:tc>
          <w:tcPr>
            <w:tcW w:w="9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511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618</w:t>
            </w:r>
          </w:p>
        </w:tc>
        <w:tc>
          <w:tcPr>
            <w:tcW w:w="9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1,394</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093"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17295" cy="454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16 of 23</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Reconciliation of Earnings from Continuing Operations to Adjusted EBITDA</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0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13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Year ended</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20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52"/>
              <w:spacing w:after="0" w:line="143" w:lineRule="exact"/>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3"/>
              <w:spacing w:after="0" w:line="143"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2"/>
                <w:szCs w:val="12"/>
                <w:color w:val="auto"/>
              </w:rPr>
            </w:pPr>
          </w:p>
        </w:tc>
      </w:tr>
      <w:tr>
        <w:trPr>
          <w:trHeight w:val="175"/>
        </w:trPr>
        <w:tc>
          <w:tcPr>
            <w:tcW w:w="4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2026</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15"/>
                <w:szCs w:val="15"/>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rPr>
              <w:t>2026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5"/>
                <w:szCs w:val="15"/>
                <w:color w:val="auto"/>
              </w:rPr>
            </w:pPr>
          </w:p>
        </w:tc>
        <w:tc>
          <w:tcPr>
            <w:tcW w:w="1060" w:type="dxa"/>
            <w:vAlign w:val="bottom"/>
            <w:gridSpan w:val="2"/>
          </w:tcPr>
          <w:p>
            <w:pPr>
              <w:jc w:val="center"/>
              <w:ind w:right="340"/>
              <w:spacing w:after="0" w:line="175" w:lineRule="exact"/>
              <w:rPr>
                <w:sz w:val="20"/>
                <w:szCs w:val="20"/>
                <w:color w:val="auto"/>
              </w:rPr>
            </w:pPr>
            <w:r>
              <w:rPr>
                <w:rFonts w:ascii="Arial" w:cs="Arial" w:eastAsia="Arial" w:hAnsi="Arial"/>
                <w:sz w:val="14"/>
                <w:szCs w:val="14"/>
                <w:b w:val="1"/>
                <w:bCs w:val="1"/>
                <w:color w:val="auto"/>
                <w:w w:val="97"/>
              </w:rPr>
              <w:t>Revised</w:t>
            </w:r>
            <w:r>
              <w:rPr>
                <w:rFonts w:ascii="Arial" w:cs="Arial" w:eastAsia="Arial" w:hAnsi="Arial"/>
                <w:sz w:val="20"/>
                <w:szCs w:val="20"/>
                <w:b w:val="1"/>
                <w:bCs w:val="1"/>
                <w:color w:val="auto"/>
                <w:w w:val="97"/>
                <w:vertAlign w:val="superscript"/>
              </w:rPr>
              <w:t>(2)</w:t>
            </w: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from continuing operations</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289</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364</w:t>
            </w: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$1,102</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963</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1,483</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1,225</w:t>
            </w: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b w:val="1"/>
                <w:bCs w:val="1"/>
                <w:color w:val="auto"/>
              </w:rPr>
              <w:t>Adjustments to remove: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Tax expense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109</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372</w:t>
            </w:r>
          </w:p>
        </w:tc>
      </w:tr>
      <w:tr>
        <w:trPr>
          <w:trHeight w:val="203"/>
        </w:trPr>
        <w:tc>
          <w:tcPr>
            <w:tcW w:w="4100" w:type="dxa"/>
            <w:vAlign w:val="bottom"/>
          </w:tcPr>
          <w:p>
            <w:pPr>
              <w:ind w:left="360"/>
              <w:spacing w:after="0" w:line="202" w:lineRule="exact"/>
              <w:rPr>
                <w:sz w:val="20"/>
                <w:szCs w:val="20"/>
                <w:color w:val="auto"/>
              </w:rPr>
            </w:pPr>
            <w:r>
              <w:rPr>
                <w:rFonts w:ascii="Arial" w:cs="Arial" w:eastAsia="Arial" w:hAnsi="Arial"/>
                <w:sz w:val="18"/>
                <w:szCs w:val="18"/>
                <w:color w:val="auto"/>
              </w:rPr>
              <w:t>Other finance (income) costs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w:t>
            </w:r>
          </w:p>
        </w:tc>
        <w:tc>
          <w:tcPr>
            <w:tcW w:w="10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12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55</w:t>
            </w:r>
          </w:p>
        </w:tc>
        <w:tc>
          <w:tcPr>
            <w:tcW w:w="1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w:t>
            </w:r>
          </w:p>
        </w:tc>
      </w:tr>
      <w:tr>
        <w:trPr>
          <w:trHeight w:val="203"/>
        </w:trPr>
        <w:tc>
          <w:tcPr>
            <w:tcW w:w="4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interest expense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38</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143</w:t>
            </w:r>
          </w:p>
        </w:tc>
      </w:tr>
      <w:tr>
        <w:trPr>
          <w:trHeight w:val="184"/>
        </w:trPr>
        <w:tc>
          <w:tcPr>
            <w:tcW w:w="4100" w:type="dxa"/>
            <w:vAlign w:val="bottom"/>
          </w:tcPr>
          <w:p>
            <w:pPr>
              <w:ind w:left="360"/>
              <w:spacing w:after="0" w:line="183" w:lineRule="exact"/>
              <w:rPr>
                <w:sz w:val="20"/>
                <w:szCs w:val="20"/>
                <w:color w:val="auto"/>
              </w:rPr>
            </w:pPr>
            <w:r>
              <w:rPr>
                <w:rFonts w:ascii="Arial" w:cs="Arial" w:eastAsia="Arial" w:hAnsi="Arial"/>
                <w:sz w:val="18"/>
                <w:szCs w:val="18"/>
                <w:color w:val="auto"/>
              </w:rPr>
              <w:t>Amortization of other identifiable intangible</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21"/>
        </w:trPr>
        <w:tc>
          <w:tcPr>
            <w:tcW w:w="4100" w:type="dxa"/>
            <w:vAlign w:val="bottom"/>
          </w:tcPr>
          <w:p>
            <w:pPr>
              <w:ind w:left="540"/>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24</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r>
      <w:tr>
        <w:trPr>
          <w:trHeight w:val="203"/>
        </w:trPr>
        <w:tc>
          <w:tcPr>
            <w:tcW w:w="4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software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181</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720</w:t>
            </w:r>
          </w:p>
        </w:tc>
      </w:tr>
      <w:tr>
        <w:trPr>
          <w:trHeight w:val="203"/>
        </w:trPr>
        <w:tc>
          <w:tcPr>
            <w:tcW w:w="4100" w:type="dxa"/>
            <w:vAlign w:val="bottom"/>
          </w:tcPr>
          <w:p>
            <w:pPr>
              <w:ind w:left="360"/>
              <w:spacing w:after="0" w:line="202" w:lineRule="exact"/>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26</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75</w:t>
            </w:r>
          </w:p>
        </w:tc>
        <w:tc>
          <w:tcPr>
            <w:tcW w:w="10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77</w:t>
            </w:r>
          </w:p>
        </w:tc>
        <w:tc>
          <w:tcPr>
            <w:tcW w:w="120" w:type="dxa"/>
            <w:vAlign w:val="bottom"/>
          </w:tcPr>
          <w:p>
            <w:pPr>
              <w:spacing w:after="0"/>
              <w:rPr>
                <w:sz w:val="17"/>
                <w:szCs w:val="17"/>
                <w:color w:val="auto"/>
              </w:rPr>
            </w:pPr>
          </w:p>
        </w:tc>
        <w:tc>
          <w:tcPr>
            <w:tcW w:w="12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111</w:t>
            </w:r>
          </w:p>
        </w:tc>
        <w:tc>
          <w:tcPr>
            <w:tcW w:w="1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103</w:t>
            </w:r>
          </w:p>
        </w:tc>
      </w:tr>
      <w:tr>
        <w:trPr>
          <w:trHeight w:val="27"/>
        </w:trPr>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EBITDA</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735</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$2,198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2,030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3,034</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2,716</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b w:val="1"/>
                <w:bCs w:val="1"/>
                <w:color w:val="auto"/>
              </w:rPr>
              <w:t>Adjustments to remove: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84"/>
        </w:trPr>
        <w:tc>
          <w:tcPr>
            <w:tcW w:w="410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Share of post-tax losses in equity method</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21"/>
        </w:trPr>
        <w:tc>
          <w:tcPr>
            <w:tcW w:w="4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investments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r>
      <w:tr>
        <w:trPr>
          <w:trHeight w:val="203"/>
        </w:trPr>
        <w:tc>
          <w:tcPr>
            <w:tcW w:w="4100" w:type="dxa"/>
            <w:vAlign w:val="bottom"/>
          </w:tcPr>
          <w:p>
            <w:pPr>
              <w:ind w:left="360"/>
              <w:spacing w:after="0" w:line="202" w:lineRule="exact"/>
              <w:rPr>
                <w:sz w:val="20"/>
                <w:szCs w:val="20"/>
                <w:color w:val="auto"/>
              </w:rPr>
            </w:pPr>
            <w:r>
              <w:rPr>
                <w:rFonts w:ascii="Arial" w:cs="Arial" w:eastAsia="Arial" w:hAnsi="Arial"/>
                <w:sz w:val="18"/>
                <w:szCs w:val="18"/>
                <w:color w:val="auto"/>
              </w:rPr>
              <w:t>Other operating losses (gains), net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(160)</w:t>
            </w:r>
          </w:p>
        </w:tc>
        <w:tc>
          <w:tcPr>
            <w:tcW w:w="10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(72)</w:t>
            </w:r>
          </w:p>
        </w:tc>
        <w:tc>
          <w:tcPr>
            <w:tcW w:w="100" w:type="dxa"/>
            <w:vAlign w:val="bottom"/>
          </w:tcPr>
          <w:p>
            <w:pPr>
              <w:spacing w:after="0"/>
              <w:rPr>
                <w:sz w:val="17"/>
                <w:szCs w:val="17"/>
                <w:color w:val="auto"/>
              </w:rPr>
            </w:pP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(162)</w:t>
            </w:r>
          </w:p>
        </w:tc>
        <w:tc>
          <w:tcPr>
            <w:tcW w:w="120" w:type="dxa"/>
            <w:vAlign w:val="bottom"/>
          </w:tcPr>
          <w:p>
            <w:pPr>
              <w:spacing w:after="0"/>
              <w:rPr>
                <w:sz w:val="17"/>
                <w:szCs w:val="17"/>
                <w:color w:val="auto"/>
              </w:rPr>
            </w:pPr>
          </w:p>
        </w:tc>
        <w:tc>
          <w:tcPr>
            <w:tcW w:w="12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(164)</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(165)</w:t>
            </w:r>
          </w:p>
        </w:tc>
      </w:tr>
      <w:tr>
        <w:trPr>
          <w:trHeight w:val="203"/>
        </w:trPr>
        <w:tc>
          <w:tcPr>
            <w:tcW w:w="4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Fair value adjustments*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w:t>
            </w:r>
          </w:p>
        </w:tc>
      </w:tr>
      <w:tr>
        <w:trPr>
          <w:trHeight w:val="216"/>
        </w:trPr>
        <w:tc>
          <w:tcPr>
            <w:tcW w:w="4100" w:type="dxa"/>
            <w:vAlign w:val="bottom"/>
          </w:tcPr>
          <w:p>
            <w:pPr>
              <w:spacing w:after="0" w:line="210"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4"/>
                <w:szCs w:val="24"/>
                <w:b w:val="1"/>
                <w:bCs w:val="1"/>
                <w:color w:val="auto"/>
                <w:vertAlign w:val="superscript"/>
              </w:rPr>
              <w:t>(1)</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w:t>
            </w:r>
          </w:p>
        </w:tc>
        <w:tc>
          <w:tcPr>
            <w:tcW w:w="4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2,140</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1,930</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2,936</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2,617</w:t>
            </w:r>
          </w:p>
        </w:tc>
        <w:tc>
          <w:tcPr>
            <w:tcW w:w="220" w:type="dxa"/>
            <w:vAlign w:val="bottom"/>
          </w:tcPr>
          <w:p>
            <w:pPr>
              <w:spacing w:after="0"/>
              <w:rPr>
                <w:sz w:val="18"/>
                <w:szCs w:val="18"/>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 EBITDA margin</w:t>
            </w:r>
            <w:r>
              <w:rPr>
                <w:rFonts w:ascii="Arial" w:cs="Arial" w:eastAsia="Arial" w:hAnsi="Arial"/>
                <w:sz w:val="23"/>
                <w:szCs w:val="23"/>
                <w:b w:val="1"/>
                <w:bCs w:val="1"/>
                <w:color w:val="auto"/>
                <w:vertAlign w:val="superscript"/>
              </w:rPr>
              <w:t>(1)</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35.5%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35.8%</w:t>
            </w: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37.9%</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37.6%</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39.2%</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37.4%</w:t>
            </w:r>
          </w:p>
        </w:tc>
      </w:tr>
      <w:tr>
        <w:trPr>
          <w:trHeight w:val="20"/>
        </w:trPr>
        <w:tc>
          <w:tcPr>
            <w:tcW w:w="4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9" w:lineRule="exact"/>
        <w:rPr>
          <w:sz w:val="20"/>
          <w:szCs w:val="20"/>
          <w:color w:val="auto"/>
        </w:rPr>
      </w:pPr>
    </w:p>
    <w:p>
      <w:pPr>
        <w:ind w:left="424" w:right="340" w:hanging="424"/>
        <w:spacing w:after="0" w:line="282" w:lineRule="auto"/>
        <w:tabs>
          <w:tab w:leader="none" w:pos="424"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Fair value adjustments primarily represent gains or losses due to changes in foreign currency exchange rates on intercompany balances that arise in the ordinary course of business, which are a component of operating expenses, as well as adjustments related to acquired deferred revenue.</w:t>
      </w:r>
    </w:p>
    <w:p>
      <w:pPr>
        <w:spacing w:after="0" w:line="1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Reconciliation of Net Cash Provided By Operating Activities to Free Cash Flow</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7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54"/>
              <w:spacing w:after="0" w:line="143" w:lineRule="exact"/>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4"/>
              <w:spacing w:after="0" w:line="143"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2"/>
                <w:szCs w:val="12"/>
                <w:color w:val="auto"/>
              </w:rPr>
            </w:pPr>
          </w:p>
        </w:tc>
      </w:tr>
      <w:tr>
        <w:trPr>
          <w:trHeight w:val="175"/>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2026</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5"/>
                <w:szCs w:val="15"/>
                <w:color w:val="auto"/>
              </w:rPr>
            </w:pPr>
          </w:p>
        </w:tc>
        <w:tc>
          <w:tcPr>
            <w:tcW w:w="68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5"/>
                <w:szCs w:val="15"/>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40"/>
              <w:spacing w:after="0" w:line="175" w:lineRule="exact"/>
              <w:rPr>
                <w:sz w:val="20"/>
                <w:szCs w:val="20"/>
                <w:color w:val="auto"/>
              </w:rPr>
            </w:pPr>
            <w:r>
              <w:rPr>
                <w:rFonts w:ascii="Arial" w:cs="Arial" w:eastAsia="Arial" w:hAnsi="Arial"/>
                <w:sz w:val="14"/>
                <w:szCs w:val="14"/>
                <w:b w:val="1"/>
                <w:bCs w:val="1"/>
                <w:color w:val="auto"/>
                <w:w w:val="97"/>
              </w:rPr>
              <w:t>Revised</w:t>
            </w:r>
            <w:r>
              <w:rPr>
                <w:rFonts w:ascii="Arial" w:cs="Arial" w:eastAsia="Arial" w:hAnsi="Arial"/>
                <w:sz w:val="20"/>
                <w:szCs w:val="20"/>
                <w:b w:val="1"/>
                <w:bCs w:val="1"/>
                <w:color w:val="auto"/>
                <w:w w:val="97"/>
                <w:vertAlign w:val="superscript"/>
              </w:rPr>
              <w:t>(2)</w:t>
            </w: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599</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704</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$2,024</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$ 1,895</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2,651</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2,651</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(176)</w:t>
            </w:r>
          </w:p>
        </w:tc>
        <w:tc>
          <w:tcPr>
            <w:tcW w:w="12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(161)</w:t>
            </w:r>
          </w:p>
        </w:tc>
        <w:tc>
          <w:tcPr>
            <w:tcW w:w="8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(508)</w:t>
            </w:r>
          </w:p>
        </w:tc>
        <w:tc>
          <w:tcPr>
            <w:tcW w:w="10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(475)</w:t>
            </w:r>
          </w:p>
        </w:tc>
        <w:tc>
          <w:tcPr>
            <w:tcW w:w="14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(632)</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investing activities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w:t>
            </w:r>
          </w:p>
        </w:tc>
        <w:tc>
          <w:tcPr>
            <w:tcW w:w="8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0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Payments of lease principal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w:t>
            </w:r>
          </w:p>
        </w:tc>
        <w:tc>
          <w:tcPr>
            <w:tcW w:w="8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(45)</w:t>
            </w:r>
          </w:p>
        </w:tc>
        <w:tc>
          <w:tcPr>
            <w:tcW w:w="10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(47)</w:t>
            </w:r>
          </w:p>
        </w:tc>
        <w:tc>
          <w:tcPr>
            <w:tcW w:w="14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w:t>
            </w:r>
          </w:p>
        </w:tc>
      </w:tr>
      <w:tr>
        <w:trPr>
          <w:trHeight w:val="184"/>
        </w:trPr>
        <w:tc>
          <w:tcPr>
            <w:tcW w:w="48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Capital expenditures and payments of lease principal from</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Dividends paid on preference shares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10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Free cash flow</w:t>
            </w:r>
            <w:r>
              <w:rPr>
                <w:rFonts w:ascii="Arial" w:cs="Arial" w:eastAsia="Arial" w:hAnsi="Arial"/>
                <w:sz w:val="23"/>
                <w:szCs w:val="23"/>
                <w:b w:val="1"/>
                <w:bCs w:val="1"/>
                <w:color w:val="auto"/>
                <w:vertAlign w:val="superscript"/>
              </w:rPr>
              <w:t>(1)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408</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526</w:t>
            </w:r>
          </w:p>
        </w:tc>
        <w:tc>
          <w:tcPr>
            <w:tcW w:w="8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1,467</w:t>
            </w:r>
          </w:p>
        </w:tc>
        <w:tc>
          <w:tcPr>
            <w:tcW w:w="10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$ 1,369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1,950</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1,950</w:t>
            </w: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7" w:lineRule="exact"/>
        <w:rPr>
          <w:sz w:val="20"/>
          <w:szCs w:val="20"/>
          <w:color w:val="auto"/>
        </w:rPr>
      </w:pPr>
    </w:p>
    <w:p>
      <w:pPr>
        <w:ind w:left="424" w:right="660" w:hanging="424"/>
        <w:spacing w:after="0" w:line="285" w:lineRule="auto"/>
        <w:tabs>
          <w:tab w:leader="none" w:pos="424" w:val="left"/>
        </w:tabs>
        <w:numPr>
          <w:ilvl w:val="0"/>
          <w:numId w:val="24"/>
        </w:numPr>
        <w:rPr>
          <w:rFonts w:ascii="Arial" w:cs="Arial" w:eastAsia="Arial" w:hAnsi="Arial"/>
          <w:sz w:val="14"/>
          <w:szCs w:val="14"/>
          <w:i w:val="1"/>
          <w:iCs w:val="1"/>
          <w:color w:val="auto"/>
        </w:rPr>
      </w:pPr>
      <w:r>
        <w:rPr>
          <w:rFonts w:ascii="Arial" w:cs="Arial" w:eastAsia="Arial" w:hAnsi="Arial"/>
          <w:sz w:val="14"/>
          <w:szCs w:val="14"/>
          <w:color w:val="auto"/>
        </w:rPr>
        <w:t>Includes operating cash flows from discontinued operations of $52 million, $69 million, $169 million, $198 million and $274 million in the three months ended September 30, 2026 and 2025, nine months ended September 30, 2026 and 2025 and the year ended December 31, 2025 - Revised, respectively.</w:t>
      </w:r>
    </w:p>
    <w:p>
      <w:pPr>
        <w:spacing w:after="0" w:line="36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Reconciliation of Capital Expenditures to Accrued Capital Expenditures</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rPr>
              <w:t>Year ended</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56"/>
              <w:spacing w:after="0" w:line="143" w:lineRule="exact"/>
              <w:rPr>
                <w:sz w:val="20"/>
                <w:szCs w:val="20"/>
                <w:color w:val="auto"/>
              </w:rPr>
            </w:pPr>
            <w:r>
              <w:rPr>
                <w:rFonts w:ascii="Arial" w:cs="Arial" w:eastAsia="Arial" w:hAnsi="Arial"/>
                <w:sz w:val="14"/>
                <w:szCs w:val="14"/>
                <w:b w:val="1"/>
                <w:bCs w:val="1"/>
                <w:color w:val="auto"/>
              </w:rPr>
              <w:t>2025</w:t>
            </w:r>
          </w:p>
        </w:tc>
        <w:tc>
          <w:tcPr>
            <w:tcW w:w="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7"/>
              <w:spacing w:after="0" w:line="143"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5"/>
                <w:szCs w:val="15"/>
                <w:color w:val="auto"/>
              </w:rPr>
            </w:pPr>
          </w:p>
        </w:tc>
        <w:tc>
          <w:tcPr>
            <w:tcW w:w="1060" w:type="dxa"/>
            <w:vAlign w:val="bottom"/>
            <w:gridSpan w:val="2"/>
          </w:tcPr>
          <w:p>
            <w:pPr>
              <w:jc w:val="center"/>
              <w:ind w:right="340"/>
              <w:spacing w:after="0" w:line="175" w:lineRule="exact"/>
              <w:rPr>
                <w:sz w:val="20"/>
                <w:szCs w:val="20"/>
                <w:color w:val="auto"/>
              </w:rPr>
            </w:pPr>
            <w:r>
              <w:rPr>
                <w:rFonts w:ascii="Arial" w:cs="Arial" w:eastAsia="Arial" w:hAnsi="Arial"/>
                <w:sz w:val="14"/>
                <w:szCs w:val="14"/>
                <w:b w:val="1"/>
                <w:bCs w:val="1"/>
                <w:color w:val="auto"/>
                <w:w w:val="97"/>
              </w:rPr>
              <w:t>Revised</w:t>
            </w:r>
            <w:r>
              <w:rPr>
                <w:rFonts w:ascii="Arial" w:cs="Arial" w:eastAsia="Arial" w:hAnsi="Arial"/>
                <w:sz w:val="20"/>
                <w:szCs w:val="20"/>
                <w:b w:val="1"/>
                <w:bCs w:val="1"/>
                <w:color w:val="auto"/>
                <w:w w:val="97"/>
                <w:vertAlign w:val="superscript"/>
              </w:rPr>
              <w:t>(2)</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 expenditures</w:t>
            </w:r>
          </w:p>
        </w:tc>
        <w:tc>
          <w:tcPr>
            <w:tcW w:w="1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634</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632</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Remove: IFRS adjustment to cash basis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Accrued capital expenditures</w:t>
            </w:r>
            <w:r>
              <w:rPr>
                <w:rFonts w:ascii="Arial" w:cs="Arial" w:eastAsia="Arial" w:hAnsi="Arial"/>
                <w:sz w:val="23"/>
                <w:szCs w:val="23"/>
                <w:b w:val="1"/>
                <w:bCs w:val="1"/>
                <w:color w:val="auto"/>
                <w:vertAlign w:val="superscript"/>
              </w:rPr>
              <w:t>(1)</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76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b w:val="1"/>
                <w:bCs w:val="1"/>
                <w:color w:val="auto"/>
              </w:rPr>
              <w:t>616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614</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line="230" w:lineRule="exact"/>
              <w:rPr>
                <w:sz w:val="20"/>
                <w:szCs w:val="20"/>
                <w:color w:val="auto"/>
              </w:rPr>
            </w:pPr>
            <w:r>
              <w:rPr>
                <w:rFonts w:ascii="Arial" w:cs="Arial" w:eastAsia="Arial" w:hAnsi="Arial"/>
                <w:sz w:val="18"/>
                <w:szCs w:val="18"/>
                <w:b w:val="1"/>
                <w:bCs w:val="1"/>
                <w:color w:val="auto"/>
              </w:rPr>
              <w:t>Accrued capital expenditures as a percentage of revenues</w:t>
            </w:r>
            <w:r>
              <w:rPr>
                <w:rFonts w:ascii="Arial" w:cs="Arial" w:eastAsia="Arial" w:hAnsi="Arial"/>
                <w:sz w:val="26"/>
                <w:szCs w:val="26"/>
                <w:b w:val="1"/>
                <w:bCs w:val="1"/>
                <w:color w:val="auto"/>
                <w:vertAlign w:val="superscript"/>
              </w:rPr>
              <w:t>(1)</w:t>
            </w: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1">
            <w:col w:w="11024"/>
          </w:cols>
          <w:pgMar w:left="436" w:top="1093" w:right="439" w:bottom="1145" w:gutter="0" w:footer="0" w:header="0"/>
        </w:sectPr>
      </w:pPr>
    </w:p>
    <w:p>
      <w:pPr>
        <w:ind w:left="424" w:hanging="424"/>
        <w:spacing w:after="0"/>
        <w:tabs>
          <w:tab w:leader="none" w:pos="424"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Refer to page 23 for additional information on non-IFRS financial measures.</w:t>
      </w:r>
    </w:p>
    <w:p>
      <w:pPr>
        <w:spacing w:after="0" w:line="15" w:lineRule="exact"/>
        <w:rPr>
          <w:rFonts w:ascii="Arial" w:cs="Arial" w:eastAsia="Arial" w:hAnsi="Arial"/>
          <w:sz w:val="14"/>
          <w:szCs w:val="14"/>
          <w:color w:val="auto"/>
        </w:rPr>
      </w:pPr>
    </w:p>
    <w:p>
      <w:pPr>
        <w:ind w:left="424" w:hanging="424"/>
        <w:spacing w:after="0"/>
        <w:tabs>
          <w:tab w:leader="none" w:pos="424"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Revised to reflect the Global Print business as discontinued operations.</w:t>
      </w:r>
    </w:p>
    <w:p>
      <w:pPr>
        <w:sectPr>
          <w:pgSz w:w="11900" w:h="16838" w:orient="portrait"/>
          <w:cols w:equalWidth="0" w:num="1">
            <w:col w:w="11024"/>
          </w:cols>
          <w:pgMar w:left="436" w:top="1093" w:right="439" w:bottom="1145" w:gutter="0" w:footer="0" w:header="0"/>
          <w:type w:val="continuous"/>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17295" cy="4546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17 of 23</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0" w:lineRule="auto"/>
        <w:rPr>
          <w:sz w:val="20"/>
          <w:szCs w:val="20"/>
          <w:color w:val="auto"/>
        </w:rPr>
      </w:pPr>
      <w:r>
        <w:rPr>
          <w:rFonts w:ascii="Arial" w:cs="Arial" w:eastAsia="Arial" w:hAnsi="Arial"/>
          <w:sz w:val="17"/>
          <w:szCs w:val="17"/>
          <w:b w:val="1"/>
          <w:bCs w:val="1"/>
          <w:color w:val="auto"/>
        </w:rPr>
        <w:t>Reconciliation of Net Earnings to Adjusted Earnings</w:t>
      </w:r>
      <w:r>
        <w:rPr>
          <w:rFonts w:ascii="Arial" w:cs="Arial" w:eastAsia="Arial" w:hAnsi="Arial"/>
          <w:sz w:val="25"/>
          <w:szCs w:val="25"/>
          <w:b w:val="1"/>
          <w:bCs w:val="1"/>
          <w:color w:val="auto"/>
          <w:vertAlign w:val="superscript"/>
        </w:rPr>
        <w:t>(1)</w:t>
      </w:r>
    </w:p>
    <w:p>
      <w:pPr>
        <w:jc w:val="center"/>
        <w:ind w:right="-3"/>
        <w:spacing w:after="0" w:line="181" w:lineRule="auto"/>
        <w:rPr>
          <w:sz w:val="20"/>
          <w:szCs w:val="20"/>
          <w:color w:val="auto"/>
        </w:rPr>
      </w:pPr>
      <w:r>
        <w:rPr>
          <w:rFonts w:ascii="Arial" w:cs="Arial" w:eastAsia="Arial" w:hAnsi="Arial"/>
          <w:sz w:val="17"/>
          <w:szCs w:val="17"/>
          <w:b w:val="1"/>
          <w:bCs w:val="1"/>
          <w:color w:val="auto"/>
        </w:rPr>
        <w:t>Reconciliation of Total Change in Adjusted EPS to Change in Constant Currency</w:t>
      </w:r>
      <w:r>
        <w:rPr>
          <w:rFonts w:ascii="Arial" w:cs="Arial" w:eastAsia="Arial" w:hAnsi="Arial"/>
          <w:sz w:val="24"/>
          <w:szCs w:val="24"/>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 except for share and per share data)</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8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gridSpan w:val="3"/>
          </w:tcPr>
          <w:p>
            <w:pPr>
              <w:jc w:val="center"/>
              <w:spacing w:after="0" w:line="143"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2026</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2026</w:t>
            </w:r>
          </w:p>
        </w:tc>
        <w:tc>
          <w:tcPr>
            <w:tcW w:w="280" w:type="dxa"/>
            <w:vAlign w:val="bottom"/>
          </w:tcPr>
          <w:p>
            <w:pPr>
              <w:spacing w:after="0"/>
              <w:rPr>
                <w:sz w:val="15"/>
                <w:szCs w:val="15"/>
                <w:color w:val="auto"/>
              </w:rPr>
            </w:pPr>
          </w:p>
        </w:tc>
        <w:tc>
          <w:tcPr>
            <w:tcW w:w="68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Reported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center"/>
              <w:ind w:right="240"/>
              <w:spacing w:after="0" w:line="175" w:lineRule="exact"/>
              <w:rPr>
                <w:sz w:val="20"/>
                <w:szCs w:val="20"/>
                <w:color w:val="auto"/>
              </w:rPr>
            </w:pPr>
            <w:r>
              <w:rPr>
                <w:rFonts w:ascii="Arial" w:cs="Arial" w:eastAsia="Arial" w:hAnsi="Arial"/>
                <w:sz w:val="14"/>
                <w:szCs w:val="14"/>
                <w:b w:val="1"/>
                <w:bCs w:val="1"/>
                <w:color w:val="auto"/>
                <w:w w:val="97"/>
              </w:rPr>
              <w:t>Revised</w:t>
            </w:r>
            <w:r>
              <w:rPr>
                <w:rFonts w:ascii="Arial" w:cs="Arial" w:eastAsia="Arial" w:hAnsi="Arial"/>
                <w:sz w:val="20"/>
                <w:szCs w:val="20"/>
                <w:b w:val="1"/>
                <w:bCs w:val="1"/>
                <w:color w:val="auto"/>
                <w:w w:val="97"/>
                <w:vertAlign w:val="superscript"/>
              </w:rPr>
              <w:t>(2)</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earnings</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339</w:t>
            </w: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423</w:t>
            </w:r>
          </w:p>
        </w:tc>
        <w:tc>
          <w:tcPr>
            <w:tcW w:w="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$1,246</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$1,170</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2"/>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1,502</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1,502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b w:val="1"/>
                <w:bCs w:val="1"/>
                <w:color w:val="auto"/>
              </w:rPr>
              <w:t>Adjustments to remove:</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Fair value adjustments*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7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504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acquired software</w:t>
            </w:r>
          </w:p>
        </w:tc>
        <w:tc>
          <w:tcPr>
            <w:tcW w:w="120" w:type="dxa"/>
            <w:vAlign w:val="bottom"/>
          </w:tcPr>
          <w:p>
            <w:pPr>
              <w:spacing w:after="0"/>
              <w:rPr>
                <w:sz w:val="17"/>
                <w:szCs w:val="17"/>
                <w:color w:val="auto"/>
              </w:rPr>
            </w:pP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52</w:t>
            </w: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174</w:t>
            </w:r>
          </w:p>
        </w:tc>
        <w:tc>
          <w:tcPr>
            <w:tcW w:w="7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153</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24</w:t>
            </w: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72</w:t>
            </w:r>
          </w:p>
        </w:tc>
        <w:tc>
          <w:tcPr>
            <w:tcW w:w="7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5040" w:type="dxa"/>
            <w:vAlign w:val="bottom"/>
          </w:tcPr>
          <w:p>
            <w:pPr>
              <w:ind w:left="360"/>
              <w:spacing w:after="0" w:line="202" w:lineRule="exact"/>
              <w:rPr>
                <w:sz w:val="20"/>
                <w:szCs w:val="20"/>
                <w:color w:val="auto"/>
              </w:rPr>
            </w:pPr>
            <w:r>
              <w:rPr>
                <w:rFonts w:ascii="Arial" w:cs="Arial" w:eastAsia="Arial" w:hAnsi="Arial"/>
                <w:sz w:val="18"/>
                <w:szCs w:val="18"/>
                <w:color w:val="auto"/>
              </w:rPr>
              <w:t>Other operating losses (gains), net</w:t>
            </w:r>
          </w:p>
        </w:tc>
        <w:tc>
          <w:tcPr>
            <w:tcW w:w="120" w:type="dxa"/>
            <w:vAlign w:val="bottom"/>
          </w:tcPr>
          <w:p>
            <w:pPr>
              <w:spacing w:after="0"/>
              <w:rPr>
                <w:sz w:val="17"/>
                <w:szCs w:val="17"/>
                <w:color w:val="auto"/>
              </w:rPr>
            </w:pP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(160)</w:t>
            </w: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(72)</w:t>
            </w:r>
          </w:p>
        </w:tc>
        <w:tc>
          <w:tcPr>
            <w:tcW w:w="76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(162)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finance (income) costs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w:t>
            </w:r>
          </w:p>
        </w:tc>
        <w:tc>
          <w:tcPr>
            <w:tcW w:w="7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4"/>
        </w:trPr>
        <w:tc>
          <w:tcPr>
            <w:tcW w:w="5040" w:type="dxa"/>
            <w:vAlign w:val="bottom"/>
          </w:tcPr>
          <w:p>
            <w:pPr>
              <w:ind w:left="360"/>
              <w:spacing w:after="0" w:line="183" w:lineRule="exact"/>
              <w:rPr>
                <w:sz w:val="20"/>
                <w:szCs w:val="20"/>
                <w:color w:val="auto"/>
              </w:rPr>
            </w:pPr>
            <w:r>
              <w:rPr>
                <w:rFonts w:ascii="Arial" w:cs="Arial" w:eastAsia="Arial" w:hAnsi="Arial"/>
                <w:sz w:val="18"/>
                <w:szCs w:val="18"/>
                <w:color w:val="auto"/>
              </w:rPr>
              <w:t>Share of post-tax losses in equity method</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040" w:type="dxa"/>
            <w:vAlign w:val="bottom"/>
          </w:tcPr>
          <w:p>
            <w:pPr>
              <w:ind w:left="54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Tax on above items</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w:t>
            </w:r>
          </w:p>
        </w:tc>
        <w:tc>
          <w:tcPr>
            <w:tcW w:w="7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5040" w:type="dxa"/>
            <w:vAlign w:val="bottom"/>
          </w:tcPr>
          <w:p>
            <w:pPr>
              <w:ind w:left="360"/>
              <w:spacing w:after="0" w:line="202" w:lineRule="exact"/>
              <w:rPr>
                <w:sz w:val="20"/>
                <w:szCs w:val="20"/>
                <w:color w:val="auto"/>
              </w:rPr>
            </w:pPr>
            <w:r>
              <w:rPr>
                <w:rFonts w:ascii="Arial" w:cs="Arial" w:eastAsia="Arial" w:hAnsi="Arial"/>
                <w:sz w:val="16"/>
                <w:szCs w:val="16"/>
                <w:color w:val="auto"/>
              </w:rPr>
              <w:t>Tax items impacting comparability</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8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76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Earnings from discontinued operations, net of tax</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(59)</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(144)</w:t>
            </w:r>
          </w:p>
        </w:tc>
        <w:tc>
          <w:tcPr>
            <w:tcW w:w="7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6"/>
                <w:szCs w:val="16"/>
                <w:color w:val="auto"/>
              </w:rPr>
              <w:t>Interim period effective tax rate normalization</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8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w:t>
            </w:r>
          </w:p>
        </w:tc>
        <w:tc>
          <w:tcPr>
            <w:tcW w:w="76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 on preference shares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7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5040" w:type="dxa"/>
            <w:vAlign w:val="bottom"/>
          </w:tcPr>
          <w:p>
            <w:pPr>
              <w:spacing w:after="0" w:line="210" w:lineRule="exact"/>
              <w:rPr>
                <w:sz w:val="20"/>
                <w:szCs w:val="20"/>
                <w:color w:val="auto"/>
              </w:rPr>
            </w:pPr>
            <w:r>
              <w:rPr>
                <w:rFonts w:ascii="Arial" w:cs="Arial" w:eastAsia="Arial" w:hAnsi="Arial"/>
                <w:sz w:val="17"/>
                <w:szCs w:val="17"/>
                <w:b w:val="1"/>
                <w:bCs w:val="1"/>
                <w:color w:val="auto"/>
              </w:rPr>
              <w:t>Adjusted earnings</w:t>
            </w:r>
            <w:r>
              <w:rPr>
                <w:rFonts w:ascii="Arial" w:cs="Arial" w:eastAsia="Arial" w:hAnsi="Arial"/>
                <w:sz w:val="24"/>
                <w:szCs w:val="24"/>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w:t>
            </w:r>
          </w:p>
        </w:tc>
        <w:tc>
          <w:tcPr>
            <w:tcW w:w="3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1,220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1,096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shd w:val="clear" w:color="auto" w:fill="CCEEFF"/>
          </w:tcPr>
          <w:p>
            <w:pPr>
              <w:spacing w:after="0" w:line="197" w:lineRule="exact"/>
              <w:rPr>
                <w:sz w:val="20"/>
                <w:szCs w:val="20"/>
                <w:color w:val="auto"/>
              </w:rPr>
            </w:pPr>
            <w:r>
              <w:rPr>
                <w:rFonts w:ascii="Arial" w:cs="Arial" w:eastAsia="Arial" w:hAnsi="Arial"/>
                <w:sz w:val="16"/>
                <w:szCs w:val="16"/>
                <w:b w:val="1"/>
                <w:bCs w:val="1"/>
                <w:color w:val="auto"/>
              </w:rPr>
              <w:t>Adjusted EPS</w:t>
            </w:r>
            <w:r>
              <w:rPr>
                <w:rFonts w:ascii="Arial" w:cs="Arial" w:eastAsia="Arial" w:hAnsi="Arial"/>
                <w:sz w:val="22"/>
                <w:szCs w:val="22"/>
                <w:b w:val="1"/>
                <w:bCs w:val="1"/>
                <w:color w:val="auto"/>
                <w:vertAlign w:val="superscript"/>
              </w:rPr>
              <w:t>(1)</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0.81</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b w:val="1"/>
                <w:bCs w:val="1"/>
                <w:color w:val="auto"/>
              </w:rPr>
              <w:t>0.71</w:t>
            </w:r>
          </w:p>
        </w:tc>
        <w:tc>
          <w:tcPr>
            <w:tcW w:w="8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b w:val="1"/>
                <w:bCs w:val="1"/>
                <w:color w:val="auto"/>
              </w:rPr>
              <w:t>$ 2.78</w:t>
            </w:r>
          </w:p>
        </w:tc>
        <w:tc>
          <w:tcPr>
            <w:tcW w:w="760" w:type="dxa"/>
            <w:vAlign w:val="bottom"/>
            <w:gridSpan w:val="4"/>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$ 2.43</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Total change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Constant currency</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weighted-average common shares (millions)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434.0</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7"/>
              </w:rPr>
              <w:t>450.3</w:t>
            </w: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439.1</w:t>
            </w:r>
          </w:p>
        </w:tc>
        <w:tc>
          <w:tcPr>
            <w:tcW w:w="7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450.8</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96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9"/>
              </w:rPr>
              <w:t>Reconciliation of Full-Year Effective Tax Rate on Adjusted Earnings</w:t>
            </w:r>
            <w:r>
              <w:rPr>
                <w:rFonts w:ascii="Arial" w:cs="Arial" w:eastAsia="Arial" w:hAnsi="Arial"/>
                <w:sz w:val="26"/>
                <w:szCs w:val="26"/>
                <w:b w:val="1"/>
                <w:bCs w:val="1"/>
                <w:color w:val="auto"/>
                <w:w w:val="99"/>
                <w:vertAlign w:val="superscript"/>
              </w:rPr>
              <w:t>(1)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96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222"/>
              <w:spacing w:after="0" w:line="143" w:lineRule="exact"/>
              <w:rPr>
                <w:sz w:val="20"/>
                <w:szCs w:val="20"/>
                <w:color w:val="auto"/>
              </w:rPr>
            </w:pPr>
            <w:r>
              <w:rPr>
                <w:rFonts w:ascii="Arial" w:cs="Arial" w:eastAsia="Arial" w:hAnsi="Arial"/>
                <w:sz w:val="14"/>
                <w:szCs w:val="14"/>
                <w:b w:val="1"/>
                <w:bCs w:val="1"/>
                <w:color w:val="auto"/>
                <w:w w:val="96"/>
              </w:rPr>
              <w:t>2025</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2"/>
              <w:spacing w:after="0" w:line="143"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Reported</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4"/>
          </w:tcPr>
          <w:p>
            <w:pPr>
              <w:jc w:val="right"/>
              <w:ind w:right="360"/>
              <w:spacing w:after="0" w:line="175" w:lineRule="exact"/>
              <w:rPr>
                <w:sz w:val="20"/>
                <w:szCs w:val="20"/>
                <w:color w:val="auto"/>
              </w:rPr>
            </w:pPr>
            <w:r>
              <w:rPr>
                <w:rFonts w:ascii="Arial" w:cs="Arial" w:eastAsia="Arial" w:hAnsi="Arial"/>
                <w:sz w:val="14"/>
                <w:szCs w:val="14"/>
                <w:b w:val="1"/>
                <w:bCs w:val="1"/>
                <w:color w:val="auto"/>
                <w:w w:val="99"/>
              </w:rPr>
              <w:t>Revised</w:t>
            </w:r>
            <w:r>
              <w:rPr>
                <w:rFonts w:ascii="Arial" w:cs="Arial" w:eastAsia="Arial" w:hAnsi="Arial"/>
                <w:sz w:val="20"/>
                <w:szCs w:val="20"/>
                <w:b w:val="1"/>
                <w:bCs w:val="1"/>
                <w:color w:val="auto"/>
                <w:w w:val="99"/>
                <w:vertAlign w:val="superscript"/>
              </w:rPr>
              <w:t>(2)</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earnings</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gridSpan w:val="2"/>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1,762</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1,503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Plus: Dividends declared on preference shares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Plus: Tax expense on adjusted earnings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401</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8"/>
                <w:szCs w:val="18"/>
                <w:b w:val="1"/>
                <w:bCs w:val="1"/>
                <w:color w:val="auto"/>
              </w:rPr>
              <w:t>Pre-tax adjusted earnings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2,167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IFRS tax expense</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ind w:left="440"/>
              <w:spacing w:after="0" w:line="196"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423</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372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tcPr>
          <w:p>
            <w:pPr>
              <w:spacing w:after="0" w:line="202" w:lineRule="exact"/>
              <w:rPr>
                <w:sz w:val="20"/>
                <w:szCs w:val="20"/>
                <w:color w:val="auto"/>
              </w:rPr>
            </w:pPr>
            <w:r>
              <w:rPr>
                <w:rFonts w:ascii="Arial" w:cs="Arial" w:eastAsia="Arial" w:hAnsi="Arial"/>
                <w:sz w:val="18"/>
                <w:szCs w:val="18"/>
                <w:color w:val="auto"/>
              </w:rPr>
              <w:t>Remove tax related to:</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acquired software</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23</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 of post-tax losses in equity method investments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360"/>
              <w:spacing w:after="0" w:line="202" w:lineRule="exact"/>
              <w:rPr>
                <w:sz w:val="20"/>
                <w:szCs w:val="20"/>
                <w:color w:val="auto"/>
              </w:rPr>
            </w:pPr>
            <w:r>
              <w:rPr>
                <w:rFonts w:ascii="Arial" w:cs="Arial" w:eastAsia="Arial" w:hAnsi="Arial"/>
                <w:sz w:val="18"/>
                <w:szCs w:val="18"/>
                <w:color w:val="auto"/>
              </w:rPr>
              <w:t>Other finance costs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operating gains, net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360"/>
              <w:spacing w:after="0" w:line="202" w:lineRule="exact"/>
              <w:rPr>
                <w:sz w:val="20"/>
                <w:szCs w:val="20"/>
                <w:color w:val="auto"/>
              </w:rPr>
            </w:pPr>
            <w:r>
              <w:rPr>
                <w:rFonts w:ascii="Arial" w:cs="Arial" w:eastAsia="Arial" w:hAnsi="Arial"/>
                <w:sz w:val="18"/>
                <w:szCs w:val="18"/>
                <w:color w:val="auto"/>
              </w:rPr>
              <w:t>Other items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80" w:type="dxa"/>
            <w:vAlign w:val="bottom"/>
            <w:gridSpan w:val="8"/>
            <w:shd w:val="clear" w:color="auto" w:fill="CCEEFF"/>
          </w:tcPr>
          <w:p>
            <w:pPr>
              <w:spacing w:after="0" w:line="202" w:lineRule="exact"/>
              <w:rPr>
                <w:sz w:val="20"/>
                <w:szCs w:val="20"/>
                <w:color w:val="auto"/>
              </w:rPr>
            </w:pPr>
            <w:r>
              <w:rPr>
                <w:rFonts w:ascii="Arial" w:cs="Arial" w:eastAsia="Arial" w:hAnsi="Arial"/>
                <w:sz w:val="18"/>
                <w:szCs w:val="18"/>
                <w:color w:val="auto"/>
              </w:rPr>
              <w:t>Subtotal – Remove tax benefit on pre-tax items removed from adjusted earnings</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Remove: Tax items impacting comparability</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(57)</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 Remove all items impacting comparability</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b w:val="1"/>
                <w:bCs w:val="1"/>
                <w:color w:val="auto"/>
              </w:rPr>
              <w:t>Tax expense on adjusted earnings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401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Effective tax rate on adjusted earnings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290"/>
              <w:spacing w:after="0" w:line="202" w:lineRule="exact"/>
              <w:rPr>
                <w:sz w:val="20"/>
                <w:szCs w:val="20"/>
                <w:color w:val="auto"/>
              </w:rPr>
            </w:pPr>
            <w:r>
              <w:rPr>
                <w:rFonts w:ascii="Arial" w:cs="Arial" w:eastAsia="Arial" w:hAnsi="Arial"/>
                <w:sz w:val="18"/>
                <w:szCs w:val="18"/>
                <w:b w:val="1"/>
                <w:bCs w:val="1"/>
                <w:color w:val="auto"/>
              </w:rPr>
              <w:t>18.5%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18.8%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424" w:right="340" w:hanging="424"/>
        <w:spacing w:after="0" w:line="250" w:lineRule="auto"/>
        <w:tabs>
          <w:tab w:leader="none" w:pos="424"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Fair value adjustments primarily represent gains or losses due to changes in foreign currency exchange rates on intercompany balances that arise in the ordinary course of business, which are a component of operating expenses, as well as adjustments related to acquired deferred revenue.</w:t>
      </w:r>
    </w:p>
    <w:p>
      <w:pPr>
        <w:spacing w:after="0" w:line="1" w:lineRule="exact"/>
        <w:rPr>
          <w:sz w:val="20"/>
          <w:szCs w:val="20"/>
          <w:color w:val="auto"/>
        </w:rPr>
      </w:pPr>
    </w:p>
    <w:p>
      <w:pPr>
        <w:ind w:left="424" w:hanging="424"/>
        <w:spacing w:after="0"/>
        <w:tabs>
          <w:tab w:leader="none" w:pos="424"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Refer to page 23 for additional information on non-IFRS financial measures.</w:t>
      </w:r>
    </w:p>
    <w:p>
      <w:pPr>
        <w:spacing w:after="0" w:line="1" w:lineRule="exact"/>
        <w:rPr>
          <w:rFonts w:ascii="Arial" w:cs="Arial" w:eastAsia="Arial" w:hAnsi="Arial"/>
          <w:sz w:val="14"/>
          <w:szCs w:val="14"/>
          <w:color w:val="auto"/>
        </w:rPr>
      </w:pPr>
    </w:p>
    <w:p>
      <w:pPr>
        <w:ind w:left="424" w:hanging="424"/>
        <w:spacing w:after="0"/>
        <w:tabs>
          <w:tab w:leader="none" w:pos="424"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Revised to reflect the Global Print business as discontinued operations.</w:t>
      </w:r>
    </w:p>
    <w:p>
      <w:pPr>
        <w:sectPr>
          <w:pgSz w:w="11900" w:h="16838" w:orient="portrait"/>
          <w:cols w:equalWidth="0" w:num="1">
            <w:col w:w="11024"/>
          </w:cols>
          <w:pgMar w:left="436" w:top="1093" w:right="43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17295" cy="4546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18 of 23</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Reconciliation of Changes in Revenues to Changes in Revenues on a Constant Currency</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and Organic Basis</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6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jc w:val="center"/>
              <w:ind w:right="460"/>
              <w:spacing w:after="0" w:line="142" w:lineRule="exact"/>
              <w:rPr>
                <w:sz w:val="20"/>
                <w:szCs w:val="20"/>
                <w:color w:val="auto"/>
              </w:rPr>
            </w:pPr>
            <w:r>
              <w:rPr>
                <w:rFonts w:ascii="Arial" w:cs="Arial" w:eastAsia="Arial" w:hAnsi="Arial"/>
                <w:sz w:val="14"/>
                <w:szCs w:val="14"/>
                <w:b w:val="1"/>
                <w:bCs w:val="1"/>
                <w:color w:val="auto"/>
              </w:rPr>
              <w:t>SUBTOTAL</w:t>
            </w:r>
          </w:p>
        </w:tc>
        <w:tc>
          <w:tcPr>
            <w:tcW w:w="1360" w:type="dxa"/>
            <w:vAlign w:val="bottom"/>
            <w:tcBorders>
              <w:top w:val="single" w:sz="8" w:color="auto"/>
            </w:tcBorders>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7"/>
              </w:rPr>
              <w:t>Net</w:t>
            </w: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Foreign</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Constant</w:t>
            </w:r>
          </w:p>
        </w:tc>
        <w:tc>
          <w:tcPr>
            <w:tcW w:w="440" w:type="dxa"/>
            <w:vAlign w:val="bottom"/>
          </w:tcPr>
          <w:p>
            <w:pPr>
              <w:spacing w:after="0"/>
              <w:rPr>
                <w:sz w:val="12"/>
                <w:szCs w:val="12"/>
                <w:color w:val="auto"/>
              </w:rPr>
            </w:pPr>
          </w:p>
        </w:tc>
        <w:tc>
          <w:tcPr>
            <w:tcW w:w="136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rPr>
              <w:t>Acquisitions/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2026</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2"/>
                <w:szCs w:val="12"/>
                <w:color w:val="auto"/>
              </w:rPr>
            </w:pPr>
          </w:p>
        </w:tc>
        <w:tc>
          <w:tcPr>
            <w:tcW w:w="80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5"/>
              </w:rPr>
              <w:t>Total</w:t>
            </w: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Currency</w:t>
            </w:r>
          </w:p>
        </w:tc>
        <w:tc>
          <w:tcPr>
            <w:tcW w:w="540" w:type="dxa"/>
            <w:vAlign w:val="bottom"/>
            <w:gridSpan w:val="2"/>
          </w:tcPr>
          <w:p>
            <w:pPr>
              <w:spacing w:after="0"/>
              <w:rPr>
                <w:sz w:val="12"/>
                <w:szCs w:val="12"/>
                <w:color w:val="auto"/>
              </w:rPr>
            </w:pPr>
          </w:p>
        </w:tc>
        <w:tc>
          <w:tcPr>
            <w:tcW w:w="136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rPr>
              <w:t>(Disposals)</w:t>
            </w:r>
          </w:p>
        </w:tc>
        <w:tc>
          <w:tcPr>
            <w:tcW w:w="7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320" w:type="dxa"/>
            <w:vAlign w:val="bottom"/>
            <w:tcBorders>
              <w:top w:val="single" w:sz="8" w:color="CCEEFF"/>
              <w:bottom w:val="single" w:sz="8" w:color="auto"/>
            </w:tcBorders>
            <w:shd w:val="clear" w:color="auto" w:fill="CCEEFF"/>
          </w:tcPr>
          <w:p>
            <w:pPr>
              <w:spacing w:after="0" w:line="162" w:lineRule="exact"/>
              <w:rPr>
                <w:sz w:val="20"/>
                <w:szCs w:val="20"/>
                <w:color w:val="auto"/>
              </w:rPr>
            </w:pPr>
            <w:r>
              <w:rPr>
                <w:rFonts w:ascii="Arial" w:cs="Arial" w:eastAsia="Arial" w:hAnsi="Arial"/>
                <w:sz w:val="18"/>
                <w:szCs w:val="18"/>
                <w:b w:val="1"/>
                <w:bCs w:val="1"/>
                <w:color w:val="auto"/>
                <w:w w:val="97"/>
              </w:rPr>
              <w:t>Total Revenues</w:t>
            </w:r>
          </w:p>
        </w:tc>
        <w:tc>
          <w:tcPr>
            <w:tcW w:w="24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Legal Professionals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788</w:t>
            </w:r>
          </w:p>
        </w:tc>
        <w:tc>
          <w:tcPr>
            <w:tcW w:w="3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721</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544</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489</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247</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1,608</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1,457</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Reuters</w:t>
            </w:r>
          </w:p>
        </w:tc>
        <w:tc>
          <w:tcPr>
            <w:tcW w:w="12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232</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207</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Eliminations/Rounding</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4"/>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1,833</w:t>
            </w:r>
          </w:p>
        </w:tc>
        <w:tc>
          <w:tcPr>
            <w:tcW w:w="2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1,658</w:t>
            </w:r>
          </w:p>
        </w:tc>
        <w:tc>
          <w:tcPr>
            <w:tcW w:w="360" w:type="dxa"/>
            <w:vAlign w:val="bottom"/>
            <w:vMerge w:val="continue"/>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w:t>
            </w:r>
          </w:p>
        </w:tc>
        <w:tc>
          <w:tcPr>
            <w:tcW w:w="12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10%</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8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Recurring Revenues</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4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color w:val="auto"/>
              </w:rPr>
              <w:t>Legal Professionals</w:t>
            </w:r>
          </w:p>
        </w:tc>
        <w:tc>
          <w:tcPr>
            <w:tcW w:w="204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gridSpan w:val="2"/>
          </w:tcPr>
          <w:p>
            <w:pPr>
              <w:jc w:val="right"/>
              <w:ind w:right="20"/>
              <w:spacing w:after="0" w:line="202" w:lineRule="exact"/>
              <w:rPr>
                <w:sz w:val="20"/>
                <w:szCs w:val="20"/>
                <w:color w:val="auto"/>
              </w:rPr>
            </w:pPr>
            <w:r>
              <w:rPr>
                <w:rFonts w:ascii="Arial" w:cs="Arial" w:eastAsia="Arial" w:hAnsi="Arial"/>
                <w:sz w:val="18"/>
                <w:szCs w:val="18"/>
                <w:color w:val="auto"/>
              </w:rPr>
              <w:t>768</w:t>
            </w: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tcPr>
          <w:p>
            <w:pPr>
              <w:jc w:val="right"/>
              <w:ind w:right="360"/>
              <w:spacing w:after="0" w:line="202" w:lineRule="exact"/>
              <w:rPr>
                <w:sz w:val="20"/>
                <w:szCs w:val="20"/>
                <w:color w:val="auto"/>
              </w:rPr>
            </w:pPr>
            <w:r>
              <w:rPr>
                <w:rFonts w:ascii="Arial" w:cs="Arial" w:eastAsia="Arial" w:hAnsi="Arial"/>
                <w:sz w:val="18"/>
                <w:szCs w:val="18"/>
                <w:color w:val="auto"/>
              </w:rPr>
              <w:t>703</w:t>
            </w:r>
          </w:p>
        </w:tc>
        <w:tc>
          <w:tcPr>
            <w:tcW w:w="800" w:type="dxa"/>
            <w:vAlign w:val="bottom"/>
            <w:tcBorders>
              <w:top w:val="single" w:sz="8" w:color="CCEEFF"/>
            </w:tcBorders>
            <w:gridSpan w:val="2"/>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100" w:type="dxa"/>
            <w:vAlign w:val="bottom"/>
            <w:tcBorders>
              <w:top w:val="single" w:sz="8" w:color="CCEEFF"/>
            </w:tcBorders>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tcBorders>
              <w:top w:val="single" w:sz="8" w:color="CCEEFF"/>
            </w:tcBorders>
            <w:gridSpan w:val="4"/>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360" w:type="dxa"/>
            <w:vAlign w:val="bottom"/>
            <w:tcBorders>
              <w:top w:val="single" w:sz="8" w:color="CCEEFF"/>
            </w:tcBorders>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tcBorders>
              <w:top w:val="single" w:sz="8" w:color="CCEEFF"/>
            </w:tcBorders>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468</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433</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179</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24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1,437</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1,315</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Reuters</w:t>
            </w:r>
          </w:p>
        </w:tc>
        <w:tc>
          <w:tcPr>
            <w:tcW w:w="12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188</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178</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Eliminations/Rounding</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Recurring Revenues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4"/>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1,618</w:t>
            </w:r>
          </w:p>
        </w:tc>
        <w:tc>
          <w:tcPr>
            <w:tcW w:w="2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1,487</w:t>
            </w:r>
          </w:p>
        </w:tc>
        <w:tc>
          <w:tcPr>
            <w:tcW w:w="360" w:type="dxa"/>
            <w:vAlign w:val="bottom"/>
            <w:vMerge w:val="continue"/>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w:t>
            </w:r>
          </w:p>
        </w:tc>
        <w:tc>
          <w:tcPr>
            <w:tcW w:w="12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8%</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Transactions Revenues</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tcBorders>
              <w:top w:val="single" w:sz="8" w:color="auto"/>
            </w:tcBorders>
            <w:gridSpan w:val="3"/>
          </w:tcPr>
          <w:p>
            <w:pPr>
              <w:spacing w:after="0" w:line="202" w:lineRule="exact"/>
              <w:rPr>
                <w:sz w:val="20"/>
                <w:szCs w:val="20"/>
                <w:color w:val="auto"/>
              </w:rPr>
            </w:pPr>
            <w:r>
              <w:rPr>
                <w:rFonts w:ascii="Arial" w:cs="Arial" w:eastAsia="Arial" w:hAnsi="Arial"/>
                <w:sz w:val="18"/>
                <w:szCs w:val="18"/>
                <w:color w:val="auto"/>
              </w:rPr>
              <w:t>Legal Professionals</w:t>
            </w:r>
          </w:p>
        </w:tc>
        <w:tc>
          <w:tcPr>
            <w:tcW w:w="1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gridSpan w:val="2"/>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tcPr>
          <w:p>
            <w:pPr>
              <w:jc w:val="right"/>
              <w:ind w:right="360"/>
              <w:spacing w:after="0" w:line="202" w:lineRule="exact"/>
              <w:rPr>
                <w:sz w:val="20"/>
                <w:szCs w:val="20"/>
                <w:color w:val="auto"/>
              </w:rPr>
            </w:pPr>
            <w:r>
              <w:rPr>
                <w:rFonts w:ascii="Arial" w:cs="Arial" w:eastAsia="Arial" w:hAnsi="Arial"/>
                <w:sz w:val="18"/>
                <w:szCs w:val="18"/>
                <w:color w:val="auto"/>
              </w:rPr>
              <w:t>18</w:t>
            </w:r>
          </w:p>
        </w:tc>
        <w:tc>
          <w:tcPr>
            <w:tcW w:w="800" w:type="dxa"/>
            <w:vAlign w:val="bottom"/>
            <w:tcBorders>
              <w:top w:val="single" w:sz="8" w:color="CCEEFF"/>
            </w:tcBorders>
            <w:gridSpan w:val="2"/>
          </w:tcPr>
          <w:p>
            <w:pPr>
              <w:jc w:val="right"/>
              <w:ind w:right="300"/>
              <w:spacing w:after="0" w:line="202" w:lineRule="exact"/>
              <w:rPr>
                <w:sz w:val="20"/>
                <w:szCs w:val="20"/>
                <w:color w:val="auto"/>
              </w:rPr>
            </w:pPr>
            <w:r>
              <w:rPr>
                <w:rFonts w:ascii="Arial" w:cs="Arial" w:eastAsia="Arial" w:hAnsi="Arial"/>
                <w:sz w:val="18"/>
                <w:szCs w:val="18"/>
                <w:color w:val="auto"/>
              </w:rPr>
              <w:t>18%</w:t>
            </w:r>
          </w:p>
        </w:tc>
        <w:tc>
          <w:tcPr>
            <w:tcW w:w="1100" w:type="dxa"/>
            <w:vAlign w:val="bottom"/>
            <w:tcBorders>
              <w:top w:val="single" w:sz="8" w:color="CCEEFF"/>
            </w:tcBorders>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tcBorders>
              <w:top w:val="single" w:sz="8" w:color="CCEEFF"/>
            </w:tcBorders>
            <w:gridSpan w:val="4"/>
          </w:tcPr>
          <w:p>
            <w:pPr>
              <w:jc w:val="right"/>
              <w:ind w:right="300"/>
              <w:spacing w:after="0" w:line="202" w:lineRule="exact"/>
              <w:rPr>
                <w:sz w:val="20"/>
                <w:szCs w:val="20"/>
                <w:color w:val="auto"/>
              </w:rPr>
            </w:pPr>
            <w:r>
              <w:rPr>
                <w:rFonts w:ascii="Arial" w:cs="Arial" w:eastAsia="Arial" w:hAnsi="Arial"/>
                <w:sz w:val="18"/>
                <w:szCs w:val="18"/>
                <w:color w:val="auto"/>
              </w:rPr>
              <w:t>20%</w:t>
            </w:r>
          </w:p>
        </w:tc>
        <w:tc>
          <w:tcPr>
            <w:tcW w:w="1360" w:type="dxa"/>
            <w:vAlign w:val="bottom"/>
            <w:tcBorders>
              <w:top w:val="single" w:sz="8" w:color="CCEEFF"/>
            </w:tcBorders>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tcBorders>
              <w:top w:val="single" w:sz="8" w:color="CCEEFF"/>
            </w:tcBorders>
            <w:gridSpan w:val="2"/>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56</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24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32%</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68</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142</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21%</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Reuters</w:t>
            </w:r>
          </w:p>
        </w:tc>
        <w:tc>
          <w:tcPr>
            <w:tcW w:w="12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29</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56%</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57%</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Eliminations/Rounding</w:t>
            </w: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36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Total Transactions Revenues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3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27%</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w:t>
            </w:r>
          </w:p>
        </w:tc>
        <w:tc>
          <w:tcPr>
            <w:tcW w:w="12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26%</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jc w:val="both"/>
        <w:ind w:left="4" w:right="40"/>
        <w:spacing w:after="0" w:line="282" w:lineRule="auto"/>
        <w:rPr>
          <w:sz w:val="20"/>
          <w:szCs w:val="20"/>
          <w:color w:val="auto"/>
        </w:rPr>
      </w:pPr>
      <w:r>
        <w:rPr>
          <w:rFonts w:ascii="Arial" w:cs="Arial" w:eastAsia="Arial" w:hAnsi="Arial"/>
          <w:sz w:val="14"/>
          <w:szCs w:val="14"/>
          <w:i w:val="1"/>
          <w:iCs w:val="1"/>
          <w:color w:val="auto"/>
        </w:rPr>
        <w:t>Growth percentages are computed using whole dollars. As a result, percentages calculated from reported amounts may differ from those presented, and growth components may not total due to rounding.</w:t>
      </w:r>
    </w:p>
    <w:p>
      <w:pPr>
        <w:spacing w:after="0" w:line="65" w:lineRule="exact"/>
        <w:rPr>
          <w:sz w:val="20"/>
          <w:szCs w:val="20"/>
          <w:color w:val="auto"/>
        </w:rPr>
      </w:pPr>
    </w:p>
    <w:p>
      <w:pPr>
        <w:ind w:left="424" w:hanging="424"/>
        <w:spacing w:after="0"/>
        <w:tabs>
          <w:tab w:leader="none" w:pos="424"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Refer to page 23 for additional information on non-IFRS financial measures.</w:t>
      </w:r>
    </w:p>
    <w:p>
      <w:pPr>
        <w:sectPr>
          <w:pgSz w:w="11900" w:h="16838" w:orient="portrait"/>
          <w:cols w:equalWidth="0" w:num="1">
            <w:col w:w="11024"/>
          </w:cols>
          <w:pgMar w:left="436" w:top="1093" w:right="43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17295" cy="4546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19 of 23</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Reconciliation of Changes in Revenues to Changes in Revenues on a Constant Currency</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and Organic Basis</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8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460"/>
              <w:spacing w:after="0" w:line="142" w:lineRule="exact"/>
              <w:rPr>
                <w:sz w:val="20"/>
                <w:szCs w:val="20"/>
                <w:color w:val="auto"/>
              </w:rPr>
            </w:pPr>
            <w:r>
              <w:rPr>
                <w:rFonts w:ascii="Arial" w:cs="Arial" w:eastAsia="Arial" w:hAnsi="Arial"/>
                <w:sz w:val="14"/>
                <w:szCs w:val="14"/>
                <w:b w:val="1"/>
                <w:bCs w:val="1"/>
                <w:color w:val="auto"/>
              </w:rPr>
              <w:t>SUBTOTAL</w:t>
            </w:r>
          </w:p>
        </w:tc>
        <w:tc>
          <w:tcPr>
            <w:tcW w:w="1360" w:type="dxa"/>
            <w:vAlign w:val="bottom"/>
            <w:tcBorders>
              <w:top w:val="single" w:sz="8" w:color="auto"/>
            </w:tcBorders>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7"/>
              </w:rPr>
              <w:t>Net</w:t>
            </w: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rPr>
              <w:t>Foreign</w:t>
            </w:r>
          </w:p>
        </w:tc>
        <w:tc>
          <w:tcPr>
            <w:tcW w:w="800" w:type="dxa"/>
            <w:vAlign w:val="bottom"/>
            <w:tcBorders>
              <w:top w:val="single" w:sz="8" w:color="auto"/>
            </w:tcBorders>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rPr>
              <w:t>Constant</w:t>
            </w:r>
          </w:p>
        </w:tc>
        <w:tc>
          <w:tcPr>
            <w:tcW w:w="440" w:type="dxa"/>
            <w:vAlign w:val="bottom"/>
          </w:tcPr>
          <w:p>
            <w:pPr>
              <w:spacing w:after="0"/>
              <w:rPr>
                <w:sz w:val="12"/>
                <w:szCs w:val="12"/>
                <w:color w:val="auto"/>
              </w:rPr>
            </w:pPr>
          </w:p>
        </w:tc>
        <w:tc>
          <w:tcPr>
            <w:tcW w:w="136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rPr>
              <w:t>Acquisitions/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Total</w:t>
            </w: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(Disposals)</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Organic</w:t>
            </w:r>
          </w:p>
        </w:tc>
        <w:tc>
          <w:tcPr>
            <w:tcW w:w="0" w:type="dxa"/>
            <w:vAlign w:val="bottom"/>
          </w:tcPr>
          <w:p>
            <w:pPr>
              <w:spacing w:after="0"/>
              <w:rPr>
                <w:sz w:val="1"/>
                <w:szCs w:val="1"/>
                <w:color w:val="auto"/>
              </w:rPr>
            </w:pPr>
          </w:p>
        </w:tc>
      </w:tr>
      <w:tr>
        <w:trPr>
          <w:trHeight w:val="163"/>
        </w:trPr>
        <w:tc>
          <w:tcPr>
            <w:tcW w:w="13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7"/>
              </w:rPr>
              <w:t>Total Revenues</w:t>
            </w:r>
          </w:p>
        </w:tc>
        <w:tc>
          <w:tcPr>
            <w:tcW w:w="254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CCEEFF"/>
              <w:left w:val="single" w:sz="8" w:color="CCEEFF"/>
              <w:bottom w:val="single" w:sz="8" w:color="CCEEFF"/>
              <w:right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CCEEFF"/>
              <w:left w:val="single" w:sz="8" w:color="CCEEFF"/>
              <w:bottom w:val="single" w:sz="8" w:color="CCEEFF"/>
              <w:right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CCEEFF"/>
              <w:left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60" w:type="dxa"/>
            <w:vAlign w:val="bottom"/>
            <w:gridSpan w:val="4"/>
          </w:tcPr>
          <w:p>
            <w:pPr>
              <w:spacing w:after="0" w:line="202" w:lineRule="exact"/>
              <w:rPr>
                <w:sz w:val="20"/>
                <w:szCs w:val="20"/>
                <w:color w:val="auto"/>
              </w:rPr>
            </w:pPr>
            <w:r>
              <w:rPr>
                <w:rFonts w:ascii="Arial" w:cs="Arial" w:eastAsia="Arial" w:hAnsi="Arial"/>
                <w:sz w:val="18"/>
                <w:szCs w:val="18"/>
                <w:color w:val="auto"/>
              </w:rPr>
              <w:t>Legal Professionals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w w:val="97"/>
              </w:rPr>
              <w:t>2,316</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2,113</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8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7"/>
              </w:rPr>
              <w:t>1,689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1,517</w:t>
            </w:r>
          </w:p>
        </w:tc>
        <w:tc>
          <w:tcPr>
            <w:tcW w:w="800" w:type="dxa"/>
            <w:vAlign w:val="bottom"/>
            <w:tcBorders>
              <w:right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1100" w:type="dxa"/>
            <w:vAlign w:val="bottom"/>
            <w:tcBorders>
              <w:right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3860" w:type="dxa"/>
            <w:vAlign w:val="bottom"/>
            <w:gridSpan w:val="4"/>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879</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13%</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12%</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gridSpan w:val="4"/>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7"/>
              </w:rPr>
              <w:t>5,002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4,509</w:t>
            </w:r>
          </w:p>
        </w:tc>
        <w:tc>
          <w:tcPr>
            <w:tcW w:w="800" w:type="dxa"/>
            <w:vAlign w:val="bottom"/>
            <w:tcBorders>
              <w:right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1100" w:type="dxa"/>
            <w:vAlign w:val="bottom"/>
            <w:tcBorders>
              <w:right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860" w:type="dxa"/>
            <w:vAlign w:val="bottom"/>
            <w:gridSpan w:val="4"/>
          </w:tcPr>
          <w:p>
            <w:pPr>
              <w:spacing w:after="0" w:line="202" w:lineRule="exact"/>
              <w:rPr>
                <w:sz w:val="20"/>
                <w:szCs w:val="20"/>
                <w:color w:val="auto"/>
              </w:rPr>
            </w:pPr>
            <w:r>
              <w:rPr>
                <w:rFonts w:ascii="Arial" w:cs="Arial" w:eastAsia="Arial" w:hAnsi="Arial"/>
                <w:sz w:val="18"/>
                <w:szCs w:val="18"/>
                <w:color w:val="auto"/>
              </w:rPr>
              <w:t>Reuters</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621</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8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Eliminations/Rounding</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7"/>
                <w:szCs w:val="17"/>
                <w:color w:val="auto"/>
              </w:rPr>
            </w:pPr>
          </w:p>
        </w:tc>
        <w:tc>
          <w:tcPr>
            <w:tcW w:w="480" w:type="dxa"/>
            <w:vAlign w:val="bottom"/>
            <w:tcBorders>
              <w:left w:val="single" w:sz="8" w:color="CCEEFF"/>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tcBorders>
              <w:left w:val="single" w:sz="8" w:color="CCEEFF"/>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4"/>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5,651</w:t>
            </w:r>
          </w:p>
        </w:tc>
        <w:tc>
          <w:tcPr>
            <w:tcW w:w="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5,113</w:t>
            </w:r>
          </w:p>
        </w:tc>
        <w:tc>
          <w:tcPr>
            <w:tcW w:w="360" w:type="dxa"/>
            <w:vAlign w:val="bottom"/>
            <w:vMerge w:val="continue"/>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10%</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Recurring Revenues</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tcBorders>
              <w:left w:val="single" w:sz="8" w:color="CCEEFF"/>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tcBorders>
              <w:left w:val="single" w:sz="8" w:color="CCEEFF"/>
              <w:righ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tcBorders>
              <w:lef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4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color w:val="auto"/>
              </w:rPr>
              <w:t>Legal Professionals</w:t>
            </w:r>
          </w:p>
        </w:tc>
        <w:tc>
          <w:tcPr>
            <w:tcW w:w="212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tcBorders>
            <w:gridSpan w:val="3"/>
          </w:tcPr>
          <w:p>
            <w:pPr>
              <w:jc w:val="right"/>
              <w:ind w:right="220"/>
              <w:spacing w:after="0" w:line="202" w:lineRule="exact"/>
              <w:rPr>
                <w:sz w:val="20"/>
                <w:szCs w:val="20"/>
                <w:color w:val="auto"/>
              </w:rPr>
            </w:pPr>
            <w:r>
              <w:rPr>
                <w:rFonts w:ascii="Arial" w:cs="Arial" w:eastAsia="Arial" w:hAnsi="Arial"/>
                <w:sz w:val="18"/>
                <w:szCs w:val="18"/>
                <w:color w:val="auto"/>
                <w:w w:val="97"/>
              </w:rPr>
              <w:t>2,255</w:t>
            </w:r>
          </w:p>
        </w:tc>
        <w:tc>
          <w:tcPr>
            <w:tcW w:w="260" w:type="dxa"/>
            <w:vAlign w:val="bottom"/>
            <w:tcBorders>
              <w:top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gridSpan w:val="3"/>
          </w:tcPr>
          <w:p>
            <w:pPr>
              <w:jc w:val="right"/>
              <w:ind w:right="360"/>
              <w:spacing w:after="0" w:line="202" w:lineRule="exact"/>
              <w:rPr>
                <w:sz w:val="20"/>
                <w:szCs w:val="20"/>
                <w:color w:val="auto"/>
              </w:rPr>
            </w:pPr>
            <w:r>
              <w:rPr>
                <w:rFonts w:ascii="Arial" w:cs="Arial" w:eastAsia="Arial" w:hAnsi="Arial"/>
                <w:sz w:val="18"/>
                <w:szCs w:val="18"/>
                <w:color w:val="auto"/>
              </w:rPr>
              <w:t>2,057</w:t>
            </w:r>
          </w:p>
        </w:tc>
        <w:tc>
          <w:tcPr>
            <w:tcW w:w="800" w:type="dxa"/>
            <w:vAlign w:val="bottom"/>
            <w:tcBorders>
              <w:top w:val="single" w:sz="8" w:color="CCEEFF"/>
            </w:tcBorders>
            <w:gridSpan w:val="2"/>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100" w:type="dxa"/>
            <w:vAlign w:val="bottom"/>
            <w:tcBorders>
              <w:top w:val="single" w:sz="8" w:color="CCEEFF"/>
            </w:tcBorders>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tcBorders>
              <w:top w:val="single" w:sz="8" w:color="CCEEFF"/>
            </w:tcBorders>
            <w:gridSpan w:val="3"/>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360" w:type="dxa"/>
            <w:vAlign w:val="bottom"/>
            <w:tcBorders>
              <w:top w:val="single" w:sz="8" w:color="CCEEFF"/>
            </w:tcBorders>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tcBorders>
              <w:top w:val="single" w:sz="8" w:color="CCEEFF"/>
            </w:tcBorders>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8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7"/>
              </w:rPr>
              <w:t>1,379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1,261</w:t>
            </w:r>
          </w:p>
        </w:tc>
        <w:tc>
          <w:tcPr>
            <w:tcW w:w="800" w:type="dxa"/>
            <w:vAlign w:val="bottom"/>
            <w:tcBorders>
              <w:right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100" w:type="dxa"/>
            <w:vAlign w:val="bottom"/>
            <w:tcBorders>
              <w:right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860" w:type="dxa"/>
            <w:vAlign w:val="bottom"/>
            <w:gridSpan w:val="4"/>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639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571</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2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gridSpan w:val="4"/>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7"/>
              </w:rPr>
              <w:t>4,273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3,889</w:t>
            </w:r>
          </w:p>
        </w:tc>
        <w:tc>
          <w:tcPr>
            <w:tcW w:w="800" w:type="dxa"/>
            <w:vAlign w:val="bottom"/>
            <w:tcBorders>
              <w:right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100" w:type="dxa"/>
            <w:vAlign w:val="bottom"/>
            <w:tcBorders>
              <w:right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860" w:type="dxa"/>
            <w:vAlign w:val="bottom"/>
            <w:gridSpan w:val="4"/>
          </w:tcPr>
          <w:p>
            <w:pPr>
              <w:spacing w:after="0" w:line="202" w:lineRule="exact"/>
              <w:rPr>
                <w:sz w:val="20"/>
                <w:szCs w:val="20"/>
                <w:color w:val="auto"/>
              </w:rPr>
            </w:pPr>
            <w:r>
              <w:rPr>
                <w:rFonts w:ascii="Arial" w:cs="Arial" w:eastAsia="Arial" w:hAnsi="Arial"/>
                <w:sz w:val="18"/>
                <w:szCs w:val="18"/>
                <w:color w:val="auto"/>
              </w:rPr>
              <w:t>Reuters</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529</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38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Eliminations/Rounding</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7"/>
                <w:szCs w:val="17"/>
                <w:color w:val="auto"/>
              </w:rPr>
            </w:pPr>
          </w:p>
        </w:tc>
        <w:tc>
          <w:tcPr>
            <w:tcW w:w="480" w:type="dxa"/>
            <w:vAlign w:val="bottom"/>
            <w:tcBorders>
              <w:left w:val="single" w:sz="8" w:color="CCEEFF"/>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tcBorders>
              <w:left w:val="single" w:sz="8" w:color="CCEEFF"/>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Recurring Revenues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4"/>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4,814</w:t>
            </w:r>
          </w:p>
        </w:tc>
        <w:tc>
          <w:tcPr>
            <w:tcW w:w="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4,401</w:t>
            </w:r>
          </w:p>
        </w:tc>
        <w:tc>
          <w:tcPr>
            <w:tcW w:w="360" w:type="dxa"/>
            <w:vAlign w:val="bottom"/>
            <w:vMerge w:val="continue"/>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8%</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Transactions Revenues</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tcBorders>
              <w:left w:val="single" w:sz="8" w:color="CCEEFF"/>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tcBorders>
              <w:left w:val="single" w:sz="8" w:color="CCEEFF"/>
              <w:righ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tcBorders>
              <w:lef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tcBorders>
              <w:top w:val="single" w:sz="8" w:color="auto"/>
            </w:tcBorders>
            <w:gridSpan w:val="3"/>
          </w:tcPr>
          <w:p>
            <w:pPr>
              <w:spacing w:after="0" w:line="202" w:lineRule="exact"/>
              <w:rPr>
                <w:sz w:val="20"/>
                <w:szCs w:val="20"/>
                <w:color w:val="auto"/>
              </w:rPr>
            </w:pPr>
            <w:r>
              <w:rPr>
                <w:rFonts w:ascii="Arial" w:cs="Arial" w:eastAsia="Arial" w:hAnsi="Arial"/>
                <w:sz w:val="18"/>
                <w:szCs w:val="18"/>
                <w:color w:val="auto"/>
              </w:rPr>
              <w:t>Legal Professionals</w:t>
            </w:r>
          </w:p>
        </w:tc>
        <w:tc>
          <w:tcPr>
            <w:tcW w:w="18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tcBorders>
            <w:gridSpan w:val="3"/>
          </w:tcPr>
          <w:p>
            <w:pPr>
              <w:jc w:val="right"/>
              <w:ind w:right="220"/>
              <w:spacing w:after="0" w:line="202" w:lineRule="exact"/>
              <w:rPr>
                <w:sz w:val="20"/>
                <w:szCs w:val="20"/>
                <w:color w:val="auto"/>
              </w:rPr>
            </w:pPr>
            <w:r>
              <w:rPr>
                <w:rFonts w:ascii="Arial" w:cs="Arial" w:eastAsia="Arial" w:hAnsi="Arial"/>
                <w:sz w:val="18"/>
                <w:szCs w:val="18"/>
                <w:color w:val="auto"/>
              </w:rPr>
              <w:t>61</w:t>
            </w:r>
          </w:p>
        </w:tc>
        <w:tc>
          <w:tcPr>
            <w:tcW w:w="260" w:type="dxa"/>
            <w:vAlign w:val="bottom"/>
            <w:tcBorders>
              <w:top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gridSpan w:val="3"/>
          </w:tcPr>
          <w:p>
            <w:pPr>
              <w:jc w:val="right"/>
              <w:ind w:right="360"/>
              <w:spacing w:after="0" w:line="202" w:lineRule="exact"/>
              <w:rPr>
                <w:sz w:val="20"/>
                <w:szCs w:val="20"/>
                <w:color w:val="auto"/>
              </w:rPr>
            </w:pPr>
            <w:r>
              <w:rPr>
                <w:rFonts w:ascii="Arial" w:cs="Arial" w:eastAsia="Arial" w:hAnsi="Arial"/>
                <w:sz w:val="18"/>
                <w:szCs w:val="18"/>
                <w:color w:val="auto"/>
              </w:rPr>
              <w:t>56</w:t>
            </w:r>
          </w:p>
        </w:tc>
        <w:tc>
          <w:tcPr>
            <w:tcW w:w="800" w:type="dxa"/>
            <w:vAlign w:val="bottom"/>
            <w:tcBorders>
              <w:top w:val="single" w:sz="8" w:color="CCEEFF"/>
            </w:tcBorders>
            <w:gridSpan w:val="2"/>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1100" w:type="dxa"/>
            <w:vAlign w:val="bottom"/>
            <w:tcBorders>
              <w:top w:val="single" w:sz="8" w:color="CCEEFF"/>
            </w:tcBorders>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tcBorders>
              <w:top w:val="single" w:sz="8" w:color="CCEEFF"/>
            </w:tcBorders>
            <w:gridSpan w:val="3"/>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1360" w:type="dxa"/>
            <w:vAlign w:val="bottom"/>
            <w:tcBorders>
              <w:top w:val="single" w:sz="8" w:color="CCEEFF"/>
            </w:tcBorders>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780" w:type="dxa"/>
            <w:vAlign w:val="bottom"/>
            <w:tcBorders>
              <w:top w:val="single" w:sz="8" w:color="CCEEFF"/>
            </w:tcBorders>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38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256</w:t>
            </w:r>
          </w:p>
        </w:tc>
        <w:tc>
          <w:tcPr>
            <w:tcW w:w="800" w:type="dxa"/>
            <w:vAlign w:val="bottom"/>
            <w:tcBorders>
              <w:right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21%</w:t>
            </w:r>
          </w:p>
        </w:tc>
        <w:tc>
          <w:tcPr>
            <w:tcW w:w="1100" w:type="dxa"/>
            <w:vAlign w:val="bottom"/>
            <w:tcBorders>
              <w:right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3860" w:type="dxa"/>
            <w:vAlign w:val="bottom"/>
            <w:gridSpan w:val="4"/>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358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308</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16%</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16%</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gridSpan w:val="4"/>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620</w:t>
            </w:r>
          </w:p>
        </w:tc>
        <w:tc>
          <w:tcPr>
            <w:tcW w:w="800" w:type="dxa"/>
            <w:vAlign w:val="bottom"/>
            <w:tcBorders>
              <w:right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18%</w:t>
            </w:r>
          </w:p>
        </w:tc>
        <w:tc>
          <w:tcPr>
            <w:tcW w:w="1100" w:type="dxa"/>
            <w:vAlign w:val="bottom"/>
            <w:tcBorders>
              <w:right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17%</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3860" w:type="dxa"/>
            <w:vAlign w:val="bottom"/>
            <w:gridSpan w:val="4"/>
          </w:tcPr>
          <w:p>
            <w:pPr>
              <w:spacing w:after="0" w:line="202" w:lineRule="exact"/>
              <w:rPr>
                <w:sz w:val="20"/>
                <w:szCs w:val="20"/>
                <w:color w:val="auto"/>
              </w:rPr>
            </w:pPr>
            <w:r>
              <w:rPr>
                <w:rFonts w:ascii="Arial" w:cs="Arial" w:eastAsia="Arial" w:hAnsi="Arial"/>
                <w:sz w:val="18"/>
                <w:szCs w:val="18"/>
                <w:color w:val="auto"/>
              </w:rPr>
              <w:t>Reuters</w:t>
            </w:r>
          </w:p>
        </w:tc>
        <w:tc>
          <w:tcPr>
            <w:tcW w:w="100" w:type="dxa"/>
            <w:vAlign w:val="bottom"/>
          </w:tcPr>
          <w:p>
            <w:pPr>
              <w:spacing w:after="0"/>
              <w:rPr>
                <w:sz w:val="17"/>
                <w:szCs w:val="17"/>
                <w:color w:val="auto"/>
              </w:rPr>
            </w:pPr>
          </w:p>
        </w:tc>
        <w:tc>
          <w:tcPr>
            <w:tcW w:w="6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92</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21%</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23%</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38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Eliminations/Rounding</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7"/>
                <w:szCs w:val="17"/>
                <w:color w:val="auto"/>
              </w:rPr>
            </w:pPr>
          </w:p>
        </w:tc>
        <w:tc>
          <w:tcPr>
            <w:tcW w:w="480" w:type="dxa"/>
            <w:vAlign w:val="bottom"/>
            <w:tcBorders>
              <w:left w:val="single" w:sz="8" w:color="CCEEFF"/>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tcBorders>
              <w:left w:val="single" w:sz="8" w:color="CCEEFF"/>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Transactions Revenues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4"/>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837</w:t>
            </w:r>
          </w:p>
        </w:tc>
        <w:tc>
          <w:tcPr>
            <w:tcW w:w="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712</w:t>
            </w:r>
          </w:p>
        </w:tc>
        <w:tc>
          <w:tcPr>
            <w:tcW w:w="360" w:type="dxa"/>
            <w:vAlign w:val="bottom"/>
            <w:vMerge w:val="continue"/>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18%</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8"/>
          </w:tcPr>
          <w:p>
            <w:pPr>
              <w:jc w:val="center"/>
              <w:ind w:right="48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8"/>
          </w:tcPr>
          <w:p>
            <w:pPr>
              <w:jc w:val="center"/>
              <w:ind w:right="48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500"/>
              <w:spacing w:after="0" w:line="142" w:lineRule="exact"/>
              <w:rPr>
                <w:sz w:val="20"/>
                <w:szCs w:val="20"/>
                <w:color w:val="auto"/>
              </w:rPr>
            </w:pPr>
            <w:r>
              <w:rPr>
                <w:rFonts w:ascii="Arial" w:cs="Arial" w:eastAsia="Arial" w:hAnsi="Arial"/>
                <w:sz w:val="14"/>
                <w:szCs w:val="14"/>
                <w:b w:val="1"/>
                <w:bCs w:val="1"/>
                <w:color w:val="auto"/>
                <w:w w:val="97"/>
              </w:rPr>
              <w:t>SUBTOTAL</w:t>
            </w:r>
          </w:p>
        </w:tc>
        <w:tc>
          <w:tcPr>
            <w:tcW w:w="1360" w:type="dxa"/>
            <w:vAlign w:val="bottom"/>
            <w:tcBorders>
              <w:top w:val="single" w:sz="8" w:color="auto"/>
            </w:tcBorders>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rPr>
              <w:t>Net</w:t>
            </w: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rPr>
              <w:t>Foreign</w:t>
            </w:r>
          </w:p>
        </w:tc>
        <w:tc>
          <w:tcPr>
            <w:tcW w:w="7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Constant</w:t>
            </w:r>
          </w:p>
        </w:tc>
        <w:tc>
          <w:tcPr>
            <w:tcW w:w="480" w:type="dxa"/>
            <w:vAlign w:val="bottom"/>
            <w:gridSpan w:val="2"/>
          </w:tcPr>
          <w:p>
            <w:pPr>
              <w:spacing w:after="0"/>
              <w:rPr>
                <w:sz w:val="12"/>
                <w:szCs w:val="12"/>
                <w:color w:val="auto"/>
              </w:rPr>
            </w:pPr>
          </w:p>
        </w:tc>
        <w:tc>
          <w:tcPr>
            <w:tcW w:w="136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rPr>
              <w:t>Acquisitions/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Total</w:t>
            </w: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Currency</w:t>
            </w:r>
          </w:p>
        </w:tc>
        <w:tc>
          <w:tcPr>
            <w:tcW w:w="12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Currency</w:t>
            </w: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(Disposals)</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Organic</w:t>
            </w:r>
          </w:p>
        </w:tc>
        <w:tc>
          <w:tcPr>
            <w:tcW w:w="0" w:type="dxa"/>
            <w:vAlign w:val="bottom"/>
          </w:tcPr>
          <w:p>
            <w:pPr>
              <w:spacing w:after="0"/>
              <w:rPr>
                <w:sz w:val="1"/>
                <w:szCs w:val="1"/>
                <w:color w:val="auto"/>
              </w:rPr>
            </w:pPr>
          </w:p>
        </w:tc>
      </w:tr>
      <w:tr>
        <w:trPr>
          <w:trHeight w:val="163"/>
        </w:trPr>
        <w:tc>
          <w:tcPr>
            <w:tcW w:w="13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7"/>
              </w:rPr>
              <w:t>Total Revenues</w:t>
            </w:r>
          </w:p>
        </w:tc>
        <w:tc>
          <w:tcPr>
            <w:tcW w:w="254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CCEEFF"/>
              <w:left w:val="single" w:sz="8" w:color="CCEEFF"/>
              <w:bottom w:val="single" w:sz="8" w:color="CCEEFF"/>
              <w:right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CCEEFF"/>
              <w:left w:val="single" w:sz="8" w:color="CCEEFF"/>
              <w:bottom w:val="single" w:sz="8" w:color="CCEEFF"/>
              <w:right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CCEEFF"/>
              <w:left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60" w:type="dxa"/>
            <w:vAlign w:val="bottom"/>
            <w:gridSpan w:val="4"/>
          </w:tcPr>
          <w:p>
            <w:pPr>
              <w:spacing w:after="0" w:line="202" w:lineRule="exact"/>
              <w:rPr>
                <w:sz w:val="20"/>
                <w:szCs w:val="20"/>
                <w:color w:val="auto"/>
              </w:rPr>
            </w:pPr>
            <w:r>
              <w:rPr>
                <w:rFonts w:ascii="Arial" w:cs="Arial" w:eastAsia="Arial" w:hAnsi="Arial"/>
                <w:sz w:val="18"/>
                <w:szCs w:val="18"/>
                <w:color w:val="auto"/>
              </w:rPr>
              <w:t>Legal Professionals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w w:val="97"/>
              </w:rPr>
              <w:t>2,843</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7"/>
              </w:rPr>
              <w:t>2,902</w:t>
            </w:r>
          </w:p>
        </w:tc>
        <w:tc>
          <w:tcPr>
            <w:tcW w:w="360" w:type="dxa"/>
            <w:vAlign w:val="bottom"/>
          </w:tcPr>
          <w:p>
            <w:pPr>
              <w:spacing w:after="0"/>
              <w:rPr>
                <w:sz w:val="17"/>
                <w:szCs w:val="17"/>
                <w:color w:val="auto"/>
              </w:rPr>
            </w:pPr>
          </w:p>
        </w:tc>
        <w:tc>
          <w:tcPr>
            <w:tcW w:w="8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8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7"/>
              </w:rPr>
              <w:t>2,023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7"/>
              </w:rPr>
              <w:t>1,875</w:t>
            </w:r>
          </w:p>
        </w:tc>
        <w:tc>
          <w:tcPr>
            <w:tcW w:w="36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w:t>
            </w:r>
          </w:p>
        </w:tc>
        <w:tc>
          <w:tcPr>
            <w:tcW w:w="1100" w:type="dxa"/>
            <w:vAlign w:val="bottom"/>
            <w:tcBorders>
              <w:right w:val="single" w:sz="8" w:color="CCEEFF"/>
            </w:tcBorders>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tcBorders>
              <w:right w:val="single" w:sz="8" w:color="CCEEFF"/>
            </w:tcBorders>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860" w:type="dxa"/>
            <w:vAlign w:val="bottom"/>
            <w:gridSpan w:val="4"/>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00" w:type="dxa"/>
            <w:vAlign w:val="bottom"/>
          </w:tcPr>
          <w:p>
            <w:pPr>
              <w:spacing w:after="0"/>
              <w:rPr>
                <w:sz w:val="17"/>
                <w:szCs w:val="17"/>
                <w:color w:val="auto"/>
              </w:rPr>
            </w:pPr>
          </w:p>
        </w:tc>
        <w:tc>
          <w:tcPr>
            <w:tcW w:w="6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w w:val="97"/>
              </w:rPr>
              <w:t>1,291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7"/>
              </w:rPr>
              <w:t>1,154</w:t>
            </w:r>
          </w:p>
        </w:tc>
        <w:tc>
          <w:tcPr>
            <w:tcW w:w="360" w:type="dxa"/>
            <w:vAlign w:val="bottom"/>
          </w:tcPr>
          <w:p>
            <w:pPr>
              <w:spacing w:after="0"/>
              <w:rPr>
                <w:sz w:val="17"/>
                <w:szCs w:val="17"/>
                <w:color w:val="auto"/>
              </w:rPr>
            </w:pPr>
          </w:p>
        </w:tc>
        <w:tc>
          <w:tcPr>
            <w:tcW w:w="8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12%</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gridSpan w:val="4"/>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7"/>
              </w:rPr>
              <w:t>6,157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7"/>
              </w:rPr>
              <w:t>5,931</w:t>
            </w:r>
          </w:p>
        </w:tc>
        <w:tc>
          <w:tcPr>
            <w:tcW w:w="36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w:t>
            </w:r>
          </w:p>
        </w:tc>
        <w:tc>
          <w:tcPr>
            <w:tcW w:w="1100" w:type="dxa"/>
            <w:vAlign w:val="bottom"/>
            <w:tcBorders>
              <w:right w:val="single" w:sz="8" w:color="CCEEFF"/>
            </w:tcBorders>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1240" w:type="dxa"/>
            <w:vAlign w:val="bottom"/>
            <w:tcBorders>
              <w:right w:val="single" w:sz="8" w:color="CCEEFF"/>
            </w:tcBorders>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860" w:type="dxa"/>
            <w:vAlign w:val="bottom"/>
            <w:gridSpan w:val="4"/>
          </w:tcPr>
          <w:p>
            <w:pPr>
              <w:spacing w:after="0" w:line="202" w:lineRule="exact"/>
              <w:rPr>
                <w:sz w:val="20"/>
                <w:szCs w:val="20"/>
                <w:color w:val="auto"/>
              </w:rPr>
            </w:pPr>
            <w:r>
              <w:rPr>
                <w:rFonts w:ascii="Arial" w:cs="Arial" w:eastAsia="Arial" w:hAnsi="Arial"/>
                <w:sz w:val="18"/>
                <w:szCs w:val="18"/>
                <w:color w:val="auto"/>
              </w:rPr>
              <w:t>Reuters</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853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832</w:t>
            </w:r>
          </w:p>
        </w:tc>
        <w:tc>
          <w:tcPr>
            <w:tcW w:w="360" w:type="dxa"/>
            <w:vAlign w:val="bottom"/>
          </w:tcPr>
          <w:p>
            <w:pPr>
              <w:spacing w:after="0"/>
              <w:rPr>
                <w:sz w:val="17"/>
                <w:szCs w:val="17"/>
                <w:color w:val="auto"/>
              </w:rPr>
            </w:pPr>
          </w:p>
        </w:tc>
        <w:tc>
          <w:tcPr>
            <w:tcW w:w="8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8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Eliminations/Rounding</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7"/>
                <w:szCs w:val="17"/>
                <w:color w:val="auto"/>
              </w:rPr>
            </w:pPr>
          </w:p>
        </w:tc>
        <w:tc>
          <w:tcPr>
            <w:tcW w:w="480" w:type="dxa"/>
            <w:vAlign w:val="bottom"/>
            <w:tcBorders>
              <w:left w:val="single" w:sz="8" w:color="CCEEFF"/>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tcBorders>
              <w:left w:val="single" w:sz="8" w:color="CCEEFF"/>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gridSpan w:val="4"/>
            <w:vMerge w:val="restart"/>
          </w:tcPr>
          <w:p>
            <w:pPr>
              <w:spacing w:after="0" w:line="230" w:lineRule="exact"/>
              <w:rPr>
                <w:sz w:val="20"/>
                <w:szCs w:val="20"/>
                <w:color w:val="auto"/>
              </w:rPr>
            </w:pPr>
            <w:r>
              <w:rPr>
                <w:rFonts w:ascii="Arial" w:cs="Arial" w:eastAsia="Arial" w:hAnsi="Arial"/>
                <w:sz w:val="18"/>
                <w:szCs w:val="18"/>
                <w:b w:val="1"/>
                <w:bCs w:val="1"/>
                <w:color w:val="auto"/>
              </w:rPr>
              <w:t>Total Revenues—Revised</w:t>
            </w:r>
            <w:r>
              <w:rPr>
                <w:rFonts w:ascii="Arial" w:cs="Arial" w:eastAsia="Arial" w:hAnsi="Arial"/>
                <w:sz w:val="26"/>
                <w:szCs w:val="26"/>
                <w:b w:val="1"/>
                <w:bCs w:val="1"/>
                <w:color w:val="auto"/>
                <w:vertAlign w:val="superscript"/>
              </w:rPr>
              <w:t>(2)</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gridSpan w:val="4"/>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6,986</w:t>
            </w:r>
          </w:p>
        </w:tc>
        <w:tc>
          <w:tcPr>
            <w:tcW w:w="2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6,739</w:t>
            </w:r>
          </w:p>
        </w:tc>
        <w:tc>
          <w:tcPr>
            <w:tcW w:w="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4%</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184"/>
        </w:trPr>
        <w:tc>
          <w:tcPr>
            <w:tcW w:w="3860" w:type="dxa"/>
            <w:vAlign w:val="bottom"/>
            <w:gridSpan w:val="4"/>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Total Revenues including Global</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left w:val="single" w:sz="8" w:color="CCEEFF"/>
              <w:right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80" w:type="dxa"/>
            <w:vAlign w:val="bottom"/>
            <w:tcBorders>
              <w:left w:val="single" w:sz="8" w:color="CCEEFF"/>
              <w:right w:val="single" w:sz="8" w:color="CCEEFF"/>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80" w:type="dxa"/>
            <w:vAlign w:val="bottom"/>
            <w:tcBorders>
              <w:left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60" w:type="dxa"/>
            <w:vAlign w:val="bottom"/>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Print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7,476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7,258</w:t>
            </w:r>
          </w:p>
        </w:tc>
        <w:tc>
          <w:tcPr>
            <w:tcW w:w="360" w:type="dxa"/>
            <w:vAlign w:val="bottom"/>
            <w:tcBorders>
              <w:right w:val="single" w:sz="8" w:color="CCEEFF"/>
            </w:tcBorders>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w:t>
            </w:r>
          </w:p>
        </w:tc>
        <w:tc>
          <w:tcPr>
            <w:tcW w:w="11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w:t>
            </w:r>
          </w:p>
        </w:tc>
        <w:tc>
          <w:tcPr>
            <w:tcW w:w="124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jc w:val="both"/>
        <w:ind w:left="4" w:right="40"/>
        <w:spacing w:after="0" w:line="282" w:lineRule="auto"/>
        <w:rPr>
          <w:sz w:val="20"/>
          <w:szCs w:val="20"/>
          <w:color w:val="auto"/>
        </w:rPr>
      </w:pPr>
      <w:r>
        <w:rPr>
          <w:rFonts w:ascii="Arial" w:cs="Arial" w:eastAsia="Arial" w:hAnsi="Arial"/>
          <w:sz w:val="14"/>
          <w:szCs w:val="14"/>
          <w:i w:val="1"/>
          <w:iCs w:val="1"/>
          <w:color w:val="auto"/>
        </w:rPr>
        <w:t>Growth percentages are computed using whole dollars. As a result, percentages calculated from reported amounts may differ from those presented, and growth components may not total due to rounding.</w:t>
      </w:r>
    </w:p>
    <w:p>
      <w:pPr>
        <w:spacing w:after="0" w:line="65" w:lineRule="exact"/>
        <w:rPr>
          <w:sz w:val="20"/>
          <w:szCs w:val="20"/>
          <w:color w:val="auto"/>
        </w:rPr>
      </w:pPr>
    </w:p>
    <w:p>
      <w:pPr>
        <w:ind w:left="424" w:hanging="424"/>
        <w:spacing w:after="0"/>
        <w:tabs>
          <w:tab w:leader="none" w:pos="424"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Refer to page 23 for additional information on non-IFRS financial measures.</w:t>
      </w:r>
    </w:p>
    <w:p>
      <w:pPr>
        <w:spacing w:after="0" w:line="15" w:lineRule="exact"/>
        <w:rPr>
          <w:rFonts w:ascii="Arial" w:cs="Arial" w:eastAsia="Arial" w:hAnsi="Arial"/>
          <w:sz w:val="14"/>
          <w:szCs w:val="14"/>
          <w:color w:val="auto"/>
        </w:rPr>
      </w:pPr>
    </w:p>
    <w:p>
      <w:pPr>
        <w:ind w:left="424" w:hanging="424"/>
        <w:spacing w:after="0"/>
        <w:tabs>
          <w:tab w:leader="none" w:pos="424"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Revised to reflect the Global Print business as discontinued operations for the year ended December 31, 2025.</w:t>
      </w:r>
    </w:p>
    <w:p>
      <w:pPr>
        <w:sectPr>
          <w:pgSz w:w="11900" w:h="16838" w:orient="portrait"/>
          <w:cols w:equalWidth="0" w:num="1">
            <w:col w:w="11024"/>
          </w:cols>
          <w:pgMar w:left="436" w:top="1093" w:right="43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17295" cy="4546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20 of 23</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 xml:space="preserve">Reconciliation of Changes in Adjusted EBITDA </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and Related Margin</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to Changes on a Constant Currency Basis</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10"/>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9"/>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Foreign</w:t>
            </w:r>
          </w:p>
        </w:tc>
        <w:tc>
          <w:tcPr>
            <w:tcW w:w="6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Constant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2026</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6"/>
              </w:rPr>
              <w:t>2025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5"/>
              </w:rPr>
              <w:t>Total</w:t>
            </w:r>
          </w:p>
        </w:tc>
        <w:tc>
          <w:tcPr>
            <w:tcW w:w="10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7"/>
              </w:rPr>
              <w:t>Currency</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55"/>
        </w:trPr>
        <w:tc>
          <w:tcPr>
            <w:tcW w:w="36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8"/>
                <w:szCs w:val="18"/>
                <w:color w:val="auto"/>
                <w:vertAlign w:val="superscript"/>
              </w:rPr>
              <w:t>(1)</w:t>
            </w:r>
          </w:p>
        </w:tc>
        <w:tc>
          <w:tcPr>
            <w:tcW w:w="2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right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shd w:val="clear" w:color="auto" w:fill="000000"/>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3"/>
          </w:tcPr>
          <w:p>
            <w:pPr>
              <w:spacing w:after="0" w:line="202" w:lineRule="exact"/>
              <w:rPr>
                <w:sz w:val="20"/>
                <w:szCs w:val="20"/>
                <w:color w:val="auto"/>
              </w:rPr>
            </w:pPr>
            <w:r>
              <w:rPr>
                <w:rFonts w:ascii="Arial" w:cs="Arial" w:eastAsia="Arial" w:hAnsi="Arial"/>
                <w:sz w:val="18"/>
                <w:szCs w:val="18"/>
                <w:color w:val="auto"/>
              </w:rPr>
              <w:t>Legal Professionals</w:t>
            </w:r>
          </w:p>
        </w:tc>
        <w:tc>
          <w:tcPr>
            <w:tcW w:w="2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48"/>
              <w:spacing w:after="0" w:line="202" w:lineRule="exact"/>
              <w:rPr>
                <w:sz w:val="20"/>
                <w:szCs w:val="20"/>
                <w:color w:val="auto"/>
              </w:rPr>
            </w:pPr>
            <w:r>
              <w:rPr>
                <w:rFonts w:ascii="Arial" w:cs="Arial" w:eastAsia="Arial" w:hAnsi="Arial"/>
                <w:sz w:val="18"/>
                <w:szCs w:val="18"/>
                <w:color w:val="auto"/>
              </w:rPr>
              <w:t>368</w:t>
            </w:r>
          </w:p>
        </w:tc>
        <w:tc>
          <w:tcPr>
            <w:tcW w:w="18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353</w:t>
            </w:r>
          </w:p>
        </w:tc>
        <w:tc>
          <w:tcPr>
            <w:tcW w:w="260" w:type="dxa"/>
            <w:vAlign w:val="bottom"/>
          </w:tcPr>
          <w:p>
            <w:pPr>
              <w:spacing w:after="0"/>
              <w:rPr>
                <w:sz w:val="17"/>
                <w:szCs w:val="17"/>
                <w:color w:val="auto"/>
              </w:rPr>
            </w:pPr>
          </w:p>
        </w:tc>
        <w:tc>
          <w:tcPr>
            <w:tcW w:w="116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4%</w:t>
            </w:r>
          </w:p>
        </w:tc>
        <w:tc>
          <w:tcPr>
            <w:tcW w:w="10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3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w:t>
            </w:r>
          </w:p>
        </w:tc>
        <w:tc>
          <w:tcPr>
            <w:tcW w:w="104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3620" w:type="dxa"/>
            <w:vAlign w:val="bottom"/>
            <w:gridSpan w:val="3"/>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248"/>
              <w:spacing w:after="0" w:line="202" w:lineRule="exact"/>
              <w:rPr>
                <w:sz w:val="20"/>
                <w:szCs w:val="20"/>
                <w:color w:val="auto"/>
              </w:rPr>
            </w:pPr>
            <w:r>
              <w:rPr>
                <w:rFonts w:ascii="Arial" w:cs="Arial" w:eastAsia="Arial" w:hAnsi="Arial"/>
                <w:sz w:val="18"/>
                <w:szCs w:val="18"/>
                <w:color w:val="auto"/>
              </w:rPr>
              <w:t>83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76</w:t>
            </w:r>
          </w:p>
        </w:tc>
        <w:tc>
          <w:tcPr>
            <w:tcW w:w="260" w:type="dxa"/>
            <w:vAlign w:val="bottom"/>
          </w:tcPr>
          <w:p>
            <w:pPr>
              <w:spacing w:after="0"/>
              <w:rPr>
                <w:sz w:val="17"/>
                <w:szCs w:val="17"/>
                <w:color w:val="auto"/>
              </w:rPr>
            </w:pPr>
          </w:p>
        </w:tc>
        <w:tc>
          <w:tcPr>
            <w:tcW w:w="116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10%</w:t>
            </w:r>
          </w:p>
        </w:tc>
        <w:tc>
          <w:tcPr>
            <w:tcW w:w="10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648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606</w:t>
            </w:r>
          </w:p>
        </w:tc>
        <w:tc>
          <w:tcPr>
            <w:tcW w:w="2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w:t>
            </w:r>
          </w:p>
        </w:tc>
        <w:tc>
          <w:tcPr>
            <w:tcW w:w="104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620" w:type="dxa"/>
            <w:vAlign w:val="bottom"/>
            <w:gridSpan w:val="3"/>
          </w:tcPr>
          <w:p>
            <w:pPr>
              <w:spacing w:after="0" w:line="202" w:lineRule="exact"/>
              <w:rPr>
                <w:sz w:val="20"/>
                <w:szCs w:val="20"/>
                <w:color w:val="auto"/>
              </w:rPr>
            </w:pPr>
            <w:r>
              <w:rPr>
                <w:rFonts w:ascii="Arial" w:cs="Arial" w:eastAsia="Arial" w:hAnsi="Arial"/>
                <w:sz w:val="18"/>
                <w:szCs w:val="18"/>
                <w:color w:val="auto"/>
              </w:rPr>
              <w:t>Reuters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248"/>
              <w:spacing w:after="0" w:line="202" w:lineRule="exact"/>
              <w:rPr>
                <w:sz w:val="20"/>
                <w:szCs w:val="20"/>
                <w:color w:val="auto"/>
              </w:rPr>
            </w:pPr>
            <w:r>
              <w:rPr>
                <w:rFonts w:ascii="Arial" w:cs="Arial" w:eastAsia="Arial" w:hAnsi="Arial"/>
                <w:sz w:val="18"/>
                <w:szCs w:val="18"/>
                <w:color w:val="auto"/>
              </w:rPr>
              <w:t>56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42</w:t>
            </w:r>
          </w:p>
        </w:tc>
        <w:tc>
          <w:tcPr>
            <w:tcW w:w="260" w:type="dxa"/>
            <w:vAlign w:val="bottom"/>
          </w:tcPr>
          <w:p>
            <w:pPr>
              <w:spacing w:after="0"/>
              <w:rPr>
                <w:sz w:val="17"/>
                <w:szCs w:val="17"/>
                <w:color w:val="auto"/>
              </w:rPr>
            </w:pPr>
          </w:p>
        </w:tc>
        <w:tc>
          <w:tcPr>
            <w:tcW w:w="116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37%</w:t>
            </w:r>
          </w:p>
        </w:tc>
        <w:tc>
          <w:tcPr>
            <w:tcW w:w="10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3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 Center</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n/a</w:t>
            </w:r>
          </w:p>
        </w:tc>
        <w:tc>
          <w:tcPr>
            <w:tcW w:w="10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Adjusted EBITDA</w:t>
            </w:r>
          </w:p>
        </w:tc>
        <w:tc>
          <w:tcPr>
            <w:tcW w:w="2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20" w:type="dxa"/>
            <w:vAlign w:val="bottom"/>
            <w:gridSpan w:val="3"/>
            <w:vMerge w:val="continue"/>
          </w:tcPr>
          <w:p>
            <w:pPr>
              <w:spacing w:after="0"/>
              <w:rPr>
                <w:sz w:val="18"/>
                <w:szCs w:val="18"/>
                <w:color w:val="auto"/>
              </w:rPr>
            </w:pPr>
          </w:p>
        </w:tc>
        <w:tc>
          <w:tcPr>
            <w:tcW w:w="22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651</w:t>
            </w:r>
          </w:p>
        </w:tc>
        <w:tc>
          <w:tcPr>
            <w:tcW w:w="3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593</w:t>
            </w:r>
          </w:p>
        </w:tc>
        <w:tc>
          <w:tcPr>
            <w:tcW w:w="22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1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10%</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Adjusted EBITDA Margin</w:t>
            </w:r>
            <w:r>
              <w:rPr>
                <w:rFonts w:ascii="Arial" w:cs="Arial" w:eastAsia="Arial" w:hAnsi="Arial"/>
                <w:sz w:val="18"/>
                <w:szCs w:val="18"/>
                <w:color w:val="auto"/>
                <w:vertAlign w:val="superscript"/>
              </w:rPr>
              <w:t>(1)</w:t>
            </w:r>
          </w:p>
        </w:tc>
        <w:tc>
          <w:tcPr>
            <w:tcW w:w="2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2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color w:val="auto"/>
              </w:rPr>
              <w:t>Legal Professionals</w:t>
            </w:r>
          </w:p>
        </w:tc>
        <w:tc>
          <w:tcPr>
            <w:tcW w:w="1500" w:type="dxa"/>
            <w:vAlign w:val="bottom"/>
            <w:tcBorders>
              <w:top w:val="single" w:sz="8" w:color="CCEEFF"/>
            </w:tcBorders>
          </w:tcPr>
          <w:p>
            <w:pPr>
              <w:spacing w:after="0"/>
              <w:rPr>
                <w:sz w:val="17"/>
                <w:szCs w:val="17"/>
                <w:color w:val="auto"/>
              </w:rPr>
            </w:pPr>
          </w:p>
        </w:tc>
        <w:tc>
          <w:tcPr>
            <w:tcW w:w="2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gridSpan w:val="3"/>
          </w:tcPr>
          <w:p>
            <w:pPr>
              <w:jc w:val="right"/>
              <w:ind w:right="88"/>
              <w:spacing w:after="0" w:line="202" w:lineRule="exact"/>
              <w:rPr>
                <w:sz w:val="20"/>
                <w:szCs w:val="20"/>
                <w:color w:val="auto"/>
              </w:rPr>
            </w:pPr>
            <w:r>
              <w:rPr>
                <w:rFonts w:ascii="Arial" w:cs="Arial" w:eastAsia="Arial" w:hAnsi="Arial"/>
                <w:sz w:val="18"/>
                <w:szCs w:val="18"/>
                <w:color w:val="auto"/>
              </w:rPr>
              <w:t>46.6%</w:t>
            </w: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gridSpan w:val="3"/>
          </w:tcPr>
          <w:p>
            <w:pPr>
              <w:jc w:val="right"/>
              <w:ind w:right="60"/>
              <w:spacing w:after="0" w:line="202" w:lineRule="exact"/>
              <w:rPr>
                <w:sz w:val="20"/>
                <w:szCs w:val="20"/>
                <w:color w:val="auto"/>
              </w:rPr>
            </w:pPr>
            <w:r>
              <w:rPr>
                <w:rFonts w:ascii="Arial" w:cs="Arial" w:eastAsia="Arial" w:hAnsi="Arial"/>
                <w:sz w:val="18"/>
                <w:szCs w:val="18"/>
                <w:color w:val="auto"/>
              </w:rPr>
              <w:t>49.0%</w:t>
            </w:r>
          </w:p>
        </w:tc>
        <w:tc>
          <w:tcPr>
            <w:tcW w:w="26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gridSpan w:val="4"/>
          </w:tcPr>
          <w:p>
            <w:pPr>
              <w:jc w:val="right"/>
              <w:ind w:right="540"/>
              <w:spacing w:after="0" w:line="202" w:lineRule="exact"/>
              <w:rPr>
                <w:sz w:val="20"/>
                <w:szCs w:val="20"/>
                <w:color w:val="auto"/>
              </w:rPr>
            </w:pPr>
            <w:r>
              <w:rPr>
                <w:rFonts w:ascii="Arial" w:cs="Arial" w:eastAsia="Arial" w:hAnsi="Arial"/>
                <w:sz w:val="18"/>
                <w:szCs w:val="18"/>
                <w:color w:val="auto"/>
              </w:rPr>
              <w:t>-240bp</w:t>
            </w:r>
          </w:p>
        </w:tc>
        <w:tc>
          <w:tcPr>
            <w:tcW w:w="1040" w:type="dxa"/>
            <w:vAlign w:val="bottom"/>
            <w:tcBorders>
              <w:top w:val="single" w:sz="8" w:color="CCEEFF"/>
            </w:tcBorders>
            <w:gridSpan w:val="3"/>
          </w:tcPr>
          <w:p>
            <w:pPr>
              <w:jc w:val="right"/>
              <w:ind w:right="480"/>
              <w:spacing w:after="0" w:line="202" w:lineRule="exact"/>
              <w:rPr>
                <w:sz w:val="20"/>
                <w:szCs w:val="20"/>
                <w:color w:val="auto"/>
              </w:rPr>
            </w:pPr>
            <w:r>
              <w:rPr>
                <w:rFonts w:ascii="Arial" w:cs="Arial" w:eastAsia="Arial" w:hAnsi="Arial"/>
                <w:sz w:val="18"/>
                <w:szCs w:val="18"/>
                <w:color w:val="auto"/>
              </w:rPr>
              <w:t>10bp</w:t>
            </w:r>
          </w:p>
        </w:tc>
        <w:tc>
          <w:tcPr>
            <w:tcW w:w="860" w:type="dxa"/>
            <w:vAlign w:val="bottom"/>
            <w:tcBorders>
              <w:top w:val="single" w:sz="8" w:color="CCEEFF"/>
            </w:tcBorders>
            <w:gridSpan w:val="2"/>
          </w:tcPr>
          <w:p>
            <w:pPr>
              <w:jc w:val="right"/>
              <w:ind w:right="220"/>
              <w:spacing w:after="0" w:line="202" w:lineRule="exact"/>
              <w:rPr>
                <w:sz w:val="20"/>
                <w:szCs w:val="20"/>
                <w:color w:val="auto"/>
              </w:rPr>
            </w:pPr>
            <w:r>
              <w:rPr>
                <w:rFonts w:ascii="Arial" w:cs="Arial" w:eastAsia="Arial" w:hAnsi="Arial"/>
                <w:sz w:val="18"/>
                <w:szCs w:val="18"/>
                <w:color w:val="auto"/>
              </w:rPr>
              <w:t>-250bp</w:t>
            </w:r>
          </w:p>
        </w:tc>
        <w:tc>
          <w:tcPr>
            <w:tcW w:w="0" w:type="dxa"/>
            <w:vAlign w:val="bottom"/>
          </w:tcPr>
          <w:p>
            <w:pPr>
              <w:spacing w:after="0"/>
              <w:rPr>
                <w:sz w:val="1"/>
                <w:szCs w:val="1"/>
                <w:color w:val="auto"/>
              </w:rPr>
            </w:pPr>
          </w:p>
        </w:tc>
      </w:tr>
      <w:tr>
        <w:trPr>
          <w:trHeight w:val="203"/>
        </w:trPr>
        <w:tc>
          <w:tcPr>
            <w:tcW w:w="3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36.3%</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9"/>
              </w:rPr>
              <w:t>-10bp</w:t>
            </w:r>
          </w:p>
        </w:tc>
        <w:tc>
          <w:tcPr>
            <w:tcW w:w="10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-40bp</w:t>
            </w:r>
          </w:p>
        </w:tc>
        <w:tc>
          <w:tcPr>
            <w:tcW w:w="0" w:type="dxa"/>
            <w:vAlign w:val="bottom"/>
          </w:tcPr>
          <w:p>
            <w:pPr>
              <w:spacing w:after="0"/>
              <w:rPr>
                <w:sz w:val="1"/>
                <w:szCs w:val="1"/>
                <w:color w:val="auto"/>
              </w:rPr>
            </w:pPr>
          </w:p>
        </w:tc>
      </w:tr>
      <w:tr>
        <w:trPr>
          <w:trHeight w:val="203"/>
        </w:trPr>
        <w:tc>
          <w:tcPr>
            <w:tcW w:w="3620" w:type="dxa"/>
            <w:vAlign w:val="bottom"/>
            <w:gridSpan w:val="3"/>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30.2%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30.6%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w w:val="99"/>
              </w:rPr>
              <w:t>-40bp</w:t>
            </w:r>
          </w:p>
        </w:tc>
        <w:tc>
          <w:tcPr>
            <w:tcW w:w="104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30bp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-70bp</w:t>
            </w:r>
          </w:p>
        </w:tc>
        <w:tc>
          <w:tcPr>
            <w:tcW w:w="0" w:type="dxa"/>
            <w:vAlign w:val="bottom"/>
          </w:tcPr>
          <w:p>
            <w:pPr>
              <w:spacing w:after="0"/>
              <w:rPr>
                <w:sz w:val="1"/>
                <w:szCs w:val="1"/>
                <w:color w:val="auto"/>
              </w:rPr>
            </w:pPr>
          </w:p>
        </w:tc>
      </w:tr>
      <w:tr>
        <w:trPr>
          <w:trHeight w:val="203"/>
        </w:trPr>
        <w:tc>
          <w:tcPr>
            <w:tcW w:w="362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41.7%</w:t>
            </w:r>
          </w:p>
        </w:tc>
        <w:tc>
          <w:tcPr>
            <w:tcW w:w="2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4"/>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-140bp</w:t>
            </w:r>
          </w:p>
        </w:tc>
        <w:tc>
          <w:tcPr>
            <w:tcW w:w="10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-150bp</w:t>
            </w:r>
          </w:p>
        </w:tc>
        <w:tc>
          <w:tcPr>
            <w:tcW w:w="0" w:type="dxa"/>
            <w:vAlign w:val="bottom"/>
          </w:tcPr>
          <w:p>
            <w:pPr>
              <w:spacing w:after="0"/>
              <w:rPr>
                <w:sz w:val="1"/>
                <w:szCs w:val="1"/>
                <w:color w:val="auto"/>
              </w:rPr>
            </w:pPr>
          </w:p>
        </w:tc>
      </w:tr>
      <w:tr>
        <w:trPr>
          <w:trHeight w:val="203"/>
        </w:trPr>
        <w:tc>
          <w:tcPr>
            <w:tcW w:w="3620" w:type="dxa"/>
            <w:vAlign w:val="bottom"/>
            <w:gridSpan w:val="3"/>
          </w:tcPr>
          <w:p>
            <w:pPr>
              <w:spacing w:after="0" w:line="202" w:lineRule="exact"/>
              <w:rPr>
                <w:sz w:val="20"/>
                <w:szCs w:val="20"/>
                <w:color w:val="auto"/>
              </w:rPr>
            </w:pPr>
            <w:r>
              <w:rPr>
                <w:rFonts w:ascii="Arial" w:cs="Arial" w:eastAsia="Arial" w:hAnsi="Arial"/>
                <w:sz w:val="18"/>
                <w:szCs w:val="18"/>
                <w:color w:val="auto"/>
              </w:rPr>
              <w:t>Reuters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24.3%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19.9%</w:t>
            </w:r>
          </w:p>
        </w:tc>
        <w:tc>
          <w:tcPr>
            <w:tcW w:w="260" w:type="dxa"/>
            <w:vAlign w:val="bottom"/>
          </w:tcPr>
          <w:p>
            <w:pPr>
              <w:spacing w:after="0"/>
              <w:rPr>
                <w:sz w:val="17"/>
                <w:szCs w:val="17"/>
                <w:color w:val="auto"/>
              </w:rPr>
            </w:pPr>
          </w:p>
        </w:tc>
        <w:tc>
          <w:tcPr>
            <w:tcW w:w="1160" w:type="dxa"/>
            <w:vAlign w:val="bottom"/>
            <w:gridSpan w:val="4"/>
          </w:tcPr>
          <w:p>
            <w:pPr>
              <w:jc w:val="right"/>
              <w:ind w:right="540"/>
              <w:spacing w:after="0" w:line="202" w:lineRule="exact"/>
              <w:rPr>
                <w:sz w:val="20"/>
                <w:szCs w:val="20"/>
                <w:color w:val="auto"/>
              </w:rPr>
            </w:pPr>
            <w:r>
              <w:rPr>
                <w:rFonts w:ascii="Arial" w:cs="Arial" w:eastAsia="Arial" w:hAnsi="Arial"/>
                <w:sz w:val="18"/>
                <w:szCs w:val="18"/>
                <w:color w:val="auto"/>
              </w:rPr>
              <w:t>440bp</w:t>
            </w:r>
          </w:p>
        </w:tc>
        <w:tc>
          <w:tcPr>
            <w:tcW w:w="104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-10bp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450bp</w:t>
            </w:r>
          </w:p>
        </w:tc>
        <w:tc>
          <w:tcPr>
            <w:tcW w:w="0" w:type="dxa"/>
            <w:vAlign w:val="bottom"/>
          </w:tcPr>
          <w:p>
            <w:pPr>
              <w:spacing w:after="0"/>
              <w:rPr>
                <w:sz w:val="1"/>
                <w:szCs w:val="1"/>
                <w:color w:val="auto"/>
              </w:rPr>
            </w:pPr>
          </w:p>
        </w:tc>
      </w:tr>
      <w:tr>
        <w:trPr>
          <w:trHeight w:val="203"/>
        </w:trPr>
        <w:tc>
          <w:tcPr>
            <w:tcW w:w="3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Adjusted EBITDA Margin</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b w:val="1"/>
                <w:bCs w:val="1"/>
                <w:color w:val="auto"/>
              </w:rPr>
              <w:t>35.5%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35.8%</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w w:val="95"/>
              </w:rPr>
              <w:t>-30bp</w:t>
            </w:r>
          </w:p>
        </w:tc>
        <w:tc>
          <w:tcPr>
            <w:tcW w:w="10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-30bp</w:t>
            </w:r>
          </w:p>
        </w:tc>
        <w:tc>
          <w:tcPr>
            <w:tcW w:w="0" w:type="dxa"/>
            <w:vAlign w:val="bottom"/>
          </w:tcPr>
          <w:p>
            <w:pPr>
              <w:spacing w:after="0"/>
              <w:rPr>
                <w:sz w:val="1"/>
                <w:szCs w:val="1"/>
                <w:color w:val="auto"/>
              </w:rPr>
            </w:pPr>
          </w:p>
        </w:tc>
      </w:tr>
      <w:tr>
        <w:trPr>
          <w:trHeight w:val="616"/>
        </w:trPr>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80" w:type="dxa"/>
            <w:vAlign w:val="bottom"/>
            <w:gridSpan w:val="6"/>
          </w:tcPr>
          <w:p>
            <w:pPr>
              <w:jc w:val="center"/>
              <w:ind w:left="399"/>
              <w:spacing w:after="0"/>
              <w:rPr>
                <w:sz w:val="20"/>
                <w:szCs w:val="20"/>
                <w:color w:val="auto"/>
              </w:rPr>
            </w:pPr>
            <w:r>
              <w:rPr>
                <w:rFonts w:ascii="Arial" w:cs="Arial" w:eastAsia="Arial" w:hAnsi="Arial"/>
                <w:sz w:val="18"/>
                <w:szCs w:val="18"/>
                <w:b w:val="1"/>
                <w:bCs w:val="1"/>
                <w:color w:val="auto"/>
                <w:w w:val="99"/>
              </w:rPr>
              <w:t>Thomson Reuters Corporation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020" w:type="dxa"/>
            <w:vAlign w:val="bottom"/>
            <w:gridSpan w:val="24"/>
          </w:tcPr>
          <w:p>
            <w:pPr>
              <w:jc w:val="center"/>
              <w:spacing w:after="0" w:line="212" w:lineRule="exact"/>
              <w:rPr>
                <w:sz w:val="20"/>
                <w:szCs w:val="20"/>
                <w:color w:val="auto"/>
              </w:rPr>
            </w:pPr>
            <w:r>
              <w:rPr>
                <w:rFonts w:ascii="Arial" w:cs="Arial" w:eastAsia="Arial" w:hAnsi="Arial"/>
                <w:sz w:val="17"/>
                <w:szCs w:val="17"/>
                <w:b w:val="1"/>
                <w:bCs w:val="1"/>
                <w:color w:val="auto"/>
              </w:rPr>
              <w:t xml:space="preserve">Reconciliation of Changes in Adjusted EBITDA </w:t>
            </w:r>
            <w:r>
              <w:rPr>
                <w:rFonts w:ascii="Arial" w:cs="Arial" w:eastAsia="Arial" w:hAnsi="Arial"/>
                <w:sz w:val="24"/>
                <w:szCs w:val="24"/>
                <w:b w:val="1"/>
                <w:bCs w:val="1"/>
                <w:color w:val="auto"/>
                <w:vertAlign w:val="superscript"/>
              </w:rPr>
              <w:t>(1)</w:t>
            </w:r>
            <w:r>
              <w:rPr>
                <w:rFonts w:ascii="Arial" w:cs="Arial" w:eastAsia="Arial" w:hAnsi="Arial"/>
                <w:sz w:val="17"/>
                <w:szCs w:val="17"/>
                <w:b w:val="1"/>
                <w:bCs w:val="1"/>
                <w:color w:val="auto"/>
              </w:rPr>
              <w:t xml:space="preserve"> and Related Margin</w:t>
            </w:r>
            <w:r>
              <w:rPr>
                <w:rFonts w:ascii="Arial" w:cs="Arial" w:eastAsia="Arial" w:hAnsi="Arial"/>
                <w:sz w:val="24"/>
                <w:szCs w:val="24"/>
                <w:b w:val="1"/>
                <w:bCs w:val="1"/>
                <w:color w:val="auto"/>
                <w:vertAlign w:val="superscript"/>
              </w:rPr>
              <w:t>(1)</w:t>
            </w:r>
            <w:r>
              <w:rPr>
                <w:rFonts w:ascii="Arial" w:cs="Arial" w:eastAsia="Arial" w:hAnsi="Arial"/>
                <w:sz w:val="17"/>
                <w:szCs w:val="17"/>
                <w:b w:val="1"/>
                <w:bCs w:val="1"/>
                <w:color w:val="auto"/>
              </w:rPr>
              <w:t xml:space="preserve"> to Changes on a Constant Currency Basis</w:t>
            </w:r>
            <w:r>
              <w:rPr>
                <w:rFonts w:ascii="Arial" w:cs="Arial" w:eastAsia="Arial" w:hAnsi="Arial"/>
                <w:sz w:val="24"/>
                <w:szCs w:val="24"/>
                <w:b w:val="1"/>
                <w:bCs w:val="1"/>
                <w:color w:val="auto"/>
                <w:vertAlign w:val="superscript"/>
              </w:rPr>
              <w:t>(1)</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80" w:type="dxa"/>
            <w:vAlign w:val="bottom"/>
            <w:gridSpan w:val="6"/>
          </w:tcPr>
          <w:p>
            <w:pPr>
              <w:jc w:val="center"/>
              <w:ind w:left="399"/>
              <w:spacing w:after="0"/>
              <w:rPr>
                <w:sz w:val="20"/>
                <w:szCs w:val="20"/>
                <w:color w:val="auto"/>
              </w:rPr>
            </w:pPr>
            <w:r>
              <w:rPr>
                <w:rFonts w:ascii="Arial" w:cs="Arial" w:eastAsia="Arial" w:hAnsi="Arial"/>
                <w:sz w:val="14"/>
                <w:szCs w:val="14"/>
                <w:color w:val="auto"/>
              </w:rPr>
              <w:t>(millions of U.S. dollars)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340" w:type="dxa"/>
            <w:vAlign w:val="bottom"/>
            <w:gridSpan w:val="2"/>
          </w:tcPr>
          <w:p>
            <w:pPr>
              <w:jc w:val="center"/>
              <w:ind w:left="1339"/>
              <w:spacing w:after="0"/>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460"/>
              <w:spacing w:after="0" w:line="147" w:lineRule="exact"/>
              <w:rPr>
                <w:sz w:val="20"/>
                <w:szCs w:val="20"/>
                <w:color w:val="auto"/>
              </w:rPr>
            </w:pPr>
            <w:r>
              <w:rPr>
                <w:rFonts w:ascii="Arial" w:cs="Arial" w:eastAsia="Arial" w:hAnsi="Arial"/>
                <w:sz w:val="14"/>
                <w:szCs w:val="14"/>
                <w:b w:val="1"/>
                <w:bCs w:val="1"/>
                <w:color w:val="auto"/>
              </w:rPr>
              <w:t>Foreign</w:t>
            </w:r>
          </w:p>
        </w:tc>
        <w:tc>
          <w:tcPr>
            <w:tcW w:w="6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Constant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Currency</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55"/>
        </w:trPr>
        <w:tc>
          <w:tcPr>
            <w:tcW w:w="36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3"/>
                <w:szCs w:val="13"/>
                <w:b w:val="1"/>
                <w:bCs w:val="1"/>
                <w:color w:val="auto"/>
              </w:rPr>
              <w:t>Adjusted EBITDA</w:t>
            </w:r>
            <w:r>
              <w:rPr>
                <w:rFonts w:ascii="Arial" w:cs="Arial" w:eastAsia="Arial" w:hAnsi="Arial"/>
                <w:sz w:val="18"/>
                <w:szCs w:val="18"/>
                <w:color w:val="auto"/>
                <w:vertAlign w:val="superscript"/>
              </w:rPr>
              <w:t>(1)</w:t>
            </w:r>
          </w:p>
        </w:tc>
        <w:tc>
          <w:tcPr>
            <w:tcW w:w="2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right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shd w:val="clear" w:color="auto" w:fill="000000"/>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3"/>
          </w:tcPr>
          <w:p>
            <w:pPr>
              <w:spacing w:after="0" w:line="202" w:lineRule="exact"/>
              <w:rPr>
                <w:sz w:val="20"/>
                <w:szCs w:val="20"/>
                <w:color w:val="auto"/>
              </w:rPr>
            </w:pPr>
            <w:r>
              <w:rPr>
                <w:rFonts w:ascii="Arial" w:cs="Arial" w:eastAsia="Arial" w:hAnsi="Arial"/>
                <w:sz w:val="18"/>
                <w:szCs w:val="18"/>
                <w:color w:val="auto"/>
              </w:rPr>
              <w:t>Legal Professionals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$1,104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$1,028</w:t>
            </w:r>
          </w:p>
        </w:tc>
        <w:tc>
          <w:tcPr>
            <w:tcW w:w="1160" w:type="dxa"/>
            <w:vAlign w:val="bottom"/>
            <w:gridSpan w:val="4"/>
          </w:tcPr>
          <w:p>
            <w:pPr>
              <w:jc w:val="right"/>
              <w:ind w:right="240"/>
              <w:spacing w:after="0" w:line="202" w:lineRule="exact"/>
              <w:rPr>
                <w:sz w:val="20"/>
                <w:szCs w:val="20"/>
                <w:color w:val="auto"/>
              </w:rPr>
            </w:pPr>
            <w:r>
              <w:rPr>
                <w:rFonts w:ascii="Arial" w:cs="Arial" w:eastAsia="Arial" w:hAnsi="Arial"/>
                <w:sz w:val="18"/>
                <w:szCs w:val="18"/>
                <w:color w:val="auto"/>
              </w:rPr>
              <w:t>7%</w:t>
            </w:r>
          </w:p>
        </w:tc>
        <w:tc>
          <w:tcPr>
            <w:tcW w:w="10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640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564</w:t>
            </w:r>
          </w:p>
        </w:tc>
        <w:tc>
          <w:tcPr>
            <w:tcW w:w="1160" w:type="dxa"/>
            <w:vAlign w:val="bottom"/>
            <w:tcBorders>
              <w:right w:val="single" w:sz="8" w:color="CCEEFF"/>
            </w:tcBorders>
            <w:gridSpan w:val="4"/>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w:t>
            </w:r>
          </w:p>
        </w:tc>
        <w:tc>
          <w:tcPr>
            <w:tcW w:w="10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3620" w:type="dxa"/>
            <w:vAlign w:val="bottom"/>
            <w:gridSpan w:val="3"/>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8%</w:t>
            </w:r>
          </w:p>
        </w:tc>
        <w:tc>
          <w:tcPr>
            <w:tcW w:w="10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2,168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1,986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w:t>
            </w:r>
          </w:p>
        </w:tc>
        <w:tc>
          <w:tcPr>
            <w:tcW w:w="10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620" w:type="dxa"/>
            <w:vAlign w:val="bottom"/>
            <w:gridSpan w:val="3"/>
          </w:tcPr>
          <w:p>
            <w:pPr>
              <w:spacing w:after="0" w:line="202" w:lineRule="exact"/>
              <w:rPr>
                <w:sz w:val="20"/>
                <w:szCs w:val="20"/>
                <w:color w:val="auto"/>
              </w:rPr>
            </w:pPr>
            <w:r>
              <w:rPr>
                <w:rFonts w:ascii="Arial" w:cs="Arial" w:eastAsia="Arial" w:hAnsi="Arial"/>
                <w:sz w:val="18"/>
                <w:szCs w:val="18"/>
                <w:color w:val="auto"/>
              </w:rPr>
              <w:t>Reuters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138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126</w:t>
            </w:r>
          </w:p>
        </w:tc>
        <w:tc>
          <w:tcPr>
            <w:tcW w:w="1160" w:type="dxa"/>
            <w:vAlign w:val="bottom"/>
            <w:gridSpan w:val="4"/>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10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3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 Center</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n/a</w:t>
            </w:r>
          </w:p>
        </w:tc>
        <w:tc>
          <w:tcPr>
            <w:tcW w:w="104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n/a</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Adjusted EBITDA</w:t>
            </w: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gridSpan w:val="3"/>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2,140</w:t>
            </w:r>
          </w:p>
        </w:tc>
        <w:tc>
          <w:tcPr>
            <w:tcW w:w="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1,930</w:t>
            </w:r>
          </w:p>
        </w:tc>
        <w:tc>
          <w:tcPr>
            <w:tcW w:w="2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11%</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20" w:type="dxa"/>
            <w:vAlign w:val="bottom"/>
            <w:gridSpan w:val="3"/>
            <w:shd w:val="clear" w:color="auto" w:fill="CCEEFF"/>
          </w:tcPr>
          <w:p>
            <w:pPr>
              <w:spacing w:after="0" w:line="170" w:lineRule="exact"/>
              <w:rPr>
                <w:sz w:val="20"/>
                <w:szCs w:val="20"/>
                <w:color w:val="auto"/>
              </w:rPr>
            </w:pPr>
            <w:r>
              <w:rPr>
                <w:rFonts w:ascii="Arial" w:cs="Arial" w:eastAsia="Arial" w:hAnsi="Arial"/>
                <w:sz w:val="14"/>
                <w:szCs w:val="14"/>
                <w:b w:val="1"/>
                <w:bCs w:val="1"/>
                <w:color w:val="auto"/>
              </w:rPr>
              <w:t>Adjusted EBITDA Margin</w:t>
            </w:r>
            <w:r>
              <w:rPr>
                <w:rFonts w:ascii="Arial" w:cs="Arial" w:eastAsia="Arial" w:hAnsi="Arial"/>
                <w:sz w:val="19"/>
                <w:szCs w:val="19"/>
                <w:color w:val="auto"/>
                <w:vertAlign w:val="superscript"/>
              </w:rPr>
              <w:t>(1)</w:t>
            </w:r>
          </w:p>
        </w:tc>
        <w:tc>
          <w:tcPr>
            <w:tcW w:w="2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2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color w:val="auto"/>
              </w:rPr>
              <w:t>Legal Professionals</w:t>
            </w:r>
          </w:p>
        </w:tc>
        <w:tc>
          <w:tcPr>
            <w:tcW w:w="1500" w:type="dxa"/>
            <w:vAlign w:val="bottom"/>
            <w:tcBorders>
              <w:top w:val="single" w:sz="8" w:color="CCEEFF"/>
            </w:tcBorders>
          </w:tcPr>
          <w:p>
            <w:pPr>
              <w:spacing w:after="0"/>
              <w:rPr>
                <w:sz w:val="17"/>
                <w:szCs w:val="17"/>
                <w:color w:val="auto"/>
              </w:rPr>
            </w:pPr>
          </w:p>
        </w:tc>
        <w:tc>
          <w:tcPr>
            <w:tcW w:w="2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gridSpan w:val="4"/>
          </w:tcPr>
          <w:p>
            <w:pPr>
              <w:jc w:val="right"/>
              <w:ind w:right="20"/>
              <w:spacing w:after="0" w:line="202" w:lineRule="exact"/>
              <w:rPr>
                <w:sz w:val="20"/>
                <w:szCs w:val="20"/>
                <w:color w:val="auto"/>
              </w:rPr>
            </w:pPr>
            <w:r>
              <w:rPr>
                <w:rFonts w:ascii="Arial" w:cs="Arial" w:eastAsia="Arial" w:hAnsi="Arial"/>
                <w:sz w:val="18"/>
                <w:szCs w:val="18"/>
                <w:color w:val="auto"/>
              </w:rPr>
              <w:t>47.7%</w:t>
            </w: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gridSpan w:val="4"/>
          </w:tcPr>
          <w:p>
            <w:pPr>
              <w:jc w:val="right"/>
              <w:ind w:right="100"/>
              <w:spacing w:after="0" w:line="202" w:lineRule="exact"/>
              <w:rPr>
                <w:sz w:val="20"/>
                <w:szCs w:val="20"/>
                <w:color w:val="auto"/>
              </w:rPr>
            </w:pPr>
            <w:r>
              <w:rPr>
                <w:rFonts w:ascii="Arial" w:cs="Arial" w:eastAsia="Arial" w:hAnsi="Arial"/>
                <w:sz w:val="18"/>
                <w:szCs w:val="18"/>
                <w:color w:val="auto"/>
              </w:rPr>
              <w:t>48.6%</w:t>
            </w: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gridSpan w:val="3"/>
          </w:tcPr>
          <w:p>
            <w:pPr>
              <w:jc w:val="right"/>
              <w:ind w:right="400"/>
              <w:spacing w:after="0" w:line="202" w:lineRule="exact"/>
              <w:rPr>
                <w:sz w:val="20"/>
                <w:szCs w:val="20"/>
                <w:color w:val="auto"/>
              </w:rPr>
            </w:pPr>
            <w:r>
              <w:rPr>
                <w:rFonts w:ascii="Arial" w:cs="Arial" w:eastAsia="Arial" w:hAnsi="Arial"/>
                <w:sz w:val="18"/>
                <w:szCs w:val="18"/>
                <w:color w:val="auto"/>
              </w:rPr>
              <w:t>-90bp</w:t>
            </w:r>
          </w:p>
        </w:tc>
        <w:tc>
          <w:tcPr>
            <w:tcW w:w="1040" w:type="dxa"/>
            <w:vAlign w:val="bottom"/>
            <w:tcBorders>
              <w:top w:val="single" w:sz="8" w:color="CCEEFF"/>
            </w:tcBorders>
            <w:gridSpan w:val="3"/>
          </w:tcPr>
          <w:p>
            <w:pPr>
              <w:jc w:val="right"/>
              <w:ind w:right="400"/>
              <w:spacing w:after="0" w:line="202" w:lineRule="exact"/>
              <w:rPr>
                <w:sz w:val="20"/>
                <w:szCs w:val="20"/>
                <w:color w:val="auto"/>
              </w:rPr>
            </w:pPr>
            <w:r>
              <w:rPr>
                <w:rFonts w:ascii="Arial" w:cs="Arial" w:eastAsia="Arial" w:hAnsi="Arial"/>
                <w:sz w:val="18"/>
                <w:szCs w:val="18"/>
                <w:color w:val="auto"/>
              </w:rPr>
              <w:t>10bp</w:t>
            </w:r>
          </w:p>
        </w:tc>
        <w:tc>
          <w:tcPr>
            <w:tcW w:w="860" w:type="dxa"/>
            <w:vAlign w:val="bottom"/>
            <w:tcBorders>
              <w:top w:val="single" w:sz="8" w:color="CCEEFF"/>
            </w:tcBorders>
            <w:gridSpan w:val="2"/>
          </w:tcPr>
          <w:p>
            <w:pPr>
              <w:jc w:val="right"/>
              <w:ind w:right="220"/>
              <w:spacing w:after="0" w:line="202" w:lineRule="exact"/>
              <w:rPr>
                <w:sz w:val="20"/>
                <w:szCs w:val="20"/>
                <w:color w:val="auto"/>
              </w:rPr>
            </w:pPr>
            <w:r>
              <w:rPr>
                <w:rFonts w:ascii="Arial" w:cs="Arial" w:eastAsia="Arial" w:hAnsi="Arial"/>
                <w:sz w:val="18"/>
                <w:szCs w:val="18"/>
                <w:color w:val="auto"/>
              </w:rPr>
              <w:t>-100bp</w:t>
            </w:r>
          </w:p>
        </w:tc>
        <w:tc>
          <w:tcPr>
            <w:tcW w:w="0" w:type="dxa"/>
            <w:vAlign w:val="bottom"/>
          </w:tcPr>
          <w:p>
            <w:pPr>
              <w:spacing w:after="0"/>
              <w:rPr>
                <w:sz w:val="1"/>
                <w:szCs w:val="1"/>
                <w:color w:val="auto"/>
              </w:rPr>
            </w:pPr>
          </w:p>
        </w:tc>
      </w:tr>
      <w:tr>
        <w:trPr>
          <w:trHeight w:val="203"/>
        </w:trPr>
        <w:tc>
          <w:tcPr>
            <w:tcW w:w="3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37.2%</w:t>
            </w:r>
          </w:p>
        </w:tc>
        <w:tc>
          <w:tcPr>
            <w:tcW w:w="14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70bp</w:t>
            </w:r>
          </w:p>
        </w:tc>
        <w:tc>
          <w:tcPr>
            <w:tcW w:w="104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80bp</w:t>
            </w:r>
          </w:p>
        </w:tc>
        <w:tc>
          <w:tcPr>
            <w:tcW w:w="0" w:type="dxa"/>
            <w:vAlign w:val="bottom"/>
          </w:tcPr>
          <w:p>
            <w:pPr>
              <w:spacing w:after="0"/>
              <w:rPr>
                <w:sz w:val="1"/>
                <w:szCs w:val="1"/>
                <w:color w:val="auto"/>
              </w:rPr>
            </w:pPr>
          </w:p>
        </w:tc>
      </w:tr>
      <w:tr>
        <w:trPr>
          <w:trHeight w:val="203"/>
        </w:trPr>
        <w:tc>
          <w:tcPr>
            <w:tcW w:w="3620" w:type="dxa"/>
            <w:vAlign w:val="bottom"/>
            <w:gridSpan w:val="3"/>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42.5%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43.9%</w:t>
            </w:r>
          </w:p>
        </w:tc>
        <w:tc>
          <w:tcPr>
            <w:tcW w:w="140" w:type="dxa"/>
            <w:vAlign w:val="bottom"/>
          </w:tcPr>
          <w:p>
            <w:pPr>
              <w:spacing w:after="0"/>
              <w:rPr>
                <w:sz w:val="17"/>
                <w:szCs w:val="17"/>
                <w:color w:val="auto"/>
              </w:rPr>
            </w:pPr>
          </w:p>
        </w:tc>
        <w:tc>
          <w:tcPr>
            <w:tcW w:w="102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-140bp</w:t>
            </w:r>
          </w:p>
        </w:tc>
        <w:tc>
          <w:tcPr>
            <w:tcW w:w="104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-10bp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-130bp</w:t>
            </w:r>
          </w:p>
        </w:tc>
        <w:tc>
          <w:tcPr>
            <w:tcW w:w="0" w:type="dxa"/>
            <w:vAlign w:val="bottom"/>
          </w:tcPr>
          <w:p>
            <w:pPr>
              <w:spacing w:after="0"/>
              <w:rPr>
                <w:sz w:val="1"/>
                <w:szCs w:val="1"/>
                <w:color w:val="auto"/>
              </w:rPr>
            </w:pPr>
          </w:p>
        </w:tc>
      </w:tr>
      <w:tr>
        <w:trPr>
          <w:trHeight w:val="202"/>
        </w:trPr>
        <w:tc>
          <w:tcPr>
            <w:tcW w:w="362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43.3%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43.9%</w:t>
            </w:r>
          </w:p>
        </w:tc>
        <w:tc>
          <w:tcPr>
            <w:tcW w:w="14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-60bp</w:t>
            </w:r>
          </w:p>
        </w:tc>
        <w:tc>
          <w:tcPr>
            <w:tcW w:w="104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-50bp</w:t>
            </w:r>
          </w:p>
        </w:tc>
        <w:tc>
          <w:tcPr>
            <w:tcW w:w="0" w:type="dxa"/>
            <w:vAlign w:val="bottom"/>
          </w:tcPr>
          <w:p>
            <w:pPr>
              <w:spacing w:after="0"/>
              <w:rPr>
                <w:sz w:val="1"/>
                <w:szCs w:val="1"/>
                <w:color w:val="auto"/>
              </w:rPr>
            </w:pPr>
          </w:p>
        </w:tc>
      </w:tr>
      <w:tr>
        <w:trPr>
          <w:trHeight w:val="203"/>
        </w:trPr>
        <w:tc>
          <w:tcPr>
            <w:tcW w:w="3620" w:type="dxa"/>
            <w:vAlign w:val="bottom"/>
            <w:gridSpan w:val="3"/>
          </w:tcPr>
          <w:p>
            <w:pPr>
              <w:spacing w:after="0" w:line="202" w:lineRule="exact"/>
              <w:rPr>
                <w:sz w:val="20"/>
                <w:szCs w:val="20"/>
                <w:color w:val="auto"/>
              </w:rPr>
            </w:pPr>
            <w:r>
              <w:rPr>
                <w:rFonts w:ascii="Arial" w:cs="Arial" w:eastAsia="Arial" w:hAnsi="Arial"/>
                <w:sz w:val="18"/>
                <w:szCs w:val="18"/>
                <w:color w:val="auto"/>
              </w:rPr>
              <w:t>Reuters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20.5%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20.2%</w:t>
            </w:r>
          </w:p>
        </w:tc>
        <w:tc>
          <w:tcPr>
            <w:tcW w:w="140" w:type="dxa"/>
            <w:vAlign w:val="bottom"/>
          </w:tcPr>
          <w:p>
            <w:pPr>
              <w:spacing w:after="0"/>
              <w:rPr>
                <w:sz w:val="17"/>
                <w:szCs w:val="17"/>
                <w:color w:val="auto"/>
              </w:rPr>
            </w:pPr>
          </w:p>
        </w:tc>
        <w:tc>
          <w:tcPr>
            <w:tcW w:w="102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30bp</w:t>
            </w:r>
          </w:p>
        </w:tc>
        <w:tc>
          <w:tcPr>
            <w:tcW w:w="104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-90bp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120bp</w:t>
            </w:r>
          </w:p>
        </w:tc>
        <w:tc>
          <w:tcPr>
            <w:tcW w:w="0" w:type="dxa"/>
            <w:vAlign w:val="bottom"/>
          </w:tcPr>
          <w:p>
            <w:pPr>
              <w:spacing w:after="0"/>
              <w:rPr>
                <w:sz w:val="1"/>
                <w:szCs w:val="1"/>
                <w:color w:val="auto"/>
              </w:rPr>
            </w:pPr>
          </w:p>
        </w:tc>
      </w:tr>
      <w:tr>
        <w:trPr>
          <w:trHeight w:val="203"/>
        </w:trPr>
        <w:tc>
          <w:tcPr>
            <w:tcW w:w="3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Adjusted EBITDA Margin</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37.9%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37.6%</w:t>
            </w:r>
          </w:p>
        </w:tc>
        <w:tc>
          <w:tcPr>
            <w:tcW w:w="14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30bp</w:t>
            </w:r>
          </w:p>
        </w:tc>
        <w:tc>
          <w:tcPr>
            <w:tcW w:w="104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-10bp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40bp</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n/a: not applicable</w:t>
      </w:r>
    </w:p>
    <w:p>
      <w:pPr>
        <w:spacing w:after="0" w:line="109" w:lineRule="exact"/>
        <w:rPr>
          <w:sz w:val="20"/>
          <w:szCs w:val="20"/>
          <w:color w:val="auto"/>
        </w:rPr>
      </w:pPr>
    </w:p>
    <w:p>
      <w:pPr>
        <w:ind w:left="4" w:right="680"/>
        <w:spacing w:after="0" w:line="282" w:lineRule="auto"/>
        <w:rPr>
          <w:sz w:val="20"/>
          <w:szCs w:val="20"/>
          <w:color w:val="auto"/>
        </w:rPr>
      </w:pPr>
      <w:r>
        <w:rPr>
          <w:rFonts w:ascii="Arial" w:cs="Arial" w:eastAsia="Arial" w:hAnsi="Arial"/>
          <w:sz w:val="14"/>
          <w:szCs w:val="14"/>
          <w:i w:val="1"/>
          <w:iCs w:val="1"/>
          <w:color w:val="auto"/>
        </w:rPr>
        <w:t>Growth percentages and margins are computed using whole dollars. As a result, percentages and margins calculated from reported amounts may differ from those presented, and growth components may not total due to rounding.</w:t>
      </w:r>
    </w:p>
    <w:p>
      <w:pPr>
        <w:spacing w:after="0" w:line="65" w:lineRule="exact"/>
        <w:rPr>
          <w:sz w:val="20"/>
          <w:szCs w:val="20"/>
          <w:color w:val="auto"/>
        </w:rPr>
      </w:pPr>
    </w:p>
    <w:p>
      <w:pPr>
        <w:ind w:left="424" w:hanging="424"/>
        <w:spacing w:after="0"/>
        <w:tabs>
          <w:tab w:leader="none" w:pos="424"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Refer to page 23 for additional information on non-IFRS financial measures.</w:t>
      </w:r>
    </w:p>
    <w:p>
      <w:pPr>
        <w:sectPr>
          <w:pgSz w:w="11900" w:h="16838" w:orient="portrait"/>
          <w:cols w:equalWidth="0" w:num="1">
            <w:col w:w="11024"/>
          </w:cols>
          <w:pgMar w:left="436" w:top="1093" w:right="439" w:bottom="1440" w:gutter="0" w:footer="0" w:header="0"/>
        </w:sectPr>
      </w:pPr>
    </w:p>
    <w:bookmarkStart w:id="23" w:name="page24"/>
    <w:bookmarkEnd w:id="2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17295" cy="4546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21 of 23</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Reconciliation of adjusted EBITDA margin</w:t>
      </w:r>
      <w:r>
        <w:rPr>
          <w:rFonts w:ascii="Arial" w:cs="Arial" w:eastAsia="Arial" w:hAnsi="Arial"/>
          <w:sz w:val="26"/>
          <w:szCs w:val="26"/>
          <w:b w:val="1"/>
          <w:bCs w:val="1"/>
          <w:color w:val="auto"/>
          <w:vertAlign w:val="superscript"/>
        </w:rPr>
        <w:t>(1)</w:t>
      </w:r>
    </w:p>
    <w:p>
      <w:pPr>
        <w:spacing w:after="0" w:line="35" w:lineRule="exact"/>
        <w:rPr>
          <w:sz w:val="20"/>
          <w:szCs w:val="20"/>
          <w:color w:val="auto"/>
        </w:rPr>
      </w:pPr>
    </w:p>
    <w:p>
      <w:pPr>
        <w:ind w:left="4" w:right="60"/>
        <w:spacing w:after="0" w:line="252" w:lineRule="auto"/>
        <w:rPr>
          <w:sz w:val="20"/>
          <w:szCs w:val="20"/>
          <w:color w:val="auto"/>
        </w:rPr>
      </w:pPr>
      <w:r>
        <w:rPr>
          <w:rFonts w:ascii="Arial" w:cs="Arial" w:eastAsia="Arial" w:hAnsi="Arial"/>
          <w:sz w:val="14"/>
          <w:szCs w:val="14"/>
          <w:color w:val="auto"/>
        </w:rPr>
        <w:t>To compute segment and consolidated adjusted EBITDA margin, the company excludes fair value adjustments related to acquired deferred revenue from its IFRS revenues. The charts below reconcile IFRS revenues to revenues used in the calculation of adjusted EBITDA margin, which excludes fair value adjustments related to acquired deferred revenue.</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Revenues excluding</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gridSpan w:val="3"/>
            <w:vMerge w:val="restart"/>
          </w:tcPr>
          <w:p>
            <w:pPr>
              <w:spacing w:after="0"/>
              <w:rPr>
                <w:sz w:val="20"/>
                <w:szCs w:val="20"/>
                <w:color w:val="auto"/>
              </w:rPr>
            </w:pPr>
            <w:r>
              <w:rPr>
                <w:rFonts w:ascii="Arial" w:cs="Arial" w:eastAsia="Arial" w:hAnsi="Arial"/>
                <w:sz w:val="14"/>
                <w:szCs w:val="14"/>
                <w:color w:val="auto"/>
              </w:rPr>
              <w:t>(millions of U.S. dollars)</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Remove fair value</w:t>
            </w:r>
          </w:p>
        </w:tc>
        <w:tc>
          <w:tcPr>
            <w:tcW w:w="1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adjustments to</w:t>
            </w:r>
          </w:p>
        </w:tc>
        <w:tc>
          <w:tcPr>
            <w:tcW w:w="1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adjustments to</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gridSpan w:val="3"/>
          </w:tcPr>
          <w:p>
            <w:pPr>
              <w:spacing w:after="0"/>
              <w:rPr>
                <w:sz w:val="20"/>
                <w:szCs w:val="20"/>
                <w:color w:val="auto"/>
              </w:rPr>
            </w:pPr>
            <w:r>
              <w:rPr>
                <w:rFonts w:ascii="Arial" w:cs="Arial" w:eastAsia="Arial" w:hAnsi="Arial"/>
                <w:sz w:val="14"/>
                <w:szCs w:val="14"/>
                <w:color w:val="auto"/>
              </w:rPr>
              <w:t>(unaudited)</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acquired deferred</w:t>
            </w:r>
          </w:p>
        </w:tc>
        <w:tc>
          <w:tcPr>
            <w:tcW w:w="16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acquired deferred</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Adjusted EBITDA</w:t>
            </w:r>
          </w:p>
        </w:tc>
        <w:tc>
          <w:tcPr>
            <w:tcW w:w="0" w:type="dxa"/>
            <w:vAlign w:val="bottom"/>
          </w:tcPr>
          <w:p>
            <w:pPr>
              <w:spacing w:after="0"/>
              <w:rPr>
                <w:sz w:val="1"/>
                <w:szCs w:val="1"/>
                <w:color w:val="auto"/>
              </w:rPr>
            </w:pPr>
          </w:p>
        </w:tc>
      </w:tr>
      <w:tr>
        <w:trPr>
          <w:trHeight w:val="171"/>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Three months ended September 30, 2026</w:t>
            </w:r>
          </w:p>
        </w:tc>
        <w:tc>
          <w:tcPr>
            <w:tcW w:w="5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IFRS revenues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Adjusted EBITDA</w:t>
            </w: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0"/>
        </w:trPr>
        <w:tc>
          <w:tcPr>
            <w:tcW w:w="33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Legal Professionals</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80" w:type="dxa"/>
            <w:vAlign w:val="bottom"/>
            <w:gridSpan w:val="3"/>
            <w:vMerge w:val="continue"/>
            <w:shd w:val="clear" w:color="auto" w:fill="CCEEFF"/>
          </w:tcPr>
          <w:p>
            <w:pPr>
              <w:spacing w:after="0"/>
              <w:rPr>
                <w:sz w:val="16"/>
                <w:szCs w:val="16"/>
                <w:color w:val="auto"/>
              </w:rPr>
            </w:pPr>
          </w:p>
        </w:tc>
        <w:tc>
          <w:tcPr>
            <w:tcW w:w="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788</w:t>
            </w:r>
          </w:p>
        </w:tc>
        <w:tc>
          <w:tcPr>
            <w:tcW w:w="20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ind w:left="860"/>
              <w:spacing w:after="0" w:line="189" w:lineRule="exact"/>
              <w:rPr>
                <w:sz w:val="20"/>
                <w:szCs w:val="20"/>
                <w:color w:val="auto"/>
              </w:rPr>
            </w:pPr>
            <w:r>
              <w:rPr>
                <w:rFonts w:ascii="Arial" w:cs="Arial" w:eastAsia="Arial" w:hAnsi="Arial"/>
                <w:sz w:val="18"/>
                <w:szCs w:val="18"/>
                <w:color w:val="auto"/>
                <w:w w:val="96"/>
              </w:rPr>
              <w:t>— </w:t>
            </w:r>
          </w:p>
        </w:tc>
        <w:tc>
          <w:tcPr>
            <w:tcW w:w="2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788</w:t>
            </w:r>
          </w:p>
        </w:tc>
        <w:tc>
          <w:tcPr>
            <w:tcW w:w="22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368</w:t>
            </w:r>
          </w:p>
        </w:tc>
        <w:tc>
          <w:tcPr>
            <w:tcW w:w="380" w:type="dxa"/>
            <w:vAlign w:val="bottom"/>
            <w:vMerge w:val="continue"/>
            <w:shd w:val="clear" w:color="auto" w:fill="CCEEFF"/>
          </w:tcPr>
          <w:p>
            <w:pPr>
              <w:spacing w:after="0"/>
              <w:rPr>
                <w:sz w:val="16"/>
                <w:szCs w:val="16"/>
                <w:color w:val="auto"/>
              </w:rPr>
            </w:pPr>
          </w:p>
        </w:tc>
        <w:tc>
          <w:tcPr>
            <w:tcW w:w="14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3"/>
        </w:trPr>
        <w:tc>
          <w:tcPr>
            <w:tcW w:w="3380" w:type="dxa"/>
            <w:vAlign w:val="bottom"/>
            <w:gridSpan w:val="3"/>
          </w:tcPr>
          <w:p>
            <w:pPr>
              <w:spacing w:after="0" w:line="202" w:lineRule="exact"/>
              <w:rPr>
                <w:sz w:val="20"/>
                <w:szCs w:val="20"/>
                <w:color w:val="auto"/>
              </w:rPr>
            </w:pPr>
            <w:r>
              <w:rPr>
                <w:rFonts w:ascii="Arial" w:cs="Arial" w:eastAsia="Arial" w:hAnsi="Arial"/>
                <w:sz w:val="18"/>
                <w:szCs w:val="18"/>
                <w:color w:val="auto"/>
              </w:rPr>
              <w:t>Corporates</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544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544</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197</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3"/>
        </w:trPr>
        <w:tc>
          <w:tcPr>
            <w:tcW w:w="3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w:t>
            </w: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w w:val="96"/>
              </w:rPr>
              <w:t>— </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83</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line="230" w:lineRule="exact"/>
              <w:rPr>
                <w:sz w:val="20"/>
                <w:szCs w:val="20"/>
                <w:color w:val="auto"/>
              </w:rPr>
            </w:pPr>
            <w:r>
              <w:rPr>
                <w:rFonts w:ascii="Arial" w:cs="Arial" w:eastAsia="Arial" w:hAnsi="Arial"/>
                <w:sz w:val="18"/>
                <w:szCs w:val="18"/>
                <w:color w:val="auto"/>
              </w:rPr>
              <w:t>“Big 3” Segments Combined</w:t>
            </w:r>
            <w:r>
              <w:rPr>
                <w:rFonts w:ascii="Arial" w:cs="Arial" w:eastAsia="Arial" w:hAnsi="Arial"/>
                <w:sz w:val="26"/>
                <w:szCs w:val="26"/>
                <w:color w:val="auto"/>
                <w:vertAlign w:val="superscript"/>
              </w:rPr>
              <w:t>(1)</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1,608</w:t>
            </w:r>
          </w:p>
        </w:tc>
        <w:tc>
          <w:tcPr>
            <w:tcW w:w="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w w:val="96"/>
              </w:rPr>
              <w:t>— </w:t>
            </w:r>
          </w:p>
        </w:tc>
        <w:tc>
          <w:tcPr>
            <w:tcW w:w="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1,608</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648</w:t>
            </w:r>
          </w:p>
        </w:tc>
        <w:tc>
          <w:tcPr>
            <w:tcW w:w="380" w:type="dxa"/>
            <w:vAlign w:val="bottom"/>
            <w:vMerge w:val="continue"/>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3"/>
        </w:trPr>
        <w:tc>
          <w:tcPr>
            <w:tcW w:w="3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Reuters</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w:t>
            </w: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56</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3"/>
        </w:trPr>
        <w:tc>
          <w:tcPr>
            <w:tcW w:w="3380" w:type="dxa"/>
            <w:vAlign w:val="bottom"/>
            <w:gridSpan w:val="3"/>
          </w:tcPr>
          <w:p>
            <w:pPr>
              <w:spacing w:after="0" w:line="202" w:lineRule="exact"/>
              <w:rPr>
                <w:sz w:val="20"/>
                <w:szCs w:val="20"/>
                <w:color w:val="auto"/>
              </w:rPr>
            </w:pPr>
            <w:r>
              <w:rPr>
                <w:rFonts w:ascii="Arial" w:cs="Arial" w:eastAsia="Arial" w:hAnsi="Arial"/>
                <w:sz w:val="18"/>
                <w:szCs w:val="18"/>
                <w:color w:val="auto"/>
              </w:rPr>
              <w:t>Eliminations/Rounding</w:t>
            </w:r>
          </w:p>
        </w:tc>
        <w:tc>
          <w:tcPr>
            <w:tcW w:w="3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— </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3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 Center</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w w:val="96"/>
              </w:rPr>
              <w:t>— </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(53)</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rPr>
                <w:sz w:val="20"/>
                <w:szCs w:val="20"/>
                <w:color w:val="auto"/>
              </w:rPr>
            </w:pPr>
            <w:r>
              <w:rPr>
                <w:rFonts w:ascii="Arial" w:cs="Arial" w:eastAsia="Arial" w:hAnsi="Arial"/>
                <w:sz w:val="18"/>
                <w:szCs w:val="18"/>
                <w:color w:val="auto"/>
              </w:rPr>
              <w:t>Consolidated totals</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gridSpan w:val="3"/>
            <w:vMerge w:val="continue"/>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1,833</w:t>
            </w:r>
          </w:p>
        </w:tc>
        <w:tc>
          <w:tcPr>
            <w:tcW w:w="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w w:val="96"/>
              </w:rPr>
              <w:t>— </w:t>
            </w:r>
          </w:p>
        </w:tc>
        <w:tc>
          <w:tcPr>
            <w:tcW w:w="28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1,833</w:t>
            </w:r>
          </w:p>
        </w:tc>
        <w:tc>
          <w:tcPr>
            <w:tcW w:w="2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651</w:t>
            </w:r>
          </w:p>
        </w:tc>
        <w:tc>
          <w:tcPr>
            <w:tcW w:w="380" w:type="dxa"/>
            <w:vAlign w:val="bottom"/>
            <w:vMerge w:val="continue"/>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Nine months ended September 30, 2026</w:t>
            </w:r>
          </w:p>
        </w:tc>
        <w:tc>
          <w:tcPr>
            <w:tcW w:w="660" w:type="dxa"/>
            <w:vAlign w:val="bottom"/>
            <w:gridSpan w:val="2"/>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720" w:type="dxa"/>
            <w:vAlign w:val="bottom"/>
            <w:tcBorders>
              <w:bottom w:val="single" w:sz="8" w:color="auto"/>
            </w:tcBorders>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Legal Professionals</w:t>
            </w:r>
          </w:p>
        </w:tc>
        <w:tc>
          <w:tcPr>
            <w:tcW w:w="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2,316</w:t>
            </w: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860"/>
              <w:spacing w:after="0" w:line="196"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2,316</w:t>
            </w:r>
          </w:p>
        </w:tc>
        <w:tc>
          <w:tcPr>
            <w:tcW w:w="58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1,104</w:t>
            </w:r>
          </w:p>
        </w:tc>
        <w:tc>
          <w:tcPr>
            <w:tcW w:w="14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3"/>
        </w:trPr>
        <w:tc>
          <w:tcPr>
            <w:tcW w:w="3380" w:type="dxa"/>
            <w:vAlign w:val="bottom"/>
            <w:gridSpan w:val="3"/>
          </w:tcPr>
          <w:p>
            <w:pPr>
              <w:spacing w:after="0" w:line="202" w:lineRule="exact"/>
              <w:rPr>
                <w:sz w:val="20"/>
                <w:szCs w:val="20"/>
                <w:color w:val="auto"/>
              </w:rPr>
            </w:pPr>
            <w:r>
              <w:rPr>
                <w:rFonts w:ascii="Arial" w:cs="Arial" w:eastAsia="Arial" w:hAnsi="Arial"/>
                <w:sz w:val="18"/>
                <w:szCs w:val="18"/>
                <w:color w:val="auto"/>
              </w:rPr>
              <w:t>Corporates</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1,689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1,689</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640</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3"/>
        </w:trPr>
        <w:tc>
          <w:tcPr>
            <w:tcW w:w="3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997</w:t>
            </w: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w w:val="96"/>
              </w:rPr>
              <w:t>— </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997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424</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line="230" w:lineRule="exact"/>
              <w:rPr>
                <w:sz w:val="20"/>
                <w:szCs w:val="20"/>
                <w:color w:val="auto"/>
              </w:rPr>
            </w:pPr>
            <w:r>
              <w:rPr>
                <w:rFonts w:ascii="Arial" w:cs="Arial" w:eastAsia="Arial" w:hAnsi="Arial"/>
                <w:sz w:val="18"/>
                <w:szCs w:val="18"/>
                <w:color w:val="auto"/>
              </w:rPr>
              <w:t>“Big 3” Segments Combined</w:t>
            </w:r>
            <w:r>
              <w:rPr>
                <w:rFonts w:ascii="Arial" w:cs="Arial" w:eastAsia="Arial" w:hAnsi="Arial"/>
                <w:sz w:val="26"/>
                <w:szCs w:val="26"/>
                <w:color w:val="auto"/>
                <w:vertAlign w:val="superscript"/>
              </w:rPr>
              <w:t>(1)</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5,002</w:t>
            </w:r>
          </w:p>
        </w:tc>
        <w:tc>
          <w:tcPr>
            <w:tcW w:w="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w w:val="96"/>
              </w:rPr>
              <w:t>— </w:t>
            </w:r>
          </w:p>
        </w:tc>
        <w:tc>
          <w:tcPr>
            <w:tcW w:w="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5,002</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2,168</w:t>
            </w:r>
          </w:p>
        </w:tc>
        <w:tc>
          <w:tcPr>
            <w:tcW w:w="380" w:type="dxa"/>
            <w:vAlign w:val="bottom"/>
            <w:vMerge w:val="continue"/>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2"/>
        </w:trPr>
        <w:tc>
          <w:tcPr>
            <w:tcW w:w="3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Reuters</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673</w:t>
            </w: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673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138</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3"/>
        </w:trPr>
        <w:tc>
          <w:tcPr>
            <w:tcW w:w="3380" w:type="dxa"/>
            <w:vAlign w:val="bottom"/>
            <w:gridSpan w:val="3"/>
          </w:tcPr>
          <w:p>
            <w:pPr>
              <w:spacing w:after="0" w:line="202" w:lineRule="exact"/>
              <w:rPr>
                <w:sz w:val="20"/>
                <w:szCs w:val="20"/>
                <w:color w:val="auto"/>
              </w:rPr>
            </w:pPr>
            <w:r>
              <w:rPr>
                <w:rFonts w:ascii="Arial" w:cs="Arial" w:eastAsia="Arial" w:hAnsi="Arial"/>
                <w:sz w:val="18"/>
                <w:szCs w:val="18"/>
                <w:color w:val="auto"/>
              </w:rPr>
              <w:t>Eliminations/Rounding</w:t>
            </w:r>
          </w:p>
        </w:tc>
        <w:tc>
          <w:tcPr>
            <w:tcW w:w="3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— </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3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 Center</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w w:val="96"/>
              </w:rPr>
              <w:t>— </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(166)</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rPr>
                <w:sz w:val="20"/>
                <w:szCs w:val="20"/>
                <w:color w:val="auto"/>
              </w:rPr>
            </w:pPr>
            <w:r>
              <w:rPr>
                <w:rFonts w:ascii="Arial" w:cs="Arial" w:eastAsia="Arial" w:hAnsi="Arial"/>
                <w:sz w:val="18"/>
                <w:szCs w:val="18"/>
                <w:color w:val="auto"/>
              </w:rPr>
              <w:t>Consolidated totals</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gridSpan w:val="3"/>
            <w:vMerge w:val="continue"/>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5,651</w:t>
            </w:r>
          </w:p>
        </w:tc>
        <w:tc>
          <w:tcPr>
            <w:tcW w:w="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w w:val="96"/>
              </w:rPr>
              <w:t>— </w:t>
            </w:r>
          </w:p>
        </w:tc>
        <w:tc>
          <w:tcPr>
            <w:tcW w:w="28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5,651</w:t>
            </w:r>
          </w:p>
        </w:tc>
        <w:tc>
          <w:tcPr>
            <w:tcW w:w="2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2,140</w:t>
            </w:r>
          </w:p>
        </w:tc>
        <w:tc>
          <w:tcPr>
            <w:tcW w:w="380" w:type="dxa"/>
            <w:vAlign w:val="bottom"/>
            <w:vMerge w:val="continue"/>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September 30, 2025</w:t>
            </w:r>
          </w:p>
        </w:tc>
        <w:tc>
          <w:tcPr>
            <w:tcW w:w="58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800" w:type="dxa"/>
            <w:vAlign w:val="bottom"/>
            <w:tcBorders>
              <w:bottom w:val="single" w:sz="8" w:color="auto"/>
            </w:tcBorders>
            <w:gridSpan w:val="2"/>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Legal Professionals</w:t>
            </w:r>
          </w:p>
        </w:tc>
        <w:tc>
          <w:tcPr>
            <w:tcW w:w="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721</w:t>
            </w: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860"/>
              <w:spacing w:after="0" w:line="196"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721</w:t>
            </w:r>
          </w:p>
        </w:tc>
        <w:tc>
          <w:tcPr>
            <w:tcW w:w="58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353</w:t>
            </w:r>
          </w:p>
        </w:tc>
        <w:tc>
          <w:tcPr>
            <w:tcW w:w="14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3"/>
        </w:trPr>
        <w:tc>
          <w:tcPr>
            <w:tcW w:w="3380" w:type="dxa"/>
            <w:vAlign w:val="bottom"/>
            <w:gridSpan w:val="3"/>
          </w:tcPr>
          <w:p>
            <w:pPr>
              <w:spacing w:after="0" w:line="202" w:lineRule="exact"/>
              <w:rPr>
                <w:sz w:val="20"/>
                <w:szCs w:val="20"/>
                <w:color w:val="auto"/>
              </w:rPr>
            </w:pPr>
            <w:r>
              <w:rPr>
                <w:rFonts w:ascii="Arial" w:cs="Arial" w:eastAsia="Arial" w:hAnsi="Arial"/>
                <w:sz w:val="18"/>
                <w:szCs w:val="18"/>
                <w:color w:val="auto"/>
              </w:rPr>
              <w:t>Corporates</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489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489</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177</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3"/>
        </w:trPr>
        <w:tc>
          <w:tcPr>
            <w:tcW w:w="3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w:t>
            </w: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w w:val="96"/>
              </w:rPr>
              <w:t>— </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76</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line="230" w:lineRule="exact"/>
              <w:rPr>
                <w:sz w:val="20"/>
                <w:szCs w:val="20"/>
                <w:color w:val="auto"/>
              </w:rPr>
            </w:pPr>
            <w:r>
              <w:rPr>
                <w:rFonts w:ascii="Arial" w:cs="Arial" w:eastAsia="Arial" w:hAnsi="Arial"/>
                <w:sz w:val="18"/>
                <w:szCs w:val="18"/>
                <w:color w:val="auto"/>
              </w:rPr>
              <w:t>“Big 3” Segments Combined</w:t>
            </w:r>
            <w:r>
              <w:rPr>
                <w:rFonts w:ascii="Arial" w:cs="Arial" w:eastAsia="Arial" w:hAnsi="Arial"/>
                <w:sz w:val="26"/>
                <w:szCs w:val="26"/>
                <w:color w:val="auto"/>
                <w:vertAlign w:val="superscript"/>
              </w:rPr>
              <w:t>(1)</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1,457</w:t>
            </w:r>
          </w:p>
        </w:tc>
        <w:tc>
          <w:tcPr>
            <w:tcW w:w="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w w:val="96"/>
              </w:rPr>
              <w:t>— </w:t>
            </w:r>
          </w:p>
        </w:tc>
        <w:tc>
          <w:tcPr>
            <w:tcW w:w="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1,457</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606</w:t>
            </w:r>
          </w:p>
        </w:tc>
        <w:tc>
          <w:tcPr>
            <w:tcW w:w="380" w:type="dxa"/>
            <w:vAlign w:val="bottom"/>
            <w:vMerge w:val="continue"/>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3"/>
        </w:trPr>
        <w:tc>
          <w:tcPr>
            <w:tcW w:w="3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Reuters</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42</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3380" w:type="dxa"/>
            <w:vAlign w:val="bottom"/>
            <w:gridSpan w:val="3"/>
          </w:tcPr>
          <w:p>
            <w:pPr>
              <w:spacing w:after="0" w:line="202" w:lineRule="exact"/>
              <w:rPr>
                <w:sz w:val="20"/>
                <w:szCs w:val="20"/>
                <w:color w:val="auto"/>
              </w:rPr>
            </w:pPr>
            <w:r>
              <w:rPr>
                <w:rFonts w:ascii="Arial" w:cs="Arial" w:eastAsia="Arial" w:hAnsi="Arial"/>
                <w:sz w:val="18"/>
                <w:szCs w:val="18"/>
                <w:color w:val="auto"/>
              </w:rPr>
              <w:t>Eliminations/Rounding</w:t>
            </w:r>
          </w:p>
        </w:tc>
        <w:tc>
          <w:tcPr>
            <w:tcW w:w="3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— </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3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 Center</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w w:val="96"/>
              </w:rPr>
              <w:t>— </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(55)</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rPr>
                <w:sz w:val="20"/>
                <w:szCs w:val="20"/>
                <w:color w:val="auto"/>
              </w:rPr>
            </w:pPr>
            <w:r>
              <w:rPr>
                <w:rFonts w:ascii="Arial" w:cs="Arial" w:eastAsia="Arial" w:hAnsi="Arial"/>
                <w:sz w:val="18"/>
                <w:szCs w:val="18"/>
                <w:color w:val="auto"/>
              </w:rPr>
              <w:t>Consolidated totals</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gridSpan w:val="3"/>
            <w:vMerge w:val="continue"/>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1,658</w:t>
            </w:r>
          </w:p>
        </w:tc>
        <w:tc>
          <w:tcPr>
            <w:tcW w:w="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w w:val="96"/>
              </w:rPr>
              <w:t>— </w:t>
            </w:r>
          </w:p>
        </w:tc>
        <w:tc>
          <w:tcPr>
            <w:tcW w:w="28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1,658</w:t>
            </w:r>
          </w:p>
        </w:tc>
        <w:tc>
          <w:tcPr>
            <w:tcW w:w="2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593</w:t>
            </w:r>
          </w:p>
        </w:tc>
        <w:tc>
          <w:tcPr>
            <w:tcW w:w="380" w:type="dxa"/>
            <w:vAlign w:val="bottom"/>
            <w:vMerge w:val="continue"/>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Nine months ended September 30, 2025</w:t>
            </w:r>
          </w:p>
        </w:tc>
        <w:tc>
          <w:tcPr>
            <w:tcW w:w="660" w:type="dxa"/>
            <w:vAlign w:val="bottom"/>
            <w:gridSpan w:val="2"/>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720" w:type="dxa"/>
            <w:vAlign w:val="bottom"/>
            <w:tcBorders>
              <w:bottom w:val="single" w:sz="8" w:color="auto"/>
            </w:tcBorders>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Legal Professionals</w:t>
            </w:r>
          </w:p>
        </w:tc>
        <w:tc>
          <w:tcPr>
            <w:tcW w:w="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2,113</w:t>
            </w: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860"/>
              <w:spacing w:after="0" w:line="196"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2,113</w:t>
            </w:r>
          </w:p>
        </w:tc>
        <w:tc>
          <w:tcPr>
            <w:tcW w:w="58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1,028</w:t>
            </w:r>
          </w:p>
        </w:tc>
        <w:tc>
          <w:tcPr>
            <w:tcW w:w="14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3"/>
        </w:trPr>
        <w:tc>
          <w:tcPr>
            <w:tcW w:w="3380" w:type="dxa"/>
            <w:vAlign w:val="bottom"/>
            <w:gridSpan w:val="3"/>
          </w:tcPr>
          <w:p>
            <w:pPr>
              <w:spacing w:after="0" w:line="202" w:lineRule="exact"/>
              <w:rPr>
                <w:sz w:val="20"/>
                <w:szCs w:val="20"/>
                <w:color w:val="auto"/>
              </w:rPr>
            </w:pPr>
            <w:r>
              <w:rPr>
                <w:rFonts w:ascii="Arial" w:cs="Arial" w:eastAsia="Arial" w:hAnsi="Arial"/>
                <w:sz w:val="18"/>
                <w:szCs w:val="18"/>
                <w:color w:val="auto"/>
              </w:rPr>
              <w:t>Corporates</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1,517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1,517</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564</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3"/>
        </w:trPr>
        <w:tc>
          <w:tcPr>
            <w:tcW w:w="3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w:t>
            </w:r>
          </w:p>
        </w:tc>
        <w:tc>
          <w:tcPr>
            <w:tcW w:w="200" w:type="dxa"/>
            <w:vAlign w:val="bottom"/>
            <w:tcBorders>
              <w:left w:val="single" w:sz="8" w:color="CCEEFF"/>
            </w:tcBorders>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899</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394</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line="230" w:lineRule="exact"/>
              <w:rPr>
                <w:sz w:val="20"/>
                <w:szCs w:val="20"/>
                <w:color w:val="auto"/>
              </w:rPr>
            </w:pPr>
            <w:r>
              <w:rPr>
                <w:rFonts w:ascii="Arial" w:cs="Arial" w:eastAsia="Arial" w:hAnsi="Arial"/>
                <w:sz w:val="18"/>
                <w:szCs w:val="18"/>
                <w:color w:val="auto"/>
              </w:rPr>
              <w:t>“Big 3” Segments Combined</w:t>
            </w:r>
            <w:r>
              <w:rPr>
                <w:rFonts w:ascii="Arial" w:cs="Arial" w:eastAsia="Arial" w:hAnsi="Arial"/>
                <w:sz w:val="26"/>
                <w:szCs w:val="26"/>
                <w:color w:val="auto"/>
                <w:vertAlign w:val="superscript"/>
              </w:rPr>
              <w:t>(1)</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4,509</w:t>
            </w:r>
          </w:p>
        </w:tc>
        <w:tc>
          <w:tcPr>
            <w:tcW w:w="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4,529</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1,986</w:t>
            </w:r>
          </w:p>
        </w:tc>
        <w:tc>
          <w:tcPr>
            <w:tcW w:w="380" w:type="dxa"/>
            <w:vAlign w:val="bottom"/>
            <w:vMerge w:val="continue"/>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3"/>
        </w:trPr>
        <w:tc>
          <w:tcPr>
            <w:tcW w:w="3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Reuters</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621</w:t>
            </w: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126</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3"/>
        </w:trPr>
        <w:tc>
          <w:tcPr>
            <w:tcW w:w="3380" w:type="dxa"/>
            <w:vAlign w:val="bottom"/>
            <w:gridSpan w:val="3"/>
          </w:tcPr>
          <w:p>
            <w:pPr>
              <w:spacing w:after="0" w:line="202" w:lineRule="exact"/>
              <w:rPr>
                <w:sz w:val="20"/>
                <w:szCs w:val="20"/>
                <w:color w:val="auto"/>
              </w:rPr>
            </w:pPr>
            <w:r>
              <w:rPr>
                <w:rFonts w:ascii="Arial" w:cs="Arial" w:eastAsia="Arial" w:hAnsi="Arial"/>
                <w:sz w:val="18"/>
                <w:szCs w:val="18"/>
                <w:color w:val="auto"/>
              </w:rPr>
              <w:t>Eliminations/Rounding</w:t>
            </w:r>
          </w:p>
        </w:tc>
        <w:tc>
          <w:tcPr>
            <w:tcW w:w="3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— </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3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 Center</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w w:val="96"/>
              </w:rPr>
              <w:t>— </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(182)</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rPr>
                <w:sz w:val="20"/>
                <w:szCs w:val="20"/>
                <w:color w:val="auto"/>
              </w:rPr>
            </w:pPr>
            <w:r>
              <w:rPr>
                <w:rFonts w:ascii="Arial" w:cs="Arial" w:eastAsia="Arial" w:hAnsi="Arial"/>
                <w:sz w:val="18"/>
                <w:szCs w:val="18"/>
                <w:color w:val="auto"/>
              </w:rPr>
              <w:t>Consolidated totals</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gridSpan w:val="3"/>
            <w:vMerge w:val="continue"/>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5,113</w:t>
            </w:r>
          </w:p>
        </w:tc>
        <w:tc>
          <w:tcPr>
            <w:tcW w:w="2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5,133</w:t>
            </w:r>
          </w:p>
        </w:tc>
        <w:tc>
          <w:tcPr>
            <w:tcW w:w="2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1,930</w:t>
            </w:r>
          </w:p>
        </w:tc>
        <w:tc>
          <w:tcPr>
            <w:tcW w:w="380" w:type="dxa"/>
            <w:vAlign w:val="bottom"/>
            <w:vMerge w:val="continue"/>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n/a: not applicable</w:t>
      </w:r>
    </w:p>
    <w:p>
      <w:pPr>
        <w:spacing w:after="0" w:line="109"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Margins are computed using whole dollars, as a result, margins calculated from reported amounts may differ from those presented due to rounding.</w:t>
      </w:r>
    </w:p>
    <w:p>
      <w:pPr>
        <w:spacing w:after="0" w:line="121" w:lineRule="exact"/>
        <w:rPr>
          <w:sz w:val="20"/>
          <w:szCs w:val="20"/>
          <w:color w:val="auto"/>
        </w:rPr>
      </w:pPr>
    </w:p>
    <w:p>
      <w:pPr>
        <w:ind w:left="424" w:hanging="424"/>
        <w:spacing w:after="0"/>
        <w:tabs>
          <w:tab w:leader="none" w:pos="424"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Refer to page 23 for additional information on non-IFRS financial measures.</w:t>
      </w:r>
    </w:p>
    <w:p>
      <w:pPr>
        <w:sectPr>
          <w:pgSz w:w="11900" w:h="16838" w:orient="portrait"/>
          <w:cols w:equalWidth="0" w:num="1">
            <w:col w:w="11024"/>
          </w:cols>
          <w:pgMar w:left="436" w:top="1093" w:right="439" w:bottom="1440" w:gutter="0" w:footer="0" w:header="0"/>
        </w:sectPr>
      </w:pPr>
    </w:p>
    <w:bookmarkStart w:id="24" w:name="page25"/>
    <w:bookmarkEnd w:id="2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17295" cy="4546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Third-Quarter 2026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22 of 23</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“Big 3” Segments and Consolidated Adjusted EBITDA</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and the Related Margins</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Year ended</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32"/>
              <w:spacing w:after="0" w:line="143" w:lineRule="exact"/>
              <w:rPr>
                <w:sz w:val="20"/>
                <w:szCs w:val="20"/>
                <w:color w:val="auto"/>
              </w:rPr>
            </w:pPr>
            <w:r>
              <w:rPr>
                <w:rFonts w:ascii="Arial" w:cs="Arial" w:eastAsia="Arial" w:hAnsi="Arial"/>
                <w:sz w:val="14"/>
                <w:szCs w:val="14"/>
                <w:b w:val="1"/>
                <w:bCs w:val="1"/>
                <w:color w:val="auto"/>
              </w:rPr>
              <w:t>2025</w:t>
            </w:r>
          </w:p>
        </w:tc>
        <w:tc>
          <w:tcPr>
            <w:tcW w:w="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2"/>
              <w:spacing w:after="0" w:line="143"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2"/>
                <w:szCs w:val="12"/>
                <w:color w:val="auto"/>
              </w:rPr>
            </w:pPr>
          </w:p>
        </w:tc>
      </w:tr>
      <w:tr>
        <w:trPr>
          <w:trHeight w:val="175"/>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5"/>
                <w:szCs w:val="15"/>
                <w:color w:val="auto"/>
              </w:rPr>
            </w:pPr>
          </w:p>
        </w:tc>
        <w:tc>
          <w:tcPr>
            <w:tcW w:w="1060" w:type="dxa"/>
            <w:vAlign w:val="bottom"/>
            <w:gridSpan w:val="2"/>
          </w:tcPr>
          <w:p>
            <w:pPr>
              <w:jc w:val="center"/>
              <w:ind w:right="340"/>
              <w:spacing w:after="0" w:line="175" w:lineRule="exact"/>
              <w:rPr>
                <w:sz w:val="20"/>
                <w:szCs w:val="20"/>
                <w:color w:val="auto"/>
              </w:rPr>
            </w:pPr>
            <w:r>
              <w:rPr>
                <w:rFonts w:ascii="Arial" w:cs="Arial" w:eastAsia="Arial" w:hAnsi="Arial"/>
                <w:sz w:val="14"/>
                <w:szCs w:val="14"/>
                <w:b w:val="1"/>
                <w:bCs w:val="1"/>
                <w:color w:val="auto"/>
                <w:w w:val="97"/>
              </w:rPr>
              <w:t>Revised</w:t>
            </w:r>
            <w:r>
              <w:rPr>
                <w:rFonts w:ascii="Arial" w:cs="Arial" w:eastAsia="Arial" w:hAnsi="Arial"/>
                <w:sz w:val="20"/>
                <w:szCs w:val="20"/>
                <w:b w:val="1"/>
                <w:bCs w:val="1"/>
                <w:color w:val="auto"/>
                <w:w w:val="97"/>
                <w:vertAlign w:val="superscript"/>
              </w:rPr>
              <w:t>(2)</w:t>
            </w:r>
          </w:p>
        </w:tc>
      </w:tr>
      <w:tr>
        <w:trPr>
          <w:trHeight w:val="183"/>
        </w:trPr>
        <w:tc>
          <w:tcPr>
            <w:tcW w:w="1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5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175"/>
        </w:trPr>
        <w:tc>
          <w:tcPr>
            <w:tcW w:w="7580" w:type="dxa"/>
            <w:vAlign w:val="bottom"/>
            <w:gridSpan w:val="4"/>
          </w:tcPr>
          <w:p>
            <w:pPr>
              <w:spacing w:after="0" w:line="176"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20"/>
                <w:szCs w:val="20"/>
                <w:color w:val="auto"/>
                <w:vertAlign w:val="superscript"/>
              </w:rPr>
              <w:t>(1)</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7"/>
        </w:trPr>
        <w:tc>
          <w:tcPr>
            <w:tcW w:w="1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75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Legal Professionals</w:t>
            </w:r>
          </w:p>
        </w:tc>
        <w:tc>
          <w:tcPr>
            <w:tcW w:w="7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1,354</w:t>
            </w:r>
          </w:p>
        </w:tc>
      </w:tr>
      <w:tr>
        <w:trPr>
          <w:trHeight w:val="203"/>
        </w:trPr>
        <w:tc>
          <w:tcPr>
            <w:tcW w:w="7580" w:type="dxa"/>
            <w:vAlign w:val="bottom"/>
            <w:gridSpan w:val="4"/>
          </w:tcPr>
          <w:p>
            <w:pPr>
              <w:spacing w:after="0" w:line="202" w:lineRule="exact"/>
              <w:rPr>
                <w:sz w:val="20"/>
                <w:szCs w:val="20"/>
                <w:color w:val="auto"/>
              </w:rPr>
            </w:pPr>
            <w:r>
              <w:rPr>
                <w:rFonts w:ascii="Arial" w:cs="Arial" w:eastAsia="Arial" w:hAnsi="Arial"/>
                <w:sz w:val="18"/>
                <w:szCs w:val="18"/>
                <w:color w:val="auto"/>
              </w:rPr>
              <w:t>Corporates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727</w:t>
            </w:r>
          </w:p>
        </w:tc>
        <w:tc>
          <w:tcPr>
            <w:tcW w:w="1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727</w:t>
            </w:r>
          </w:p>
        </w:tc>
      </w:tr>
      <w:tr>
        <w:trPr>
          <w:trHeight w:val="203"/>
        </w:trPr>
        <w:tc>
          <w:tcPr>
            <w:tcW w:w="75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614</w:t>
            </w:r>
          </w:p>
        </w:tc>
      </w:tr>
      <w:tr>
        <w:trPr>
          <w:trHeight w:val="209"/>
        </w:trPr>
        <w:tc>
          <w:tcPr>
            <w:tcW w:w="7580" w:type="dxa"/>
            <w:vAlign w:val="bottom"/>
            <w:gridSpan w:val="4"/>
          </w:tcPr>
          <w:p>
            <w:pPr>
              <w:spacing w:after="0" w:line="210" w:lineRule="exact"/>
              <w:rPr>
                <w:sz w:val="20"/>
                <w:szCs w:val="20"/>
                <w:color w:val="auto"/>
              </w:rPr>
            </w:pPr>
            <w:r>
              <w:rPr>
                <w:rFonts w:ascii="Arial" w:cs="Arial" w:eastAsia="Arial" w:hAnsi="Arial"/>
                <w:sz w:val="17"/>
                <w:szCs w:val="17"/>
                <w:color w:val="auto"/>
              </w:rPr>
              <w:t>“Big 3” Segments Combined</w:t>
            </w:r>
            <w:r>
              <w:rPr>
                <w:rFonts w:ascii="Arial" w:cs="Arial" w:eastAsia="Arial" w:hAnsi="Arial"/>
                <w:sz w:val="24"/>
                <w:szCs w:val="24"/>
                <w:color w:val="auto"/>
                <w:vertAlign w:val="superscript"/>
              </w:rPr>
              <w:t>(1)</w:t>
            </w: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220" w:type="dxa"/>
            <w:vAlign w:val="bottom"/>
          </w:tcPr>
          <w:p>
            <w:pPr>
              <w:spacing w:after="0"/>
              <w:rPr>
                <w:sz w:val="18"/>
                <w:szCs w:val="18"/>
                <w:color w:val="auto"/>
              </w:rPr>
            </w:pPr>
          </w:p>
        </w:tc>
      </w:tr>
      <w:tr>
        <w:trPr>
          <w:trHeight w:val="203"/>
        </w:trPr>
        <w:tc>
          <w:tcPr>
            <w:tcW w:w="75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Reuters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174</w:t>
            </w:r>
          </w:p>
        </w:tc>
      </w:tr>
      <w:tr>
        <w:trPr>
          <w:trHeight w:val="203"/>
        </w:trPr>
        <w:tc>
          <w:tcPr>
            <w:tcW w:w="7580" w:type="dxa"/>
            <w:vAlign w:val="bottom"/>
            <w:gridSpan w:val="4"/>
          </w:tcPr>
          <w:p>
            <w:pPr>
              <w:spacing w:after="0" w:line="202" w:lineRule="exact"/>
              <w:rPr>
                <w:sz w:val="20"/>
                <w:szCs w:val="20"/>
                <w:color w:val="auto"/>
              </w:rPr>
            </w:pPr>
            <w:r>
              <w:rPr>
                <w:rFonts w:ascii="Arial" w:cs="Arial" w:eastAsia="Arial" w:hAnsi="Arial"/>
                <w:sz w:val="18"/>
                <w:szCs w:val="18"/>
                <w:color w:val="auto"/>
              </w:rPr>
              <w:t>Global Print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185</w:t>
            </w:r>
          </w:p>
        </w:tc>
        <w:tc>
          <w:tcPr>
            <w:tcW w:w="10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— </w:t>
            </w:r>
          </w:p>
        </w:tc>
      </w:tr>
      <w:tr>
        <w:trPr>
          <w:trHeight w:val="203"/>
        </w:trPr>
        <w:tc>
          <w:tcPr>
            <w:tcW w:w="75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 Center</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(252)</w:t>
            </w:r>
          </w:p>
        </w:tc>
      </w:tr>
      <w:tr>
        <w:trPr>
          <w:trHeight w:val="209"/>
        </w:trPr>
        <w:tc>
          <w:tcPr>
            <w:tcW w:w="7580" w:type="dxa"/>
            <w:vAlign w:val="bottom"/>
            <w:gridSpan w:val="4"/>
          </w:tcPr>
          <w:p>
            <w:pPr>
              <w:spacing w:after="0"/>
              <w:rPr>
                <w:sz w:val="20"/>
                <w:szCs w:val="20"/>
                <w:color w:val="auto"/>
              </w:rPr>
            </w:pPr>
            <w:r>
              <w:rPr>
                <w:rFonts w:ascii="Arial" w:cs="Arial" w:eastAsia="Arial" w:hAnsi="Arial"/>
                <w:sz w:val="18"/>
                <w:szCs w:val="18"/>
                <w:b w:val="1"/>
                <w:bCs w:val="1"/>
                <w:color w:val="auto"/>
              </w:rPr>
              <w:t>Total Adjusted EBITDA</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2,936</w:t>
            </w:r>
          </w:p>
        </w:tc>
        <w:tc>
          <w:tcPr>
            <w:tcW w:w="7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2,617</w:t>
            </w:r>
          </w:p>
        </w:tc>
        <w:tc>
          <w:tcPr>
            <w:tcW w:w="2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7"/>
        </w:trPr>
        <w:tc>
          <w:tcPr>
            <w:tcW w:w="7580" w:type="dxa"/>
            <w:vAlign w:val="bottom"/>
            <w:gridSpan w:val="4"/>
            <w:shd w:val="clear" w:color="auto" w:fill="CCEEFF"/>
          </w:tcPr>
          <w:p>
            <w:pPr>
              <w:spacing w:after="0" w:line="170" w:lineRule="exact"/>
              <w:rPr>
                <w:sz w:val="20"/>
                <w:szCs w:val="20"/>
                <w:color w:val="auto"/>
              </w:rPr>
            </w:pPr>
            <w:r>
              <w:rPr>
                <w:rFonts w:ascii="Arial" w:cs="Arial" w:eastAsia="Arial" w:hAnsi="Arial"/>
                <w:sz w:val="14"/>
                <w:szCs w:val="14"/>
                <w:b w:val="1"/>
                <w:bCs w:val="1"/>
                <w:color w:val="auto"/>
              </w:rPr>
              <w:t>“Big 3” Segments Combined</w:t>
            </w:r>
            <w:r>
              <w:rPr>
                <w:rFonts w:ascii="Arial" w:cs="Arial" w:eastAsia="Arial" w:hAnsi="Arial"/>
                <w:sz w:val="19"/>
                <w:szCs w:val="19"/>
                <w:color w:val="auto"/>
                <w:vertAlign w:val="superscript"/>
              </w:rPr>
              <w:t>(1)</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3"/>
        </w:trPr>
        <w:tc>
          <w:tcPr>
            <w:tcW w:w="2460" w:type="dxa"/>
            <w:vAlign w:val="bottom"/>
            <w:tcBorders>
              <w:top w:val="single" w:sz="8" w:color="auto"/>
            </w:tcBorders>
            <w:gridSpan w:val="3"/>
          </w:tcPr>
          <w:p>
            <w:pPr>
              <w:spacing w:after="0" w:line="202" w:lineRule="exact"/>
              <w:rPr>
                <w:sz w:val="20"/>
                <w:szCs w:val="20"/>
                <w:color w:val="auto"/>
              </w:rPr>
            </w:pPr>
            <w:r>
              <w:rPr>
                <w:rFonts w:ascii="Arial" w:cs="Arial" w:eastAsia="Arial" w:hAnsi="Arial"/>
                <w:sz w:val="18"/>
                <w:szCs w:val="18"/>
                <w:color w:val="auto"/>
              </w:rPr>
              <w:t>Adjusted EBITDA</w:t>
            </w:r>
          </w:p>
        </w:tc>
        <w:tc>
          <w:tcPr>
            <w:tcW w:w="51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gridSpan w:val="2"/>
          </w:tcPr>
          <w:p>
            <w:pPr>
              <w:ind w:left="64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tcBorders>
              <w:top w:val="single" w:sz="8" w:color="CCEEFF"/>
            </w:tcBorders>
            <w:gridSpan w:val="2"/>
          </w:tcPr>
          <w:p>
            <w:pPr>
              <w:jc w:val="right"/>
              <w:ind w:right="700"/>
              <w:spacing w:after="0" w:line="202" w:lineRule="exact"/>
              <w:rPr>
                <w:sz w:val="20"/>
                <w:szCs w:val="20"/>
                <w:color w:val="auto"/>
              </w:rPr>
            </w:pPr>
            <w:r>
              <w:rPr>
                <w:rFonts w:ascii="Arial" w:cs="Arial" w:eastAsia="Arial" w:hAnsi="Arial"/>
                <w:sz w:val="18"/>
                <w:szCs w:val="18"/>
                <w:color w:val="auto"/>
              </w:rPr>
              <w:t>2,695</w:t>
            </w:r>
          </w:p>
        </w:tc>
        <w:tc>
          <w:tcPr>
            <w:tcW w:w="100" w:type="dxa"/>
            <w:vAlign w:val="bottom"/>
            <w:tcBorders>
              <w:top w:val="single" w:sz="8" w:color="CCEEFF"/>
            </w:tcBorders>
          </w:tcPr>
          <w:p>
            <w:pPr>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tcBorders>
            <w:gridSpan w:val="2"/>
          </w:tcPr>
          <w:p>
            <w:pPr>
              <w:jc w:val="right"/>
              <w:ind w:right="220"/>
              <w:spacing w:after="0" w:line="202" w:lineRule="exact"/>
              <w:rPr>
                <w:sz w:val="20"/>
                <w:szCs w:val="20"/>
                <w:color w:val="auto"/>
              </w:rPr>
            </w:pPr>
            <w:r>
              <w:rPr>
                <w:rFonts w:ascii="Arial" w:cs="Arial" w:eastAsia="Arial" w:hAnsi="Arial"/>
                <w:sz w:val="18"/>
                <w:szCs w:val="18"/>
                <w:color w:val="auto"/>
              </w:rPr>
              <w:t>2,695</w:t>
            </w:r>
          </w:p>
        </w:tc>
      </w:tr>
      <w:tr>
        <w:trPr>
          <w:trHeight w:val="203"/>
        </w:trPr>
        <w:tc>
          <w:tcPr>
            <w:tcW w:w="75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Revenues, excluding $20 million of fair value adjustments to acquired deferred revenue</w:t>
            </w:r>
          </w:p>
        </w:tc>
        <w:tc>
          <w:tcPr>
            <w:tcW w:w="7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6,177</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6,177</w:t>
            </w:r>
          </w:p>
        </w:tc>
      </w:tr>
      <w:tr>
        <w:trPr>
          <w:trHeight w:val="203"/>
        </w:trPr>
        <w:tc>
          <w:tcPr>
            <w:tcW w:w="7580" w:type="dxa"/>
            <w:vAlign w:val="bottom"/>
            <w:gridSpan w:val="4"/>
          </w:tcPr>
          <w:p>
            <w:pPr>
              <w:spacing w:after="0" w:line="202" w:lineRule="exact"/>
              <w:rPr>
                <w:sz w:val="20"/>
                <w:szCs w:val="20"/>
                <w:color w:val="auto"/>
              </w:rPr>
            </w:pPr>
            <w:r>
              <w:rPr>
                <w:rFonts w:ascii="Arial" w:cs="Arial" w:eastAsia="Arial" w:hAnsi="Arial"/>
                <w:sz w:val="18"/>
                <w:szCs w:val="18"/>
                <w:color w:val="auto"/>
              </w:rPr>
              <w:t>Adjusted EBITDA margin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43.6%</w:t>
            </w:r>
          </w:p>
        </w:tc>
        <w:tc>
          <w:tcPr>
            <w:tcW w:w="1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43.6%</w:t>
            </w:r>
          </w:p>
        </w:tc>
      </w:tr>
      <w:tr>
        <w:trPr>
          <w:trHeight w:val="176"/>
        </w:trPr>
        <w:tc>
          <w:tcPr>
            <w:tcW w:w="7580" w:type="dxa"/>
            <w:vAlign w:val="bottom"/>
            <w:gridSpan w:val="4"/>
            <w:shd w:val="clear" w:color="auto" w:fill="CCEEFF"/>
          </w:tcPr>
          <w:p>
            <w:pPr>
              <w:spacing w:after="0" w:line="176" w:lineRule="exact"/>
              <w:rPr>
                <w:sz w:val="20"/>
                <w:szCs w:val="20"/>
                <w:color w:val="auto"/>
              </w:rPr>
            </w:pPr>
            <w:r>
              <w:rPr>
                <w:rFonts w:ascii="Arial" w:cs="Arial" w:eastAsia="Arial" w:hAnsi="Arial"/>
                <w:sz w:val="14"/>
                <w:szCs w:val="14"/>
                <w:b w:val="1"/>
                <w:bCs w:val="1"/>
                <w:color w:val="auto"/>
              </w:rPr>
              <w:t>Consolidated</w:t>
            </w:r>
            <w:r>
              <w:rPr>
                <w:rFonts w:ascii="Arial" w:cs="Arial" w:eastAsia="Arial" w:hAnsi="Arial"/>
                <w:sz w:val="20"/>
                <w:szCs w:val="20"/>
                <w:color w:val="auto"/>
                <w:vertAlign w:val="superscript"/>
              </w:rPr>
              <w:t>(1)</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7"/>
        </w:trPr>
        <w:tc>
          <w:tcPr>
            <w:tcW w:w="11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03"/>
        </w:trPr>
        <w:tc>
          <w:tcPr>
            <w:tcW w:w="7580" w:type="dxa"/>
            <w:vAlign w:val="bottom"/>
            <w:gridSpan w:val="4"/>
          </w:tcPr>
          <w:p>
            <w:pPr>
              <w:spacing w:after="0" w:line="202" w:lineRule="exact"/>
              <w:rPr>
                <w:sz w:val="20"/>
                <w:szCs w:val="20"/>
                <w:color w:val="auto"/>
              </w:rPr>
            </w:pPr>
            <w:r>
              <w:rPr>
                <w:rFonts w:ascii="Arial" w:cs="Arial" w:eastAsia="Arial" w:hAnsi="Arial"/>
                <w:sz w:val="18"/>
                <w:szCs w:val="18"/>
                <w:color w:val="auto"/>
              </w:rPr>
              <w:t>Adjusted EBITDA</w:t>
            </w:r>
          </w:p>
        </w:tc>
        <w:tc>
          <w:tcPr>
            <w:tcW w:w="760" w:type="dxa"/>
            <w:vAlign w:val="bottom"/>
            <w:gridSpan w:val="2"/>
          </w:tcPr>
          <w:p>
            <w:pPr>
              <w:ind w:left="64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2,936</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2,617</w:t>
            </w:r>
          </w:p>
        </w:tc>
      </w:tr>
      <w:tr>
        <w:trPr>
          <w:trHeight w:val="203"/>
        </w:trPr>
        <w:tc>
          <w:tcPr>
            <w:tcW w:w="75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Revenues, excluding $20 million of fair value adjustments to acquired deferred revenue</w:t>
            </w:r>
          </w:p>
        </w:tc>
        <w:tc>
          <w:tcPr>
            <w:tcW w:w="7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7,496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7,006</w:t>
            </w:r>
          </w:p>
        </w:tc>
      </w:tr>
      <w:tr>
        <w:trPr>
          <w:trHeight w:val="239"/>
        </w:trPr>
        <w:tc>
          <w:tcPr>
            <w:tcW w:w="7580" w:type="dxa"/>
            <w:vAlign w:val="bottom"/>
            <w:gridSpan w:val="4"/>
          </w:tcPr>
          <w:p>
            <w:pPr>
              <w:spacing w:after="0"/>
              <w:rPr>
                <w:sz w:val="20"/>
                <w:szCs w:val="20"/>
                <w:color w:val="auto"/>
              </w:rPr>
            </w:pPr>
            <w:r>
              <w:rPr>
                <w:rFonts w:ascii="Arial" w:cs="Arial" w:eastAsia="Arial" w:hAnsi="Arial"/>
                <w:sz w:val="18"/>
                <w:szCs w:val="18"/>
                <w:color w:val="auto"/>
              </w:rPr>
              <w:t>Adjusted EBITDA margin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r>
    </w:tbl>
    <w:p>
      <w:pPr>
        <w:spacing w:after="0" w:line="64"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Margins are computed using whole dollars, as a result, margins calculated from reported amounts may differ from those presented due to rounding.</w:t>
      </w:r>
    </w:p>
    <w:p>
      <w:pPr>
        <w:spacing w:after="0" w:line="200" w:lineRule="exact"/>
        <w:rPr>
          <w:sz w:val="20"/>
          <w:szCs w:val="20"/>
          <w:color w:val="auto"/>
        </w:rPr>
      </w:pP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Reconciliation of Net Debt</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and Leverage Ratio of Net Debt to Adjusted EBITDA</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4"/>
                <w:szCs w:val="14"/>
                <w:color w:val="auto"/>
              </w:rPr>
            </w:pPr>
          </w:p>
        </w:tc>
      </w:tr>
      <w:tr>
        <w:trPr>
          <w:trHeight w:val="196"/>
        </w:trPr>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indebtedness</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565</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7"/>
                <w:szCs w:val="17"/>
                <w:color w:val="auto"/>
              </w:rPr>
            </w:pPr>
          </w:p>
        </w:tc>
      </w:tr>
      <w:tr>
        <w:trPr>
          <w:trHeight w:val="210"/>
        </w:trPr>
        <w:tc>
          <w:tcPr>
            <w:tcW w:w="7680" w:type="dxa"/>
            <w:vAlign w:val="bottom"/>
          </w:tcPr>
          <w:p>
            <w:pPr>
              <w:spacing w:after="0" w:line="202" w:lineRule="exact"/>
              <w:rPr>
                <w:sz w:val="20"/>
                <w:szCs w:val="20"/>
                <w:color w:val="auto"/>
              </w:rPr>
            </w:pPr>
            <w:r>
              <w:rPr>
                <w:rFonts w:ascii="Arial" w:cs="Arial" w:eastAsia="Arial" w:hAnsi="Arial"/>
                <w:sz w:val="18"/>
                <w:szCs w:val="18"/>
                <w:color w:val="auto"/>
              </w:rPr>
              <w:t>Long-term indebtedness</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3,247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1,328</w:t>
            </w:r>
          </w:p>
        </w:tc>
        <w:tc>
          <w:tcPr>
            <w:tcW w:w="120" w:type="dxa"/>
            <w:vAlign w:val="bottom"/>
          </w:tcPr>
          <w:p>
            <w:pPr>
              <w:spacing w:after="0"/>
              <w:rPr>
                <w:sz w:val="18"/>
                <w:szCs w:val="18"/>
                <w:color w:val="auto"/>
              </w:rPr>
            </w:pPr>
          </w:p>
        </w:tc>
      </w:tr>
      <w:tr>
        <w:trPr>
          <w:trHeight w:val="203"/>
        </w:trPr>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debt</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3,812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2,123</w:t>
            </w:r>
          </w:p>
        </w:tc>
      </w:tr>
      <w:tr>
        <w:trPr>
          <w:trHeight w:val="210"/>
        </w:trPr>
        <w:tc>
          <w:tcPr>
            <w:tcW w:w="7680" w:type="dxa"/>
            <w:vAlign w:val="bottom"/>
          </w:tcPr>
          <w:p>
            <w:pPr>
              <w:spacing w:after="0" w:line="202" w:lineRule="exact"/>
              <w:rPr>
                <w:sz w:val="20"/>
                <w:szCs w:val="20"/>
                <w:color w:val="auto"/>
              </w:rPr>
            </w:pPr>
            <w:r>
              <w:rPr>
                <w:rFonts w:ascii="Arial" w:cs="Arial" w:eastAsia="Arial" w:hAnsi="Arial"/>
                <w:sz w:val="18"/>
                <w:szCs w:val="18"/>
                <w:color w:val="auto"/>
              </w:rPr>
              <w:t>Swaps</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r>
      <w:tr>
        <w:trPr>
          <w:trHeight w:val="203"/>
        </w:trPr>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debt after swaps</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3,920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2,139</w:t>
            </w:r>
          </w:p>
        </w:tc>
      </w:tr>
      <w:tr>
        <w:trPr>
          <w:trHeight w:val="209"/>
        </w:trPr>
        <w:tc>
          <w:tcPr>
            <w:tcW w:w="7680" w:type="dxa"/>
            <w:vAlign w:val="bottom"/>
          </w:tcPr>
          <w:p>
            <w:pPr>
              <w:spacing w:after="0" w:line="202" w:lineRule="exact"/>
              <w:rPr>
                <w:sz w:val="20"/>
                <w:szCs w:val="20"/>
                <w:color w:val="auto"/>
              </w:rPr>
            </w:pPr>
            <w:r>
              <w:rPr>
                <w:rFonts w:ascii="Arial" w:cs="Arial" w:eastAsia="Arial" w:hAnsi="Arial"/>
                <w:sz w:val="18"/>
                <w:szCs w:val="18"/>
                <w:color w:val="auto"/>
              </w:rPr>
              <w:t>Remove fair value adjustments for hedges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3"/>
        </w:trPr>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debt after hedging arrangements</w:t>
            </w:r>
          </w:p>
        </w:tc>
        <w:tc>
          <w:tcPr>
            <w:tcW w:w="6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3,919</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2,137</w:t>
            </w:r>
          </w:p>
        </w:tc>
        <w:tc>
          <w:tcPr>
            <w:tcW w:w="120" w:type="dxa"/>
            <w:vAlign w:val="bottom"/>
            <w:shd w:val="clear" w:color="auto" w:fill="CCEEFF"/>
          </w:tcPr>
          <w:p>
            <w:pPr>
              <w:spacing w:after="0"/>
              <w:rPr>
                <w:sz w:val="17"/>
                <w:szCs w:val="17"/>
                <w:color w:val="auto"/>
              </w:rPr>
            </w:pP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Collateral assets</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r>
      <w:tr>
        <w:trPr>
          <w:trHeight w:val="203"/>
        </w:trPr>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Remove transaction costs, premiums or discounts, included in the carrying value of debt</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Add: Lease liabilities (current and non-current)</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228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249</w:t>
            </w:r>
          </w:p>
        </w:tc>
      </w:tr>
      <w:tr>
        <w:trPr>
          <w:trHeight w:val="203"/>
        </w:trPr>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Cash and cash equivalents</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(1,394)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(511)</w:t>
            </w:r>
          </w:p>
        </w:tc>
      </w:tr>
      <w:tr>
        <w:trPr>
          <w:trHeight w:val="210"/>
        </w:trPr>
        <w:tc>
          <w:tcPr>
            <w:tcW w:w="7680" w:type="dxa"/>
            <w:vAlign w:val="bottom"/>
          </w:tcPr>
          <w:p>
            <w:pPr>
              <w:spacing w:after="0"/>
              <w:rPr>
                <w:sz w:val="20"/>
                <w:szCs w:val="20"/>
                <w:color w:val="auto"/>
              </w:rPr>
            </w:pPr>
            <w:r>
              <w:rPr>
                <w:rFonts w:ascii="Arial" w:cs="Arial" w:eastAsia="Arial" w:hAnsi="Arial"/>
                <w:sz w:val="18"/>
                <w:szCs w:val="18"/>
                <w:color w:val="auto"/>
              </w:rPr>
              <w:t>Net debt</w:t>
            </w:r>
          </w:p>
        </w:tc>
        <w:tc>
          <w:tcPr>
            <w:tcW w:w="6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Leverage ratio of net debt to adjusted EBITDA</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6"/>
                <w:szCs w:val="16"/>
                <w:color w:val="auto"/>
              </w:rPr>
              <w:t>Adjusted EBITDA</w:t>
            </w:r>
            <w:r>
              <w:rPr>
                <w:rFonts w:ascii="Arial" w:cs="Arial" w:eastAsia="Arial" w:hAnsi="Arial"/>
                <w:sz w:val="23"/>
                <w:szCs w:val="23"/>
                <w:color w:val="auto"/>
                <w:vertAlign w:val="superscript"/>
              </w:rPr>
              <w:t>(2)</w:t>
            </w:r>
          </w:p>
        </w:tc>
        <w:tc>
          <w:tcPr>
            <w:tcW w:w="880" w:type="dxa"/>
            <w:vAlign w:val="bottom"/>
            <w:gridSpan w:val="2"/>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2,827</w:t>
            </w:r>
          </w:p>
        </w:tc>
        <w:tc>
          <w:tcPr>
            <w:tcW w:w="4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2,617</w:t>
            </w:r>
          </w:p>
        </w:tc>
      </w:tr>
      <w:tr>
        <w:trPr>
          <w:trHeight w:val="203"/>
        </w:trPr>
        <w:tc>
          <w:tcPr>
            <w:tcW w:w="76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Net debt/adjusted EBITDA</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0.7:1</w:t>
            </w:r>
          </w:p>
        </w:tc>
      </w:tr>
      <w:tr>
        <w:trPr>
          <w:trHeight w:val="20"/>
        </w:trPr>
        <w:tc>
          <w:tcPr>
            <w:tcW w:w="7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ind w:left="424" w:hanging="424"/>
        <w:spacing w:after="0"/>
        <w:tabs>
          <w:tab w:leader="none" w:pos="424"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Refer to page 23 for additional information on non-IFRS financial measures.</w:t>
      </w:r>
    </w:p>
    <w:p>
      <w:pPr>
        <w:spacing w:after="0" w:line="15" w:lineRule="exact"/>
        <w:rPr>
          <w:rFonts w:ascii="Arial" w:cs="Arial" w:eastAsia="Arial" w:hAnsi="Arial"/>
          <w:sz w:val="14"/>
          <w:szCs w:val="14"/>
          <w:color w:val="auto"/>
        </w:rPr>
      </w:pPr>
    </w:p>
    <w:p>
      <w:pPr>
        <w:ind w:left="424" w:hanging="424"/>
        <w:spacing w:after="0"/>
        <w:tabs>
          <w:tab w:leader="none" w:pos="424"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Revised to reflect the Global Print business as discontinued operations for the year ended December 31, 2025.</w:t>
      </w:r>
    </w:p>
    <w:p>
      <w:pPr>
        <w:sectPr>
          <w:pgSz w:w="11900" w:h="16838" w:orient="portrait"/>
          <w:cols w:equalWidth="0" w:num="1">
            <w:col w:w="11024"/>
          </w:cols>
          <w:pgMar w:left="436" w:top="1093" w:right="439" w:bottom="1440" w:gutter="0" w:footer="0" w:header="0"/>
        </w:sectPr>
      </w:pPr>
    </w:p>
    <w:bookmarkStart w:id="25" w:name="page26"/>
    <w:bookmarkEnd w:id="2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34440" cy="4629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Thomson Reuters Reports Third-Quarter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23 of 23</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780" w:type="dxa"/>
            <w:vAlign w:val="bottom"/>
            <w:tcBorders>
              <w:top w:val="single" w:sz="8" w:color="auto"/>
              <w:left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Non-IFRS Financial</w:t>
            </w:r>
          </w:p>
        </w:tc>
        <w:tc>
          <w:tcPr>
            <w:tcW w:w="4780" w:type="dxa"/>
            <w:vAlign w:val="bottom"/>
            <w:tcBorders>
              <w:top w:val="single" w:sz="8" w:color="auto"/>
              <w:right w:val="single" w:sz="8" w:color="auto"/>
            </w:tcBorders>
          </w:tcPr>
          <w:p>
            <w:pPr>
              <w:spacing w:after="0"/>
              <w:rPr>
                <w:sz w:val="14"/>
                <w:szCs w:val="14"/>
                <w:color w:val="auto"/>
              </w:rPr>
            </w:pPr>
          </w:p>
        </w:tc>
        <w:tc>
          <w:tcPr>
            <w:tcW w:w="448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4"/>
                <w:szCs w:val="14"/>
                <w:b w:val="1"/>
                <w:bCs w:val="1"/>
                <w:color w:val="auto"/>
              </w:rPr>
              <w:t>Measures</w:t>
            </w:r>
          </w:p>
        </w:tc>
        <w:tc>
          <w:tcPr>
            <w:tcW w:w="4780" w:type="dxa"/>
            <w:vAlign w:val="bottom"/>
            <w:tcBorders>
              <w:bottom w:val="single" w:sz="8" w:color="auto"/>
              <w:right w:val="single" w:sz="8" w:color="auto"/>
            </w:tcBorders>
          </w:tcPr>
          <w:p>
            <w:pPr>
              <w:ind w:left="2160"/>
              <w:spacing w:after="0"/>
              <w:rPr>
                <w:sz w:val="20"/>
                <w:szCs w:val="20"/>
                <w:color w:val="auto"/>
              </w:rPr>
            </w:pPr>
            <w:r>
              <w:rPr>
                <w:rFonts w:ascii="Arial" w:cs="Arial" w:eastAsia="Arial" w:hAnsi="Arial"/>
                <w:sz w:val="14"/>
                <w:szCs w:val="14"/>
                <w:b w:val="1"/>
                <w:bCs w:val="1"/>
                <w:color w:val="auto"/>
              </w:rPr>
              <w:t>Definition</w:t>
            </w:r>
          </w:p>
        </w:tc>
        <w:tc>
          <w:tcPr>
            <w:tcW w:w="448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4"/>
                <w:szCs w:val="14"/>
                <w:b w:val="1"/>
                <w:bCs w:val="1"/>
                <w:color w:val="auto"/>
              </w:rPr>
              <w:t>Why Useful to the Company and Investors</w:t>
            </w: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Adjusted EBITDA</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Represents earnings or losses from continuing</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a consistent basis to evaluate operating</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and the related</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operations before tax expense or benefit, net interest</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profitability and performance trends by excluding</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margin</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expense, other finance costs or income, depreciation,</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items that the company does not consider to be</w:t>
            </w:r>
          </w:p>
        </w:tc>
        <w:tc>
          <w:tcPr>
            <w:tcW w:w="0" w:type="dxa"/>
            <w:vAlign w:val="bottom"/>
          </w:tcPr>
          <w:p>
            <w:pPr>
              <w:spacing w:after="0"/>
              <w:rPr>
                <w:sz w:val="1"/>
                <w:szCs w:val="1"/>
                <w:color w:val="auto"/>
              </w:rPr>
            </w:pPr>
          </w:p>
        </w:tc>
      </w:tr>
      <w:tr>
        <w:trPr>
          <w:trHeight w:val="202"/>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amortization of software and other identifiable intangible</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controllable activities for this purpose. Also,</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assets, Thomson Reuters share of post-tax earnings or</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represents a measure commonly reported and widely</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losses in equity method investments, other operating</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used by investors as a valuation metric, as well as to</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gains and losses, certain asset impairment charges and</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assess the company’s ability to incur and service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fair value adjustments, including those related to</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debt.</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acquired deferred revenue. The related margin is</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adjusted EBITDA expressed as a percentage of</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revenues. For purposes of this calculation, revenues are</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before fair value adjustments to acquired deferred</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revenue.</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Adjusted earnings</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Net earnings or loss including dividends declared on</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a more comparable basis to analyze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and adjusted EPS</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preference shares but excluding the post-tax impacts of</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fair value adjustments, including those related to</w:t>
            </w:r>
          </w:p>
        </w:tc>
        <w:tc>
          <w:tcPr>
            <w:tcW w:w="4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These measures are commonly used by shareholders</w:t>
            </w:r>
          </w:p>
        </w:tc>
        <w:tc>
          <w:tcPr>
            <w:tcW w:w="0" w:type="dxa"/>
            <w:vAlign w:val="bottom"/>
          </w:tcPr>
          <w:p>
            <w:pPr>
              <w:spacing w:after="0"/>
              <w:rPr>
                <w:sz w:val="1"/>
                <w:szCs w:val="1"/>
                <w:color w:val="auto"/>
              </w:rPr>
            </w:pPr>
          </w:p>
        </w:tc>
      </w:tr>
      <w:tr>
        <w:trPr>
          <w:trHeight w:val="121"/>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acquired deferred revenue, amortization of acquired</w:t>
            </w:r>
          </w:p>
        </w:tc>
        <w:tc>
          <w:tcPr>
            <w:tcW w:w="4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continue"/>
          </w:tcPr>
          <w:p>
            <w:pPr>
              <w:spacing w:after="0"/>
              <w:rPr>
                <w:sz w:val="7"/>
                <w:szCs w:val="7"/>
                <w:color w:val="auto"/>
              </w:rPr>
            </w:pPr>
          </w:p>
        </w:tc>
        <w:tc>
          <w:tcPr>
            <w:tcW w:w="4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to measure performance.</w:t>
            </w:r>
          </w:p>
        </w:tc>
        <w:tc>
          <w:tcPr>
            <w:tcW w:w="0" w:type="dxa"/>
            <w:vAlign w:val="bottom"/>
          </w:tcPr>
          <w:p>
            <w:pPr>
              <w:spacing w:after="0"/>
              <w:rPr>
                <w:sz w:val="1"/>
                <w:szCs w:val="1"/>
                <w:color w:val="auto"/>
              </w:rPr>
            </w:pPr>
          </w:p>
        </w:tc>
      </w:tr>
      <w:tr>
        <w:trPr>
          <w:trHeight w:val="158"/>
        </w:trPr>
        <w:tc>
          <w:tcPr>
            <w:tcW w:w="1780" w:type="dxa"/>
            <w:vAlign w:val="bottom"/>
            <w:tcBorders>
              <w:left w:val="single" w:sz="8" w:color="auto"/>
              <w:right w:val="single" w:sz="8" w:color="auto"/>
            </w:tcBorders>
          </w:tcPr>
          <w:p>
            <w:pPr>
              <w:spacing w:after="0"/>
              <w:rPr>
                <w:sz w:val="13"/>
                <w:szCs w:val="13"/>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intangible assets (attributable to other identifiable</w:t>
            </w:r>
          </w:p>
        </w:tc>
        <w:tc>
          <w:tcPr>
            <w:tcW w:w="44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1780" w:type="dxa"/>
            <w:vAlign w:val="bottom"/>
            <w:tcBorders>
              <w:left w:val="single" w:sz="8" w:color="auto"/>
              <w:right w:val="single" w:sz="8" w:color="auto"/>
            </w:tcBorders>
          </w:tcPr>
          <w:p>
            <w:pPr>
              <w:spacing w:after="0"/>
              <w:rPr>
                <w:sz w:val="3"/>
                <w:szCs w:val="3"/>
                <w:color w:val="auto"/>
              </w:rPr>
            </w:pPr>
          </w:p>
        </w:tc>
        <w:tc>
          <w:tcPr>
            <w:tcW w:w="4780" w:type="dxa"/>
            <w:vAlign w:val="bottom"/>
            <w:tcBorders>
              <w:right w:val="single" w:sz="8" w:color="auto"/>
            </w:tcBorders>
            <w:vMerge w:val="continue"/>
          </w:tcPr>
          <w:p>
            <w:pPr>
              <w:spacing w:after="0"/>
              <w:rPr>
                <w:sz w:val="3"/>
                <w:szCs w:val="3"/>
                <w:color w:val="auto"/>
              </w:rPr>
            </w:pPr>
          </w:p>
        </w:tc>
        <w:tc>
          <w:tcPr>
            <w:tcW w:w="44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intangible assets and acquired software), other operating</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gains and losses, certain asset impairment charges,</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other finance costs or income, Thomson Reuters share</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of post-tax earnings or losses in equity method</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investments, discontinued operations and other items</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affecting comparability. Acquired intangible assets</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contribute to the generation of revenues from acquired</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companies, which are included in the company’s</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computation of adjusted earnings.</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780" w:type="dxa"/>
            <w:vAlign w:val="bottom"/>
            <w:tcBorders>
              <w:left w:val="single" w:sz="8" w:color="auto"/>
              <w:right w:val="single" w:sz="8" w:color="auto"/>
            </w:tcBorders>
          </w:tcPr>
          <w:p>
            <w:pPr>
              <w:spacing w:after="0"/>
              <w:rPr>
                <w:sz w:val="24"/>
                <w:szCs w:val="24"/>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post-tax amount of each item is excluded from</w:t>
            </w:r>
          </w:p>
        </w:tc>
        <w:tc>
          <w:tcPr>
            <w:tcW w:w="4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adjusted earnings based on the specific tax rules and tax</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rates associated with the nature and jurisdiction of each</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item.</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780" w:type="dxa"/>
            <w:vAlign w:val="bottom"/>
            <w:tcBorders>
              <w:left w:val="single" w:sz="8" w:color="auto"/>
              <w:right w:val="single" w:sz="8" w:color="auto"/>
            </w:tcBorders>
          </w:tcPr>
          <w:p>
            <w:pPr>
              <w:spacing w:after="0"/>
              <w:rPr>
                <w:sz w:val="24"/>
                <w:szCs w:val="24"/>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Adjusted EPS is calculated from adjusted earnings using</w:t>
            </w:r>
          </w:p>
        </w:tc>
        <w:tc>
          <w:tcPr>
            <w:tcW w:w="4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diluted weighted-average shares and does not represent</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actual earnings or loss per share attributable to</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shareholders.</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780" w:type="dxa"/>
            <w:vAlign w:val="bottom"/>
            <w:tcBorders>
              <w:left w:val="single" w:sz="8" w:color="auto"/>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Effective tax rate</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Adjusted tax expense divided by pre-tax adjusted</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a basis to analyze the effective tax rate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on adjusted</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earnings. Adjusted tax expense is computed as income</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associated with adjusted earnings.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earnings</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tax expense or benefit plus or minus the income tax</w:t>
            </w:r>
          </w:p>
        </w:tc>
        <w:tc>
          <w:tcPr>
            <w:tcW w:w="4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The company’s effective tax rate computed in</w:t>
            </w:r>
          </w:p>
        </w:tc>
        <w:tc>
          <w:tcPr>
            <w:tcW w:w="0" w:type="dxa"/>
            <w:vAlign w:val="bottom"/>
          </w:tcPr>
          <w:p>
            <w:pPr>
              <w:spacing w:after="0"/>
              <w:rPr>
                <w:sz w:val="1"/>
                <w:szCs w:val="1"/>
                <w:color w:val="auto"/>
              </w:rPr>
            </w:pPr>
          </w:p>
        </w:tc>
      </w:tr>
      <w:tr>
        <w:trPr>
          <w:trHeight w:val="121"/>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impacts of all items impacting adjusted earnings (as</w:t>
            </w:r>
          </w:p>
        </w:tc>
        <w:tc>
          <w:tcPr>
            <w:tcW w:w="4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continue"/>
          </w:tcPr>
          <w:p>
            <w:pPr>
              <w:spacing w:after="0"/>
              <w:rPr>
                <w:sz w:val="7"/>
                <w:szCs w:val="7"/>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accordance with IFRS may be more volatile by</w:t>
            </w:r>
          </w:p>
        </w:tc>
        <w:tc>
          <w:tcPr>
            <w:tcW w:w="0" w:type="dxa"/>
            <w:vAlign w:val="bottom"/>
          </w:tcPr>
          <w:p>
            <w:pPr>
              <w:spacing w:after="0"/>
              <w:rPr>
                <w:sz w:val="1"/>
                <w:szCs w:val="1"/>
                <w:color w:val="auto"/>
              </w:rPr>
            </w:pPr>
          </w:p>
        </w:tc>
      </w:tr>
      <w:tr>
        <w:trPr>
          <w:trHeight w:val="121"/>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described above), and other tax items impacting</w:t>
            </w:r>
          </w:p>
        </w:tc>
        <w:tc>
          <w:tcPr>
            <w:tcW w:w="4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continue"/>
          </w:tcPr>
          <w:p>
            <w:pPr>
              <w:spacing w:after="0"/>
              <w:rPr>
                <w:sz w:val="7"/>
                <w:szCs w:val="7"/>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quarter because the geographical mix of pre-tax</w:t>
            </w:r>
          </w:p>
        </w:tc>
        <w:tc>
          <w:tcPr>
            <w:tcW w:w="0" w:type="dxa"/>
            <w:vAlign w:val="bottom"/>
          </w:tcPr>
          <w:p>
            <w:pPr>
              <w:spacing w:after="0"/>
              <w:rPr>
                <w:sz w:val="1"/>
                <w:szCs w:val="1"/>
                <w:color w:val="auto"/>
              </w:rPr>
            </w:pPr>
          </w:p>
        </w:tc>
      </w:tr>
      <w:tr>
        <w:trPr>
          <w:trHeight w:val="121"/>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comparability.</w:t>
            </w:r>
          </w:p>
        </w:tc>
        <w:tc>
          <w:tcPr>
            <w:tcW w:w="4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continue"/>
          </w:tcPr>
          <w:p>
            <w:pPr>
              <w:spacing w:after="0"/>
              <w:rPr>
                <w:sz w:val="10"/>
                <w:szCs w:val="10"/>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profits and losses in interim periods may be different</w:t>
            </w:r>
          </w:p>
        </w:tc>
        <w:tc>
          <w:tcPr>
            <w:tcW w:w="0" w:type="dxa"/>
            <w:vAlign w:val="bottom"/>
          </w:tcPr>
          <w:p>
            <w:pPr>
              <w:spacing w:after="0"/>
              <w:rPr>
                <w:sz w:val="1"/>
                <w:szCs w:val="1"/>
                <w:color w:val="auto"/>
              </w:rPr>
            </w:pPr>
          </w:p>
        </w:tc>
      </w:tr>
      <w:tr>
        <w:trPr>
          <w:trHeight w:val="85"/>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tcPr>
          <w:p>
            <w:pPr>
              <w:spacing w:after="0"/>
              <w:rPr>
                <w:sz w:val="7"/>
                <w:szCs w:val="7"/>
                <w:color w:val="auto"/>
              </w:rPr>
            </w:pPr>
          </w:p>
        </w:tc>
        <w:tc>
          <w:tcPr>
            <w:tcW w:w="4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 interim periods, the company also makes an</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from that for the full year. Therefore, the company</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adjustment to reflect income taxes based on the</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believes that using the expected full-year effective tax</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estimated full-year effective tax rate. Earnings or losses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rate provides more comparability among interim</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for interim periods under IFRS reflect income taxes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periods.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based on the estimated effective tax rates of each of the</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jurisdictions in which Thomson Reuters operates. The</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non-IFRS adjustment reallocates estimated full-year</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income taxes between interim periods but has no effect</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on full-year income taxes.</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780" w:type="dxa"/>
            <w:vAlign w:val="bottom"/>
            <w:tcBorders>
              <w:left w:val="single" w:sz="8" w:color="auto"/>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Free cash flow</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Net cash provided by operating activities and other</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Helps assess the company’s ability, over the long</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investing activities, less capital expenditures, payments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term, to create value for its shareholders as it</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of lease principal and dividends paid on the company’s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represents cash available to repay debt, pay common</w:t>
            </w: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preference shares.</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dividends, fund share repurchases and acquisitions.</w:t>
            </w:r>
          </w:p>
        </w:tc>
        <w:tc>
          <w:tcPr>
            <w:tcW w:w="0" w:type="dxa"/>
            <w:vAlign w:val="bottom"/>
          </w:tcPr>
          <w:p>
            <w:pPr>
              <w:spacing w:after="0"/>
              <w:rPr>
                <w:sz w:val="1"/>
                <w:szCs w:val="1"/>
                <w:color w:val="auto"/>
              </w:rPr>
            </w:pPr>
          </w:p>
        </w:tc>
      </w:tr>
      <w:tr>
        <w:trPr>
          <w:trHeight w:val="37"/>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Changes before</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changes in revenues, adjusted EBITDA and the</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better comparability of business trends from</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the impact of</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related margin, and adjusted EPS before currency (at</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period to period.</w:t>
            </w:r>
          </w:p>
        </w:tc>
        <w:tc>
          <w:tcPr>
            <w:tcW w:w="0" w:type="dxa"/>
            <w:vAlign w:val="bottom"/>
          </w:tcPr>
          <w:p>
            <w:pPr>
              <w:spacing w:after="0"/>
              <w:rPr>
                <w:sz w:val="1"/>
                <w:szCs w:val="1"/>
                <w:color w:val="auto"/>
              </w:rPr>
            </w:pPr>
          </w:p>
        </w:tc>
      </w:tr>
      <w:tr>
        <w:trPr>
          <w:trHeight w:val="202"/>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foreign currency or</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constant currency or excluding the effects of currency)</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at constant</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are determined by converting the current and equivalent</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currency</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prior period’s local currency results using the same</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foreign currency exchange rate.</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Changes in</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Represent changes in revenues of the company’s</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further insight into the performance of the</w:t>
            </w:r>
          </w:p>
        </w:tc>
        <w:tc>
          <w:tcPr>
            <w:tcW w:w="0" w:type="dxa"/>
            <w:vAlign w:val="bottom"/>
          </w:tcPr>
          <w:p>
            <w:pPr>
              <w:spacing w:after="0"/>
              <w:rPr>
                <w:sz w:val="1"/>
                <w:szCs w:val="1"/>
                <w:color w:val="auto"/>
              </w:rPr>
            </w:pPr>
          </w:p>
        </w:tc>
      </w:tr>
      <w:tr>
        <w:trPr>
          <w:trHeight w:val="202"/>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revenues</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existing businesses at constant currency. The metric</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company’s existing businesses by excluding distortive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computed on an</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excludes the distortive impacts of acquisitions and</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impacts and serves as a better measure of the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organic basis</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dispositions from not owning the business in both</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company’s ability to grow its business over the long</w:t>
            </w: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comparable periods.</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term.</w:t>
            </w:r>
          </w:p>
        </w:tc>
        <w:tc>
          <w:tcPr>
            <w:tcW w:w="0" w:type="dxa"/>
            <w:vAlign w:val="bottom"/>
          </w:tcPr>
          <w:p>
            <w:pPr>
              <w:spacing w:after="0"/>
              <w:rPr>
                <w:sz w:val="1"/>
                <w:szCs w:val="1"/>
                <w:color w:val="auto"/>
              </w:rPr>
            </w:pPr>
          </w:p>
        </w:tc>
      </w:tr>
      <w:tr>
        <w:trPr>
          <w:trHeight w:val="36"/>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
        </w:trPr>
        <w:tc>
          <w:tcPr>
            <w:tcW w:w="1780" w:type="dxa"/>
            <w:vAlign w:val="bottom"/>
            <w:tcBorders>
              <w:left w:val="single" w:sz="8" w:color="auto"/>
              <w:right w:val="single" w:sz="8" w:color="auto"/>
            </w:tcBorders>
          </w:tcPr>
          <w:p>
            <w:pPr>
              <w:spacing w:after="0"/>
              <w:rPr>
                <w:sz w:val="3"/>
                <w:szCs w:val="3"/>
                <w:color w:val="auto"/>
              </w:rPr>
            </w:pPr>
          </w:p>
        </w:tc>
        <w:tc>
          <w:tcPr>
            <w:tcW w:w="4780" w:type="dxa"/>
            <w:vAlign w:val="bottom"/>
            <w:tcBorders>
              <w:right w:val="single" w:sz="8" w:color="auto"/>
            </w:tcBorders>
          </w:tcPr>
          <w:p>
            <w:pPr>
              <w:spacing w:after="0"/>
              <w:rPr>
                <w:sz w:val="3"/>
                <w:szCs w:val="3"/>
                <w:color w:val="auto"/>
              </w:rPr>
            </w:pPr>
          </w:p>
        </w:tc>
        <w:tc>
          <w:tcPr>
            <w:tcW w:w="44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900" w:orient="portrait"/>
          <w:cols w:equalWidth="0" w:num="1">
            <w:col w:w="11020"/>
          </w:cols>
          <w:pgMar w:left="440" w:top="1106" w:right="439" w:bottom="0" w:gutter="0" w:footer="0" w:header="0"/>
        </w:sectPr>
      </w:pPr>
    </w:p>
    <w:bookmarkStart w:id="26" w:name="page27"/>
    <w:bookmarkEnd w:id="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Accrued capital</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9"/>
              </w:rPr>
              <w:t>Accrued capital expenditures divided by revenues, where</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Reflects the basis on which the company manages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expenditures as a</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accrued capital expenditures include amounts that</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capital expenditures for internal planning purposes.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percentage of</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remain unpaid at the end of the reporting period. For</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revenues</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purposes of this calculation, revenues are before fair</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value adjustments to acquired deferred revenue.</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“Big 3” segments</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company’s combined Legal Professionals,</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“Big 3” segments comprised approximately 89%</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Corporates and Tax, Audit &amp; Accounting Professionals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revenues and represent the core of the company’s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segments. All measures reported for the “Big 3”</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business information service product offerings.</w:t>
            </w: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segments are non-IFRS financial measures.</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Net debt and</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Net debt is total debt, plus related hedging instruments</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a commonly used measure of a company’s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leverage ratio of</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and collateral balances, along with lease liabilities,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leverage and its ability to pay its debt. Given that the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net debt to</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excluding unamortized transaction costs and any</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hedges some of its debt to manage risk, the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adjusted EBITDA</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premiums or discounts on debt, minus cash and cash</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includes hedging instruments as it believes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equivalents. We exclude specific hedging components to</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it provides a better measure of the total obligation</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reflect the net cash outflow upon debt maturity.</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associated with its outstanding debt. Since the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Net debt to adjusted EBITDA is net debt divided by</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plans to hold its debt and related hedges</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continue"/>
          </w:tcPr>
          <w:p>
            <w:pPr>
              <w:spacing w:after="0"/>
              <w:rPr>
                <w:sz w:val="10"/>
                <w:szCs w:val="10"/>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until maturity, the net debt calculation is adjusted to</w:t>
            </w: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adjusted EBITDA for the previous twelve-month period</w:t>
            </w:r>
          </w:p>
        </w:tc>
        <w:tc>
          <w:tcPr>
            <w:tcW w:w="4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continue"/>
          </w:tcPr>
          <w:p>
            <w:pPr>
              <w:spacing w:after="0"/>
              <w:rPr>
                <w:sz w:val="10"/>
                <w:szCs w:val="10"/>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reflect the net cash outflow at maturity, after deducting</w:t>
            </w: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ending with the current fiscal quarter.</w:t>
            </w:r>
          </w:p>
        </w:tc>
        <w:tc>
          <w:tcPr>
            <w:tcW w:w="4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780" w:type="dxa"/>
            <w:vAlign w:val="bottom"/>
            <w:tcBorders>
              <w:left w:val="single" w:sz="8" w:color="auto"/>
              <w:right w:val="single" w:sz="8" w:color="auto"/>
            </w:tcBorders>
          </w:tcPr>
          <w:p>
            <w:pPr>
              <w:spacing w:after="0"/>
              <w:rPr>
                <w:sz w:val="13"/>
                <w:szCs w:val="13"/>
                <w:color w:val="auto"/>
              </w:rPr>
            </w:pPr>
          </w:p>
        </w:tc>
        <w:tc>
          <w:tcPr>
            <w:tcW w:w="4780" w:type="dxa"/>
            <w:vAlign w:val="bottom"/>
            <w:tcBorders>
              <w:right w:val="single" w:sz="8" w:color="auto"/>
            </w:tcBorders>
            <w:vMerge w:val="continue"/>
          </w:tcPr>
          <w:p>
            <w:pPr>
              <w:spacing w:after="0"/>
              <w:rPr>
                <w:sz w:val="13"/>
                <w:szCs w:val="13"/>
                <w:color w:val="auto"/>
              </w:rPr>
            </w:pPr>
          </w:p>
        </w:tc>
        <w:tc>
          <w:tcPr>
            <w:tcW w:w="4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tcPr>
          <w:p>
            <w:pPr>
              <w:spacing w:after="0"/>
              <w:rPr>
                <w:sz w:val="7"/>
                <w:szCs w:val="7"/>
                <w:color w:val="auto"/>
              </w:rPr>
            </w:pPr>
          </w:p>
        </w:tc>
        <w:tc>
          <w:tcPr>
            <w:tcW w:w="4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1780" w:type="dxa"/>
            <w:vAlign w:val="bottom"/>
            <w:tcBorders>
              <w:left w:val="single" w:sz="8" w:color="auto"/>
              <w:right w:val="single" w:sz="8" w:color="auto"/>
            </w:tcBorders>
          </w:tcPr>
          <w:p>
            <w:pPr>
              <w:spacing w:after="0"/>
              <w:rPr>
                <w:sz w:val="24"/>
                <w:szCs w:val="24"/>
                <w:color w:val="auto"/>
              </w:rPr>
            </w:pPr>
          </w:p>
        </w:tc>
        <w:tc>
          <w:tcPr>
            <w:tcW w:w="4780" w:type="dxa"/>
            <w:vAlign w:val="bottom"/>
            <w:tcBorders>
              <w:right w:val="single" w:sz="8" w:color="auto"/>
            </w:tcBorders>
          </w:tcPr>
          <w:p>
            <w:pPr>
              <w:spacing w:after="0"/>
              <w:rPr>
                <w:sz w:val="24"/>
                <w:szCs w:val="24"/>
                <w:color w:val="auto"/>
              </w:rPr>
            </w:pP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company’s non-IFRS measure is aligned with the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calculation of its internal target leverage ratio and is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more conservative than the maximum ratio allowed</w:t>
            </w: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under the contractual covenants in its credit facility.</w:t>
            </w:r>
          </w:p>
        </w:tc>
        <w:tc>
          <w:tcPr>
            <w:tcW w:w="0" w:type="dxa"/>
            <w:vAlign w:val="bottom"/>
          </w:tcPr>
          <w:p>
            <w:pPr>
              <w:spacing w:after="0"/>
              <w:rPr>
                <w:sz w:val="1"/>
                <w:szCs w:val="1"/>
                <w:color w:val="auto"/>
              </w:rPr>
            </w:pPr>
          </w:p>
        </w:tc>
      </w:tr>
      <w:tr>
        <w:trPr>
          <w:trHeight w:val="50"/>
        </w:trPr>
        <w:tc>
          <w:tcPr>
            <w:tcW w:w="1780" w:type="dxa"/>
            <w:vAlign w:val="bottom"/>
            <w:tcBorders>
              <w:left w:val="single" w:sz="8" w:color="auto"/>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Please refer to reconciliations for the most directly comparable IFRS financial measures.</w:t>
      </w:r>
    </w:p>
    <w:sectPr>
      <w:pgSz w:w="11900" w:h="16838" w:orient="portrait"/>
      <w:cols w:equalWidth="0" w:num="1">
        <w:col w:w="11020"/>
      </w:cols>
      <w:pgMar w:left="440" w:top="1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2026-11-03T07:20:36Z</dcterms:created>
  <dcterms:modified xsi:type="dcterms:W3CDTF">2026-11-03T07:20:36Z</dcterms:modified>
</cp:coreProperties>
</file>