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28871d6k.htm"/>
      <w:bookmarkStart w:id="1" w:name="ksd128871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36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36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360" w:after="0"/>
        <w:jc w:val="center"/>
        <w:rPr>
          <w:rFonts w:ascii="Times New Roman" w:hAnsi="Times New Roman"/>
          <w:b/>
          <w:sz w:val="20"/>
        </w:rPr>
      </w:pPr>
      <w:r>
        <w:rPr>
          <w:rFonts w:ascii="Times New Roman" w:hAnsi="Times New Roman"/>
          <w:b/>
          <w:sz w:val="20"/>
        </w:rPr>
        <w:t xml:space="preserve">For the month of September 2026 </w:t>
      </w:r>
    </w:p>
    <w:p>
      <w:pPr>
        <w:pStyle w:val="TextBody"/>
        <w:bidi w:val="0"/>
        <w:spacing w:before="360" w:after="0"/>
        <w:jc w:val="center"/>
        <w:rPr>
          <w:rFonts w:ascii="Times New Roman" w:hAnsi="Times New Roman"/>
          <w:b/>
          <w:sz w:val="20"/>
        </w:rPr>
      </w:pPr>
      <w:r>
        <w:rPr>
          <w:rFonts w:ascii="Times New Roman" w:hAnsi="Times New Roman"/>
          <w:b/>
          <w:sz w:val="20"/>
        </w:rPr>
        <w:t xml:space="preserve">Commission File Number: 001-31349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360" w:after="0"/>
        <w:jc w:val="center"/>
        <w:rPr>
          <w:rFonts w:ascii="Times New Roman" w:hAnsi="Times New Roman"/>
          <w:b/>
          <w:sz w:val="48"/>
        </w:rPr>
      </w:pPr>
      <w:r>
        <w:rPr>
          <w:rFonts w:ascii="Times New Roman" w:hAnsi="Times New Roman"/>
          <w:b/>
          <w:sz w:val="48"/>
        </w:rPr>
        <w:t xml:space="preserve">THOMSON REUTERS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(Translation of registrant’s name into English)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360" w:after="0"/>
        <w:jc w:val="center"/>
        <w:rPr>
          <w:rFonts w:ascii="Times New Roman" w:hAnsi="Times New Roman"/>
          <w:b/>
          <w:sz w:val="20"/>
        </w:rPr>
      </w:pPr>
      <w:r>
        <w:rPr>
          <w:rFonts w:ascii="Times New Roman" w:hAnsi="Times New Roman"/>
          <w:b/>
          <w:sz w:val="20"/>
        </w:rPr>
        <w:t xml:space="preserve">19 Duncan Street </w:t>
      </w:r>
    </w:p>
    <w:p>
      <w:pPr>
        <w:pStyle w:val="TextBody"/>
        <w:bidi w:val="0"/>
        <w:spacing w:before="0" w:after="0"/>
        <w:jc w:val="center"/>
        <w:rPr>
          <w:rFonts w:ascii="Times New Roman" w:hAnsi="Times New Roman"/>
          <w:b/>
          <w:sz w:val="20"/>
        </w:rPr>
      </w:pPr>
      <w:r>
        <w:rPr>
          <w:rFonts w:ascii="Times New Roman" w:hAnsi="Times New Roman"/>
          <w:b/>
          <w:sz w:val="20"/>
        </w:rPr>
        <w:t xml:space="preserve">Toronto, Ontario M5H 3H1, Canada </w:t>
      </w:r>
    </w:p>
    <w:p>
      <w:pPr>
        <w:pStyle w:val="TextBody"/>
        <w:bidi w:val="0"/>
        <w:spacing w:before="0" w:after="0"/>
        <w:jc w:val="center"/>
        <w:rPr>
          <w:rFonts w:ascii="Times New Roman" w:hAnsi="Times New Roman"/>
          <w:b/>
          <w:sz w:val="20"/>
        </w:rPr>
      </w:pPr>
      <w:r>
        <w:rPr>
          <w:rFonts w:ascii="Times New Roman" w:hAnsi="Times New Roman"/>
          <w:b/>
          <w:sz w:val="20"/>
        </w:rPr>
        <w:t xml:space="preserve">(Address of principal executive office)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both"/>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720" w:after="0"/>
        <w:jc w:val="both"/>
        <w:rPr>
          <w:rFonts w:ascii="Times New Roman" w:hAnsi="Times New Roman"/>
          <w:sz w:val="20"/>
        </w:rPr>
      </w:pPr>
      <w:r>
        <w:rPr>
          <w:rFonts w:ascii="Times New Roman" w:hAnsi="Times New Roman"/>
          <w:sz w:val="20"/>
        </w:rPr>
        <w:t xml:space="preserve">Exhibits 5.1, 5.2, 5.3, 23.1, 23.2, 23.3, 23.4 and 99.1 of this Form 6-K shall be incorporated by reference as an exhibit to the joint Registration Statement of Thomson Reuters Corporation, TR Finance LLC, Thomson Reuters Applications Inc., Thomson Reuters (Tax &amp; Accounting) Inc. and West Publishing Corporation on Form F-10 and Form F-3 (File Nos. 333-285907, 333-285927, 333-285927-01, 333-285927-02 and 333-285927-03).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both"/>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80"/>
        <w:gridCol w:w="60"/>
        <w:gridCol w:w="3642"/>
      </w:tblGrid>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both"/>
              <w:rPr>
                <w:rFonts w:ascii="Times New Roman" w:hAnsi="Times New Roman"/>
                <w:b/>
                <w:sz w:val="20"/>
              </w:rPr>
            </w:pPr>
            <w:r>
              <w:rPr>
                <w:rFonts w:ascii="Times New Roman" w:hAnsi="Times New Roman"/>
                <w:b/>
                <w:sz w:val="20"/>
              </w:rPr>
              <w:t>THOMSON REUTERS CORPORATION</w:t>
            </w:r>
          </w:p>
        </w:tc>
      </w:tr>
      <w:tr>
        <w:trPr/>
        <w:tc>
          <w:tcPr>
            <w:tcW w:w="4082" w:type="dxa"/>
            <w:gridSpan w:val="3"/>
            <w:tcBorders/>
          </w:tcPr>
          <w:p>
            <w:pPr>
              <w:pStyle w:val="TableContents"/>
              <w:bidi w:val="0"/>
              <w:spacing w:before="0" w:after="0"/>
              <w:jc w:val="both"/>
              <w:rPr>
                <w:rFonts w:ascii="Times New Roman" w:hAnsi="Times New Roman"/>
                <w:sz w:val="20"/>
              </w:rPr>
            </w:pPr>
            <w:r>
              <w:rPr>
                <w:rFonts w:ascii="Times New Roman" w:hAnsi="Times New Roman"/>
                <w:sz w:val="20"/>
              </w:rPr>
              <w:t xml:space="preserve">(Registrant) </w:t>
            </w:r>
          </w:p>
        </w:tc>
      </w:tr>
      <w:tr>
        <w:trPr>
          <w:trHeight w:val="240" w:hRule="atLeast"/>
        </w:trPr>
        <w:tc>
          <w:tcPr>
            <w:tcW w:w="380" w:type="dxa"/>
            <w:tcBorders/>
            <w:vAlign w:val="center"/>
          </w:tcPr>
          <w:p>
            <w:pPr>
              <w:pStyle w:val="TableContents"/>
              <w:bidi w:val="0"/>
              <w:spacing w:before="0" w:after="283"/>
              <w:jc w:val="left"/>
              <w:rPr>
                <w:sz w:val="4"/>
                <w:szCs w:val="4"/>
              </w:rPr>
            </w:pPr>
            <w:r>
              <w:rPr>
                <w:sz w:val="4"/>
                <w:szCs w:val="4"/>
              </w:rPr>
            </w:r>
          </w:p>
        </w:tc>
        <w:tc>
          <w:tcPr>
            <w:tcW w:w="3702"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both"/>
              <w:rPr>
                <w:rFonts w:ascii="Times New Roman" w:hAnsi="Times New Roman"/>
                <w:sz w:val="20"/>
              </w:rPr>
            </w:pPr>
            <w:r>
              <w:rPr>
                <w:rFonts w:ascii="Times New Roman" w:hAnsi="Times New Roman"/>
                <w:sz w:val="20"/>
              </w:rPr>
              <w:t>By:</w:t>
            </w:r>
          </w:p>
        </w:tc>
        <w:tc>
          <w:tcPr>
            <w:tcW w:w="60" w:type="dxa"/>
            <w:tcBorders/>
            <w:vAlign w:val="bottom"/>
          </w:tcPr>
          <w:p>
            <w:pPr>
              <w:pStyle w:val="TableContents"/>
              <w:bidi w:val="0"/>
              <w:spacing w:before="0" w:after="283"/>
              <w:jc w:val="left"/>
              <w:rPr/>
            </w:pPr>
            <w:r>
              <w:rPr/>
              <w:t> </w:t>
            </w:r>
          </w:p>
        </w:tc>
        <w:tc>
          <w:tcPr>
            <w:tcW w:w="3642" w:type="dxa"/>
            <w:tcBorders/>
            <w:vAlign w:val="bottom"/>
          </w:tcPr>
          <w:p>
            <w:pPr>
              <w:pStyle w:val="TableContents"/>
              <w:pBdr>
                <w:bottom w:val="single" w:sz="2" w:space="1" w:color="000000"/>
              </w:pBdr>
              <w:bidi w:val="0"/>
              <w:spacing w:before="0" w:after="20"/>
              <w:jc w:val="both"/>
              <w:rPr>
                <w:rFonts w:ascii="Times New Roman" w:hAnsi="Times New Roman"/>
                <w:sz w:val="20"/>
              </w:rPr>
            </w:pPr>
            <w:r>
              <w:rPr>
                <w:rFonts w:ascii="Times New Roman" w:hAnsi="Times New Roman"/>
                <w:sz w:val="20"/>
              </w:rPr>
              <w:t>/s/ Jennifer Ruddick</w:t>
            </w:r>
          </w:p>
        </w:tc>
      </w:tr>
      <w:tr>
        <w:trPr/>
        <w:tc>
          <w:tcPr>
            <w:tcW w:w="38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2"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Name:  Jennifer Ruddick</w:t>
            </w:r>
          </w:p>
        </w:tc>
      </w:tr>
      <w:tr>
        <w:trPr/>
        <w:tc>
          <w:tcPr>
            <w:tcW w:w="38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2"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Title:   Deputy Company Secretary</w:t>
            </w:r>
          </w:p>
        </w:tc>
      </w:tr>
      <w:tr>
        <w:trPr/>
        <w:tc>
          <w:tcPr>
            <w:tcW w:w="38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2"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480" w:after="0"/>
        <w:jc w:val="both"/>
        <w:rPr>
          <w:rFonts w:ascii="Times New Roman" w:hAnsi="Times New Roman"/>
          <w:sz w:val="20"/>
        </w:rPr>
      </w:pPr>
      <w:r>
        <w:rPr>
          <w:rFonts w:ascii="Times New Roman" w:hAnsi="Times New Roman"/>
          <w:sz w:val="20"/>
        </w:rPr>
        <w:t xml:space="preserve">Date: September 17, 2026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67"/>
        <w:gridCol w:w="117"/>
        <w:gridCol w:w="8921"/>
      </w:tblGrid>
      <w:tr>
        <w:trPr/>
        <w:tc>
          <w:tcPr>
            <w:tcW w:w="1167" w:type="dxa"/>
            <w:tcBorders/>
            <w:vAlign w:val="center"/>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sz w:val="4"/>
                <w:szCs w:val="4"/>
              </w:rPr>
            </w:pPr>
            <w:r>
              <w:rPr>
                <w:sz w:val="4"/>
                <w:szCs w:val="4"/>
              </w:rPr>
            </w:r>
          </w:p>
        </w:tc>
        <w:tc>
          <w:tcPr>
            <w:tcW w:w="8921" w:type="dxa"/>
            <w:tcBorders/>
            <w:vAlign w:val="center"/>
          </w:tcPr>
          <w:p>
            <w:pPr>
              <w:pStyle w:val="TableContents"/>
              <w:bidi w:val="0"/>
              <w:spacing w:before="0" w:after="283"/>
              <w:jc w:val="left"/>
              <w:rPr>
                <w:sz w:val="4"/>
                <w:szCs w:val="4"/>
              </w:rPr>
            </w:pPr>
            <w:r>
              <w:rPr>
                <w:sz w:val="4"/>
                <w:szCs w:val="4"/>
              </w:rPr>
            </w:r>
          </w:p>
        </w:tc>
      </w:tr>
      <w:tr>
        <w:trPr/>
        <w:tc>
          <w:tcPr>
            <w:tcW w:w="1167"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Exhibit Number</w:t>
            </w:r>
          </w:p>
        </w:tc>
        <w:tc>
          <w:tcPr>
            <w:tcW w:w="117" w:type="dxa"/>
            <w:tcBorders/>
            <w:vAlign w:val="bottom"/>
          </w:tcPr>
          <w:p>
            <w:pPr>
              <w:pStyle w:val="TableContents"/>
              <w:bidi w:val="0"/>
              <w:spacing w:before="0" w:after="283"/>
              <w:jc w:val="left"/>
              <w:rPr/>
            </w:pPr>
            <w:r>
              <w:rPr/>
              <w:t> </w:t>
            </w:r>
          </w:p>
        </w:tc>
        <w:tc>
          <w:tcPr>
            <w:tcW w:w="8921" w:type="dxa"/>
            <w:tcBorders/>
            <w:vAlign w:val="bottom"/>
          </w:tcPr>
          <w:p>
            <w:pPr>
              <w:pStyle w:val="TableContents"/>
              <w:pBdr>
                <w:bottom w:val="single" w:sz="8" w:space="1" w:color="000000"/>
              </w:pBdr>
              <w:bidi w:val="0"/>
              <w:spacing w:before="0" w:after="0"/>
              <w:jc w:val="both"/>
              <w:rPr>
                <w:rFonts w:ascii="Times New Roman" w:hAnsi="Times New Roman"/>
                <w:sz w:val="16"/>
              </w:rPr>
            </w:pPr>
            <w:r>
              <w:rPr>
                <w:rFonts w:ascii="Times New Roman" w:hAnsi="Times New Roman"/>
                <w:sz w:val="16"/>
              </w:rPr>
              <w:t>Description</w:t>
            </w:r>
          </w:p>
        </w:tc>
      </w:tr>
      <w:tr>
        <w:trPr>
          <w:trHeight w:val="240" w:hRule="atLeast"/>
        </w:trPr>
        <w:tc>
          <w:tcPr>
            <w:tcW w:w="1167" w:type="dxa"/>
            <w:tcBorders/>
            <w:vAlign w:val="center"/>
          </w:tcPr>
          <w:p>
            <w:pPr>
              <w:pStyle w:val="TableContents"/>
              <w:bidi w:val="0"/>
              <w:spacing w:before="0" w:after="283"/>
              <w:jc w:val="left"/>
              <w:rPr>
                <w:sz w:val="4"/>
                <w:szCs w:val="4"/>
              </w:rPr>
            </w:pPr>
            <w:r>
              <w:rPr>
                <w:sz w:val="4"/>
                <w:szCs w:val="4"/>
              </w:rPr>
            </w:r>
          </w:p>
        </w:tc>
        <w:tc>
          <w:tcPr>
            <w:tcW w:w="9038" w:type="dxa"/>
            <w:gridSpan w:val="2"/>
            <w:tcBorders/>
            <w:vAlign w:val="center"/>
          </w:tcPr>
          <w:p>
            <w:pPr>
              <w:pStyle w:val="TableContents"/>
              <w:bidi w:val="0"/>
              <w:spacing w:before="0" w:after="283"/>
              <w:jc w:val="left"/>
              <w:rPr>
                <w:sz w:val="4"/>
                <w:szCs w:val="4"/>
              </w:rPr>
            </w:pPr>
            <w:r>
              <w:rPr>
                <w:sz w:val="4"/>
                <w:szCs w:val="4"/>
              </w:rPr>
            </w:r>
          </w:p>
        </w:tc>
      </w:tr>
      <w:tr>
        <w:trPr/>
        <w:tc>
          <w:tcPr>
            <w:tcW w:w="1167"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5.1</w:t>
            </w:r>
          </w:p>
        </w:tc>
        <w:tc>
          <w:tcPr>
            <w:tcW w:w="117" w:type="dxa"/>
            <w:tcBorders/>
            <w:vAlign w:val="bottom"/>
          </w:tcPr>
          <w:p>
            <w:pPr>
              <w:pStyle w:val="TableContents"/>
              <w:bidi w:val="0"/>
              <w:spacing w:before="0" w:after="283"/>
              <w:jc w:val="left"/>
              <w:rPr/>
            </w:pPr>
            <w:r>
              <w:rPr/>
              <w:t> </w:t>
            </w:r>
          </w:p>
        </w:tc>
        <w:tc>
          <w:tcPr>
            <w:tcW w:w="8921" w:type="dxa"/>
            <w:tcBorders/>
          </w:tcPr>
          <w:p>
            <w:pPr>
              <w:pStyle w:val="TableContents"/>
              <w:bidi w:val="0"/>
              <w:spacing w:before="0" w:after="0"/>
              <w:jc w:val="both"/>
              <w:rPr/>
            </w:pPr>
            <w:hyperlink w:anchor="d128871dex51.htm">
              <w:r>
                <w:rPr>
                  <w:rStyle w:val="InternetLink"/>
                  <w:rFonts w:ascii="Times New Roman" w:hAnsi="Times New Roman"/>
                  <w:sz w:val="20"/>
                </w:rPr>
                <w:t xml:space="preserve">Opinion of Torys LLP, dated September 17, 2026 </w:t>
              </w:r>
            </w:hyperlink>
          </w:p>
        </w:tc>
      </w:tr>
      <w:tr>
        <w:trPr/>
        <w:tc>
          <w:tcPr>
            <w:tcW w:w="1167"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5.2</w:t>
            </w:r>
          </w:p>
        </w:tc>
        <w:tc>
          <w:tcPr>
            <w:tcW w:w="117" w:type="dxa"/>
            <w:tcBorders/>
            <w:vAlign w:val="bottom"/>
          </w:tcPr>
          <w:p>
            <w:pPr>
              <w:pStyle w:val="TableContents"/>
              <w:bidi w:val="0"/>
              <w:spacing w:before="0" w:after="283"/>
              <w:jc w:val="left"/>
              <w:rPr/>
            </w:pPr>
            <w:r>
              <w:rPr/>
              <w:t> </w:t>
            </w:r>
          </w:p>
        </w:tc>
        <w:tc>
          <w:tcPr>
            <w:tcW w:w="8921" w:type="dxa"/>
            <w:tcBorders/>
          </w:tcPr>
          <w:p>
            <w:pPr>
              <w:pStyle w:val="TableContents"/>
              <w:bidi w:val="0"/>
              <w:spacing w:before="0" w:after="0"/>
              <w:jc w:val="both"/>
              <w:rPr/>
            </w:pPr>
            <w:hyperlink w:anchor="d128871dex52.htm">
              <w:r>
                <w:rPr>
                  <w:rStyle w:val="InternetLink"/>
                  <w:rFonts w:ascii="Times New Roman" w:hAnsi="Times New Roman"/>
                  <w:sz w:val="20"/>
                </w:rPr>
                <w:t xml:space="preserve">Opinion of Fredrikson &amp; Byron, P.A. </w:t>
              </w:r>
            </w:hyperlink>
          </w:p>
        </w:tc>
      </w:tr>
      <w:tr>
        <w:trPr/>
        <w:tc>
          <w:tcPr>
            <w:tcW w:w="1167"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5.3</w:t>
            </w:r>
          </w:p>
        </w:tc>
        <w:tc>
          <w:tcPr>
            <w:tcW w:w="117" w:type="dxa"/>
            <w:tcBorders/>
            <w:vAlign w:val="bottom"/>
          </w:tcPr>
          <w:p>
            <w:pPr>
              <w:pStyle w:val="TableContents"/>
              <w:bidi w:val="0"/>
              <w:spacing w:before="0" w:after="283"/>
              <w:jc w:val="left"/>
              <w:rPr/>
            </w:pPr>
            <w:r>
              <w:rPr/>
              <w:t> </w:t>
            </w:r>
          </w:p>
        </w:tc>
        <w:tc>
          <w:tcPr>
            <w:tcW w:w="8921" w:type="dxa"/>
            <w:tcBorders/>
          </w:tcPr>
          <w:p>
            <w:pPr>
              <w:pStyle w:val="TableContents"/>
              <w:bidi w:val="0"/>
              <w:spacing w:before="0" w:after="0"/>
              <w:jc w:val="both"/>
              <w:rPr/>
            </w:pPr>
            <w:hyperlink w:anchor="d128871dex53.htm">
              <w:r>
                <w:rPr>
                  <w:rStyle w:val="InternetLink"/>
                  <w:rFonts w:ascii="Times New Roman" w:hAnsi="Times New Roman"/>
                  <w:sz w:val="20"/>
                </w:rPr>
                <w:t xml:space="preserve">Opinion of Morgan, Lewis &amp; Bockius LLP </w:t>
              </w:r>
            </w:hyperlink>
          </w:p>
        </w:tc>
      </w:tr>
      <w:tr>
        <w:trPr/>
        <w:tc>
          <w:tcPr>
            <w:tcW w:w="1167"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23.1</w:t>
            </w:r>
          </w:p>
        </w:tc>
        <w:tc>
          <w:tcPr>
            <w:tcW w:w="117" w:type="dxa"/>
            <w:tcBorders/>
            <w:vAlign w:val="bottom"/>
          </w:tcPr>
          <w:p>
            <w:pPr>
              <w:pStyle w:val="TableContents"/>
              <w:bidi w:val="0"/>
              <w:spacing w:before="0" w:after="283"/>
              <w:jc w:val="left"/>
              <w:rPr/>
            </w:pPr>
            <w:r>
              <w:rPr/>
              <w:t> </w:t>
            </w:r>
          </w:p>
        </w:tc>
        <w:tc>
          <w:tcPr>
            <w:tcW w:w="8921" w:type="dxa"/>
            <w:tcBorders/>
          </w:tcPr>
          <w:p>
            <w:pPr>
              <w:pStyle w:val="TableContents"/>
              <w:bidi w:val="0"/>
              <w:spacing w:before="0" w:after="0"/>
              <w:jc w:val="both"/>
              <w:rPr/>
            </w:pPr>
            <w:hyperlink w:anchor="d128871dex51.htm">
              <w:r>
                <w:rPr>
                  <w:rStyle w:val="InternetLink"/>
                  <w:rFonts w:ascii="Times New Roman" w:hAnsi="Times New Roman"/>
                  <w:sz w:val="20"/>
                </w:rPr>
                <w:t xml:space="preserve">Consent of Torys LLP (included in Exhibit 5.1) </w:t>
              </w:r>
            </w:hyperlink>
          </w:p>
        </w:tc>
      </w:tr>
      <w:tr>
        <w:trPr/>
        <w:tc>
          <w:tcPr>
            <w:tcW w:w="1167"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23.2</w:t>
            </w:r>
          </w:p>
        </w:tc>
        <w:tc>
          <w:tcPr>
            <w:tcW w:w="117" w:type="dxa"/>
            <w:tcBorders/>
            <w:vAlign w:val="bottom"/>
          </w:tcPr>
          <w:p>
            <w:pPr>
              <w:pStyle w:val="TableContents"/>
              <w:bidi w:val="0"/>
              <w:spacing w:before="0" w:after="283"/>
              <w:jc w:val="left"/>
              <w:rPr/>
            </w:pPr>
            <w:r>
              <w:rPr/>
              <w:t> </w:t>
            </w:r>
          </w:p>
        </w:tc>
        <w:tc>
          <w:tcPr>
            <w:tcW w:w="8921" w:type="dxa"/>
            <w:tcBorders/>
          </w:tcPr>
          <w:p>
            <w:pPr>
              <w:pStyle w:val="TableContents"/>
              <w:bidi w:val="0"/>
              <w:spacing w:before="0" w:after="0"/>
              <w:jc w:val="both"/>
              <w:rPr/>
            </w:pPr>
            <w:hyperlink w:anchor="d128871dex52.htm">
              <w:r>
                <w:rPr>
                  <w:rStyle w:val="InternetLink"/>
                  <w:rFonts w:ascii="Times New Roman" w:hAnsi="Times New Roman"/>
                  <w:sz w:val="20"/>
                </w:rPr>
                <w:t xml:space="preserve">Consent of Fredrikson &amp; Byron, P.A. (included in Exhibit 5.2) </w:t>
              </w:r>
            </w:hyperlink>
          </w:p>
        </w:tc>
      </w:tr>
      <w:tr>
        <w:trPr/>
        <w:tc>
          <w:tcPr>
            <w:tcW w:w="1167"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23.3</w:t>
            </w:r>
          </w:p>
        </w:tc>
        <w:tc>
          <w:tcPr>
            <w:tcW w:w="117" w:type="dxa"/>
            <w:tcBorders/>
            <w:vAlign w:val="bottom"/>
          </w:tcPr>
          <w:p>
            <w:pPr>
              <w:pStyle w:val="TableContents"/>
              <w:bidi w:val="0"/>
              <w:spacing w:before="0" w:after="283"/>
              <w:jc w:val="left"/>
              <w:rPr/>
            </w:pPr>
            <w:r>
              <w:rPr/>
              <w:t> </w:t>
            </w:r>
          </w:p>
        </w:tc>
        <w:tc>
          <w:tcPr>
            <w:tcW w:w="8921" w:type="dxa"/>
            <w:tcBorders/>
          </w:tcPr>
          <w:p>
            <w:pPr>
              <w:pStyle w:val="TableContents"/>
              <w:bidi w:val="0"/>
              <w:spacing w:before="0" w:after="0"/>
              <w:jc w:val="both"/>
              <w:rPr/>
            </w:pPr>
            <w:hyperlink w:anchor="d128871dex53.htm">
              <w:r>
                <w:rPr>
                  <w:rStyle w:val="InternetLink"/>
                  <w:rFonts w:ascii="Times New Roman" w:hAnsi="Times New Roman"/>
                  <w:sz w:val="20"/>
                </w:rPr>
                <w:t xml:space="preserve">Consent of Morgan, Lewis &amp; Bockius LLP (included in Exhibit 5.3) </w:t>
              </w:r>
            </w:hyperlink>
          </w:p>
        </w:tc>
      </w:tr>
      <w:tr>
        <w:trPr/>
        <w:tc>
          <w:tcPr>
            <w:tcW w:w="1167"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23.4</w:t>
            </w:r>
          </w:p>
        </w:tc>
        <w:tc>
          <w:tcPr>
            <w:tcW w:w="117" w:type="dxa"/>
            <w:tcBorders/>
            <w:vAlign w:val="bottom"/>
          </w:tcPr>
          <w:p>
            <w:pPr>
              <w:pStyle w:val="TableContents"/>
              <w:bidi w:val="0"/>
              <w:spacing w:before="0" w:after="283"/>
              <w:jc w:val="left"/>
              <w:rPr/>
            </w:pPr>
            <w:r>
              <w:rPr/>
              <w:t> </w:t>
            </w:r>
          </w:p>
        </w:tc>
        <w:tc>
          <w:tcPr>
            <w:tcW w:w="8921" w:type="dxa"/>
            <w:tcBorders/>
          </w:tcPr>
          <w:p>
            <w:pPr>
              <w:pStyle w:val="TableContents"/>
              <w:bidi w:val="0"/>
              <w:spacing w:before="0" w:after="0"/>
              <w:jc w:val="both"/>
              <w:rPr/>
            </w:pPr>
            <w:hyperlink w:anchor="d128871dex234.htm">
              <w:r>
                <w:rPr>
                  <w:rStyle w:val="InternetLink"/>
                  <w:rFonts w:ascii="Times New Roman" w:hAnsi="Times New Roman"/>
                  <w:sz w:val="20"/>
                </w:rPr>
                <w:t xml:space="preserve">Consent of Blake, Cassels &amp; Graydon LLP </w:t>
              </w:r>
            </w:hyperlink>
          </w:p>
        </w:tc>
      </w:tr>
      <w:tr>
        <w:trPr/>
        <w:tc>
          <w:tcPr>
            <w:tcW w:w="1167" w:type="dxa"/>
            <w:tcBorders/>
          </w:tcPr>
          <w:p>
            <w:pPr>
              <w:pStyle w:val="TableContents"/>
              <w:bidi w:val="0"/>
              <w:spacing w:before="0" w:after="0"/>
              <w:jc w:val="both"/>
              <w:rPr>
                <w:rFonts w:ascii="Times New Roman" w:hAnsi="Times New Roman"/>
                <w:sz w:val="20"/>
              </w:rPr>
            </w:pPr>
            <w:r>
              <w:rPr>
                <w:rFonts w:ascii="Times New Roman" w:hAnsi="Times New Roman"/>
                <w:sz w:val="20"/>
              </w:rPr>
              <w:t>99.1</w:t>
            </w:r>
          </w:p>
        </w:tc>
        <w:tc>
          <w:tcPr>
            <w:tcW w:w="117" w:type="dxa"/>
            <w:tcBorders/>
            <w:vAlign w:val="bottom"/>
          </w:tcPr>
          <w:p>
            <w:pPr>
              <w:pStyle w:val="TableContents"/>
              <w:bidi w:val="0"/>
              <w:spacing w:before="0" w:after="283"/>
              <w:jc w:val="left"/>
              <w:rPr/>
            </w:pPr>
            <w:r>
              <w:rPr/>
              <w:t> </w:t>
            </w:r>
          </w:p>
        </w:tc>
        <w:tc>
          <w:tcPr>
            <w:tcW w:w="8921" w:type="dxa"/>
            <w:tcBorders/>
          </w:tcPr>
          <w:p>
            <w:pPr>
              <w:pStyle w:val="TableContents"/>
              <w:bidi w:val="0"/>
              <w:spacing w:before="0" w:after="0"/>
              <w:jc w:val="both"/>
              <w:rPr/>
            </w:pPr>
            <w:hyperlink w:anchor="d128871dex991.htm">
              <w:r>
                <w:rPr>
                  <w:rStyle w:val="InternetLink"/>
                  <w:rFonts w:ascii="Times New Roman" w:hAnsi="Times New Roman"/>
                  <w:sz w:val="20"/>
                </w:rPr>
                <w:t xml:space="preserve">Sixth Supplemental Indenture, dated as of September  17, 2026, among TR Finance LLC, as issuer, Thomson Reuters Corporation, as guarantor, the subsidiary guarantors party thereto, Computershare Trust Company of Canada, as Trustee, and Deutsche Bank Trust Company Americas, as Trustee </w:t>
              </w:r>
            </w:hyperlink>
          </w:p>
        </w:tc>
      </w:tr>
    </w:tbl>
    <w:p>
      <w:pPr>
        <w:pStyle w:val="TextBody"/>
        <w:bidi w:val="0"/>
        <w:spacing w:before="0" w:after="0"/>
        <w:jc w:val="right"/>
        <w:rPr>
          <w:rFonts w:ascii="Times New Roman" w:hAnsi="Times New Roman"/>
          <w:b/>
          <w:sz w:val="20"/>
        </w:rPr>
      </w:pPr>
      <w:bookmarkStart w:id="2" w:name="d128871dex51.htm"/>
      <w:bookmarkStart w:id="3" w:name="ksd128871dex51"/>
      <w:bookmarkEnd w:id="2"/>
      <w:bookmarkEnd w:id="3"/>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03"/>
        <w:gridCol w:w="101"/>
        <w:gridCol w:w="5001"/>
      </w:tblGrid>
      <w:tr>
        <w:trPr/>
        <w:tc>
          <w:tcPr>
            <w:tcW w:w="510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5001" w:type="dxa"/>
            <w:tcBorders/>
            <w:vAlign w:val="center"/>
          </w:tcPr>
          <w:p>
            <w:pPr>
              <w:pStyle w:val="TableContents"/>
              <w:bidi w:val="0"/>
              <w:spacing w:before="0" w:after="283"/>
              <w:jc w:val="left"/>
              <w:rPr>
                <w:sz w:val="4"/>
                <w:szCs w:val="4"/>
              </w:rPr>
            </w:pPr>
            <w:r>
              <w:rPr>
                <w:sz w:val="4"/>
                <w:szCs w:val="4"/>
              </w:rPr>
            </w:r>
          </w:p>
        </w:tc>
      </w:tr>
      <w:tr>
        <w:trPr/>
        <w:tc>
          <w:tcPr>
            <w:tcW w:w="5103" w:type="dxa"/>
            <w:tcBorders/>
          </w:tcPr>
          <w:p>
            <w:pPr>
              <w:pStyle w:val="TableContents"/>
              <w:bidi w:val="0"/>
              <w:spacing w:before="0" w:after="20"/>
              <w:jc w:val="both"/>
              <w:rPr/>
            </w:pPr>
            <w:r>
              <w:rPr/>
              <w:drawing>
                <wp:inline distT="0" distB="0" distL="0" distR="0">
                  <wp:extent cx="1466850" cy="438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66850" cy="438150"/>
                          </a:xfrm>
                          <a:prstGeom prst="rect">
                            <a:avLst/>
                          </a:prstGeom>
                        </pic:spPr>
                      </pic:pic>
                    </a:graphicData>
                  </a:graphic>
                </wp:inline>
              </w:drawing>
            </w:r>
            <w:r>
              <w:rPr/>
              <w:t xml:space="preserve"> </w:t>
            </w:r>
          </w:p>
        </w:tc>
        <w:tc>
          <w:tcPr>
            <w:tcW w:w="101"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0"/>
              <w:jc w:val="both"/>
              <w:rPr>
                <w:rFonts w:ascii="Times New Roman" w:hAnsi="Times New Roman"/>
                <w:sz w:val="20"/>
              </w:rPr>
            </w:pPr>
            <w:r>
              <w:rPr>
                <w:rFonts w:ascii="Times New Roman" w:hAnsi="Times New Roman"/>
                <w:sz w:val="20"/>
              </w:rPr>
              <w:t>1114 Avenue of the Americas, 23rd Floor</w:t>
            </w:r>
          </w:p>
          <w:p>
            <w:pPr>
              <w:pStyle w:val="TableContents"/>
              <w:bidi w:val="0"/>
              <w:spacing w:before="0" w:after="0"/>
              <w:jc w:val="both"/>
              <w:rPr>
                <w:rFonts w:ascii="Times New Roman" w:hAnsi="Times New Roman"/>
                <w:sz w:val="20"/>
              </w:rPr>
            </w:pPr>
            <w:r>
              <w:rPr>
                <w:rFonts w:ascii="Times New Roman" w:hAnsi="Times New Roman"/>
                <w:sz w:val="20"/>
              </w:rPr>
              <w:t>New York, New York 10036.7703 USA</w:t>
            </w:r>
          </w:p>
          <w:p>
            <w:pPr>
              <w:pStyle w:val="TableContents"/>
              <w:bidi w:val="0"/>
              <w:spacing w:before="0" w:after="0"/>
              <w:jc w:val="both"/>
              <w:rPr>
                <w:rFonts w:ascii="Times New Roman" w:hAnsi="Times New Roman"/>
                <w:sz w:val="20"/>
              </w:rPr>
            </w:pPr>
            <w:r>
              <w:rPr>
                <w:rFonts w:ascii="Times New Roman" w:hAnsi="Times New Roman"/>
                <w:sz w:val="20"/>
              </w:rPr>
              <w:t>P. 212.880.6000 | F. 212.682.0200</w:t>
            </w:r>
          </w:p>
          <w:p>
            <w:pPr>
              <w:pStyle w:val="TableContents"/>
              <w:bidi w:val="0"/>
              <w:spacing w:before="0" w:after="0"/>
              <w:jc w:val="left"/>
              <w:rPr/>
            </w:pPr>
            <w:r>
              <w:rPr/>
              <w:t> </w:t>
            </w:r>
          </w:p>
          <w:p>
            <w:pPr>
              <w:pStyle w:val="TableContents"/>
              <w:bidi w:val="0"/>
              <w:spacing w:before="0" w:after="0"/>
              <w:jc w:val="both"/>
              <w:rPr>
                <w:rFonts w:ascii="Times New Roman" w:hAnsi="Times New Roman"/>
                <w:sz w:val="20"/>
              </w:rPr>
            </w:pPr>
            <w:r>
              <w:rPr>
                <w:rFonts w:ascii="Times New Roman" w:hAnsi="Times New Roman"/>
                <w:sz w:val="20"/>
              </w:rPr>
              <w:t>79 Wellington St. W., 30th Floor</w:t>
            </w:r>
          </w:p>
          <w:p>
            <w:pPr>
              <w:pStyle w:val="TableContents"/>
              <w:bidi w:val="0"/>
              <w:spacing w:before="0" w:after="0"/>
              <w:jc w:val="both"/>
              <w:rPr>
                <w:rFonts w:ascii="Times New Roman" w:hAnsi="Times New Roman"/>
                <w:sz w:val="20"/>
              </w:rPr>
            </w:pPr>
            <w:r>
              <w:rPr>
                <w:rFonts w:ascii="Times New Roman" w:hAnsi="Times New Roman"/>
                <w:sz w:val="20"/>
              </w:rPr>
              <w:t>Box 270, TD South Tower</w:t>
            </w:r>
          </w:p>
          <w:p>
            <w:pPr>
              <w:pStyle w:val="TableContents"/>
              <w:bidi w:val="0"/>
              <w:spacing w:before="0" w:after="0"/>
              <w:jc w:val="both"/>
              <w:rPr>
                <w:rFonts w:ascii="Times New Roman" w:hAnsi="Times New Roman"/>
                <w:sz w:val="20"/>
              </w:rPr>
            </w:pPr>
            <w:r>
              <w:rPr>
                <w:rFonts w:ascii="Times New Roman" w:hAnsi="Times New Roman"/>
                <w:sz w:val="20"/>
              </w:rPr>
              <w:t>Toronto, Ontario M5K 1N2 Canada</w:t>
            </w:r>
          </w:p>
          <w:p>
            <w:pPr>
              <w:pStyle w:val="TableContents"/>
              <w:bidi w:val="0"/>
              <w:spacing w:before="0" w:after="0"/>
              <w:jc w:val="both"/>
              <w:rPr>
                <w:rFonts w:ascii="Times New Roman" w:hAnsi="Times New Roman"/>
                <w:sz w:val="20"/>
              </w:rPr>
            </w:pPr>
            <w:r>
              <w:rPr>
                <w:rFonts w:ascii="Times New Roman" w:hAnsi="Times New Roman"/>
                <w:sz w:val="20"/>
              </w:rPr>
              <w:t>P. 416.865.0040 | F. 416.865.7380</w:t>
            </w:r>
          </w:p>
          <w:p>
            <w:pPr>
              <w:pStyle w:val="TableContents"/>
              <w:bidi w:val="0"/>
              <w:spacing w:before="0" w:after="0"/>
              <w:jc w:val="left"/>
              <w:rPr/>
            </w:pPr>
            <w:r>
              <w:rPr/>
              <w:t> </w:t>
            </w:r>
          </w:p>
          <w:p>
            <w:pPr>
              <w:pStyle w:val="TableContents"/>
              <w:bidi w:val="0"/>
              <w:spacing w:before="0" w:after="20"/>
              <w:jc w:val="both"/>
              <w:rPr>
                <w:rFonts w:ascii="Times New Roman" w:hAnsi="Times New Roman"/>
                <w:sz w:val="20"/>
              </w:rPr>
            </w:pPr>
            <w:r>
              <w:rPr>
                <w:rFonts w:ascii="Times New Roman" w:hAnsi="Times New Roman"/>
                <w:sz w:val="20"/>
              </w:rPr>
              <w:t>www.torys.com</w:t>
            </w:r>
          </w:p>
        </w:tc>
      </w:tr>
    </w:tbl>
    <w:p>
      <w:pPr>
        <w:pStyle w:val="TextBody"/>
        <w:bidi w:val="0"/>
        <w:spacing w:before="240" w:after="0"/>
        <w:jc w:val="right"/>
        <w:rPr>
          <w:rFonts w:ascii="Times New Roman" w:hAnsi="Times New Roman"/>
          <w:sz w:val="20"/>
        </w:rPr>
      </w:pPr>
      <w:r>
        <w:rPr>
          <w:rFonts w:ascii="Times New Roman" w:hAnsi="Times New Roman"/>
          <w:sz w:val="20"/>
        </w:rPr>
        <w:t xml:space="preserve">September 17, 2026 </w:t>
      </w:r>
    </w:p>
    <w:p>
      <w:pPr>
        <w:pStyle w:val="TextBody"/>
        <w:bidi w:val="0"/>
        <w:spacing w:before="120" w:after="0"/>
        <w:jc w:val="both"/>
        <w:rPr>
          <w:rFonts w:ascii="Times New Roman" w:hAnsi="Times New Roman"/>
          <w:sz w:val="20"/>
        </w:rPr>
      </w:pPr>
      <w:r>
        <w:rPr>
          <w:rFonts w:ascii="Times New Roman" w:hAnsi="Times New Roman"/>
          <w:sz w:val="20"/>
        </w:rPr>
        <w:t xml:space="preserve">Thomson Reuters Corporation </w:t>
      </w:r>
    </w:p>
    <w:p>
      <w:pPr>
        <w:pStyle w:val="TextBody"/>
        <w:bidi w:val="0"/>
        <w:spacing w:before="0" w:after="0"/>
        <w:jc w:val="both"/>
        <w:rPr>
          <w:rFonts w:ascii="Times New Roman" w:hAnsi="Times New Roman"/>
          <w:sz w:val="20"/>
        </w:rPr>
      </w:pPr>
      <w:r>
        <w:rPr>
          <w:rFonts w:ascii="Times New Roman" w:hAnsi="Times New Roman"/>
          <w:sz w:val="20"/>
        </w:rPr>
        <w:t xml:space="preserve">19 Duncan Street </w:t>
      </w:r>
    </w:p>
    <w:p>
      <w:pPr>
        <w:pStyle w:val="TextBody"/>
        <w:bidi w:val="0"/>
        <w:spacing w:before="0" w:after="0"/>
        <w:jc w:val="both"/>
        <w:rPr>
          <w:rFonts w:ascii="Times New Roman" w:hAnsi="Times New Roman"/>
          <w:sz w:val="20"/>
        </w:rPr>
      </w:pPr>
      <w:r>
        <w:rPr>
          <w:rFonts w:ascii="Times New Roman" w:hAnsi="Times New Roman"/>
          <w:sz w:val="20"/>
        </w:rPr>
        <w:t xml:space="preserve">Toronto, Ontario </w:t>
      </w:r>
    </w:p>
    <w:p>
      <w:pPr>
        <w:pStyle w:val="TextBody"/>
        <w:bidi w:val="0"/>
        <w:spacing w:before="0" w:after="0"/>
        <w:jc w:val="both"/>
        <w:rPr>
          <w:rFonts w:ascii="Times New Roman" w:hAnsi="Times New Roman"/>
          <w:sz w:val="20"/>
        </w:rPr>
      </w:pPr>
      <w:r>
        <w:rPr>
          <w:rFonts w:ascii="Times New Roman" w:hAnsi="Times New Roman"/>
          <w:sz w:val="20"/>
        </w:rPr>
        <w:t xml:space="preserve">M5H 3H1, Canada </w:t>
      </w:r>
    </w:p>
    <w:p>
      <w:pPr>
        <w:pStyle w:val="TextBody"/>
        <w:bidi w:val="0"/>
        <w:spacing w:before="240" w:after="0"/>
        <w:jc w:val="both"/>
        <w:rPr>
          <w:rFonts w:ascii="Times New Roman" w:hAnsi="Times New Roman"/>
          <w:sz w:val="20"/>
        </w:rPr>
      </w:pPr>
      <w:r>
        <w:rPr>
          <w:rFonts w:ascii="Times New Roman" w:hAnsi="Times New Roman"/>
          <w:sz w:val="20"/>
        </w:rPr>
        <w:t xml:space="preserve">TR Finance LLC </w:t>
      </w:r>
    </w:p>
    <w:p>
      <w:pPr>
        <w:pStyle w:val="TextBody"/>
        <w:bidi w:val="0"/>
        <w:spacing w:before="0" w:after="0"/>
        <w:jc w:val="both"/>
        <w:rPr>
          <w:rFonts w:ascii="Times New Roman" w:hAnsi="Times New Roman"/>
          <w:sz w:val="20"/>
        </w:rPr>
      </w:pPr>
      <w:r>
        <w:rPr>
          <w:rFonts w:ascii="Times New Roman" w:hAnsi="Times New Roman"/>
          <w:sz w:val="20"/>
        </w:rPr>
        <w:t xml:space="preserve">2900 Ames Crossing Road, Suite 100 </w:t>
      </w:r>
    </w:p>
    <w:p>
      <w:pPr>
        <w:pStyle w:val="TextBody"/>
        <w:bidi w:val="0"/>
        <w:spacing w:before="0" w:after="0"/>
        <w:jc w:val="both"/>
        <w:rPr>
          <w:rFonts w:ascii="Times New Roman" w:hAnsi="Times New Roman"/>
          <w:sz w:val="20"/>
        </w:rPr>
      </w:pPr>
      <w:r>
        <w:rPr>
          <w:rFonts w:ascii="Times New Roman" w:hAnsi="Times New Roman"/>
          <w:sz w:val="20"/>
        </w:rPr>
        <w:t xml:space="preserve">Eagan, Minnesota 55121 USA </w:t>
      </w:r>
    </w:p>
    <w:p>
      <w:pPr>
        <w:pStyle w:val="TextBody"/>
        <w:bidi w:val="0"/>
        <w:spacing w:before="240" w:after="0"/>
        <w:jc w:val="both"/>
        <w:rPr>
          <w:rFonts w:ascii="Times New Roman" w:hAnsi="Times New Roman"/>
          <w:sz w:val="20"/>
        </w:rPr>
      </w:pPr>
      <w:r>
        <w:rPr>
          <w:rFonts w:ascii="Times New Roman" w:hAnsi="Times New Roman"/>
          <w:sz w:val="20"/>
        </w:rPr>
        <w:t xml:space="preserve">Thomson Reuters Applications Inc. </w:t>
      </w:r>
    </w:p>
    <w:p>
      <w:pPr>
        <w:pStyle w:val="TextBody"/>
        <w:bidi w:val="0"/>
        <w:spacing w:before="0" w:after="0"/>
        <w:jc w:val="both"/>
        <w:rPr>
          <w:rFonts w:ascii="Times New Roman" w:hAnsi="Times New Roman"/>
          <w:sz w:val="20"/>
        </w:rPr>
      </w:pPr>
      <w:r>
        <w:rPr>
          <w:rFonts w:ascii="Times New Roman" w:hAnsi="Times New Roman"/>
          <w:sz w:val="20"/>
        </w:rPr>
        <w:t xml:space="preserve">2900 Ames Crossing Road, Suite 100 </w:t>
      </w:r>
    </w:p>
    <w:p>
      <w:pPr>
        <w:pStyle w:val="TextBody"/>
        <w:bidi w:val="0"/>
        <w:spacing w:before="0" w:after="0"/>
        <w:jc w:val="both"/>
        <w:rPr>
          <w:rFonts w:ascii="Times New Roman" w:hAnsi="Times New Roman"/>
          <w:sz w:val="20"/>
        </w:rPr>
      </w:pPr>
      <w:r>
        <w:rPr>
          <w:rFonts w:ascii="Times New Roman" w:hAnsi="Times New Roman"/>
          <w:sz w:val="20"/>
        </w:rPr>
        <w:t xml:space="preserve">Eagan, Minnesota 55121 USA </w:t>
      </w:r>
    </w:p>
    <w:p>
      <w:pPr>
        <w:pStyle w:val="TextBody"/>
        <w:bidi w:val="0"/>
        <w:spacing w:before="240" w:after="0"/>
        <w:jc w:val="both"/>
        <w:rPr>
          <w:rFonts w:ascii="Times New Roman" w:hAnsi="Times New Roman"/>
          <w:sz w:val="20"/>
        </w:rPr>
      </w:pPr>
      <w:r>
        <w:rPr>
          <w:rFonts w:ascii="Times New Roman" w:hAnsi="Times New Roman"/>
          <w:sz w:val="20"/>
        </w:rPr>
        <w:t xml:space="preserve">Thomson Reuters (Tax &amp; Accounting) Inc. </w:t>
      </w:r>
    </w:p>
    <w:p>
      <w:pPr>
        <w:pStyle w:val="TextBody"/>
        <w:bidi w:val="0"/>
        <w:spacing w:before="0" w:after="0"/>
        <w:jc w:val="both"/>
        <w:rPr>
          <w:rFonts w:ascii="Times New Roman" w:hAnsi="Times New Roman"/>
          <w:sz w:val="20"/>
        </w:rPr>
      </w:pPr>
      <w:r>
        <w:rPr>
          <w:rFonts w:ascii="Times New Roman" w:hAnsi="Times New Roman"/>
          <w:sz w:val="20"/>
        </w:rPr>
        <w:t xml:space="preserve">6160 Warren Parkway, Suite 700 </w:t>
      </w:r>
    </w:p>
    <w:p>
      <w:pPr>
        <w:pStyle w:val="TextBody"/>
        <w:bidi w:val="0"/>
        <w:spacing w:before="0" w:after="0"/>
        <w:jc w:val="both"/>
        <w:rPr>
          <w:rFonts w:ascii="Times New Roman" w:hAnsi="Times New Roman"/>
          <w:sz w:val="20"/>
        </w:rPr>
      </w:pPr>
      <w:r>
        <w:rPr>
          <w:rFonts w:ascii="Times New Roman" w:hAnsi="Times New Roman"/>
          <w:sz w:val="20"/>
        </w:rPr>
        <w:t xml:space="preserve">Frisco, Texas 75034 USA </w:t>
      </w:r>
    </w:p>
    <w:p>
      <w:pPr>
        <w:pStyle w:val="TextBody"/>
        <w:bidi w:val="0"/>
        <w:spacing w:before="240" w:after="0"/>
        <w:jc w:val="both"/>
        <w:rPr>
          <w:rFonts w:ascii="Times New Roman" w:hAnsi="Times New Roman"/>
          <w:sz w:val="20"/>
        </w:rPr>
      </w:pPr>
      <w:r>
        <w:rPr>
          <w:rFonts w:ascii="Times New Roman" w:hAnsi="Times New Roman"/>
          <w:sz w:val="20"/>
        </w:rPr>
        <w:t xml:space="preserve">West Publishing Corporation </w:t>
      </w:r>
    </w:p>
    <w:p>
      <w:pPr>
        <w:pStyle w:val="TextBody"/>
        <w:bidi w:val="0"/>
        <w:spacing w:before="0" w:after="0"/>
        <w:jc w:val="both"/>
        <w:rPr>
          <w:rFonts w:ascii="Times New Roman" w:hAnsi="Times New Roman"/>
          <w:sz w:val="20"/>
        </w:rPr>
      </w:pPr>
      <w:r>
        <w:rPr>
          <w:rFonts w:ascii="Times New Roman" w:hAnsi="Times New Roman"/>
          <w:sz w:val="20"/>
        </w:rPr>
        <w:t xml:space="preserve">2900 Ames Crossing Road, Suite 100 </w:t>
      </w:r>
    </w:p>
    <w:p>
      <w:pPr>
        <w:pStyle w:val="TextBody"/>
        <w:bidi w:val="0"/>
        <w:spacing w:before="0" w:after="0"/>
        <w:jc w:val="both"/>
        <w:rPr>
          <w:rFonts w:ascii="Times New Roman" w:hAnsi="Times New Roman"/>
          <w:sz w:val="20"/>
        </w:rPr>
      </w:pPr>
      <w:r>
        <w:rPr>
          <w:rFonts w:ascii="Times New Roman" w:hAnsi="Times New Roman"/>
          <w:sz w:val="20"/>
        </w:rPr>
        <w:t xml:space="preserve">Eagan, Minnesota 55121 USA </w:t>
      </w:r>
    </w:p>
    <w:p>
      <w:pPr>
        <w:pStyle w:val="TextBody"/>
        <w:bidi w:val="0"/>
        <w:spacing w:before="240" w:after="0"/>
        <w:jc w:val="both"/>
        <w:rPr>
          <w:rFonts w:ascii="Times New Roman" w:hAnsi="Times New Roman"/>
          <w:sz w:val="20"/>
        </w:rPr>
      </w:pPr>
      <w:r>
        <w:rPr>
          <w:rFonts w:ascii="Times New Roman" w:hAnsi="Times New Roman"/>
          <w:sz w:val="20"/>
        </w:rPr>
        <w:t xml:space="preserve">RE: </w:t>
      </w:r>
      <w:r>
        <w:rPr>
          <w:rFonts w:ascii="Times New Roman" w:hAnsi="Times New Roman"/>
          <w:sz w:val="20"/>
          <w:u w:val="single"/>
        </w:rPr>
        <w:t xml:space="preserve">Registration Statement on Form F-10 and Form F-3 </w:t>
      </w:r>
    </w:p>
    <w:p>
      <w:pPr>
        <w:pStyle w:val="TextBody"/>
        <w:bidi w:val="0"/>
        <w:spacing w:before="240" w:after="0"/>
        <w:jc w:val="both"/>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both"/>
        <w:rPr>
          <w:rFonts w:ascii="Times New Roman" w:hAnsi="Times New Roman"/>
          <w:sz w:val="20"/>
        </w:rPr>
      </w:pPr>
      <w:r>
        <w:rPr>
          <w:rFonts w:ascii="Times New Roman" w:hAnsi="Times New Roman"/>
          <w:sz w:val="20"/>
        </w:rPr>
        <w:t>We have acted as Ontario and New York counsel for TR Finance LLC, a Delaware limited liability company (“</w:t>
      </w:r>
      <w:r>
        <w:rPr>
          <w:rFonts w:ascii="Times New Roman" w:hAnsi="Times New Roman"/>
          <w:sz w:val="20"/>
          <w:u w:val="single"/>
        </w:rPr>
        <w:t>TR Finance</w:t>
      </w:r>
      <w:r>
        <w:rPr>
          <w:rFonts w:ascii="Times New Roman" w:hAnsi="Times New Roman"/>
          <w:sz w:val="20"/>
        </w:rPr>
        <w:t>”), Thomson Reuters Corporation, a corporation organized under the laws of Ontario, Canada (“</w:t>
      </w:r>
      <w:r>
        <w:rPr>
          <w:rFonts w:ascii="Times New Roman" w:hAnsi="Times New Roman"/>
          <w:sz w:val="20"/>
          <w:u w:val="single"/>
        </w:rPr>
        <w:t>TRC</w:t>
      </w:r>
      <w:r>
        <w:rPr>
          <w:rFonts w:ascii="Times New Roman" w:hAnsi="Times New Roman"/>
          <w:sz w:val="20"/>
        </w:rPr>
        <w:t>”), and each of Thomson Reuters Applications Inc., a corporation organized under the laws of Delaware (“</w:t>
      </w:r>
      <w:r>
        <w:rPr>
          <w:rFonts w:ascii="Times New Roman" w:hAnsi="Times New Roman"/>
          <w:sz w:val="20"/>
          <w:u w:val="single"/>
        </w:rPr>
        <w:t>TR Applications</w:t>
      </w:r>
      <w:r>
        <w:rPr>
          <w:rFonts w:ascii="Times New Roman" w:hAnsi="Times New Roman"/>
          <w:sz w:val="20"/>
        </w:rPr>
        <w:t>”), Thomson Reuters (Tax &amp; Accounting) Inc., a corporation organized under the laws of Texas (“</w:t>
      </w:r>
      <w:r>
        <w:rPr>
          <w:rFonts w:ascii="Times New Roman" w:hAnsi="Times New Roman"/>
          <w:sz w:val="20"/>
          <w:u w:val="single"/>
        </w:rPr>
        <w:t>TR T&amp;A</w:t>
      </w:r>
      <w:r>
        <w:rPr>
          <w:rFonts w:ascii="Times New Roman" w:hAnsi="Times New Roman"/>
          <w:sz w:val="20"/>
        </w:rPr>
        <w:t>”) and West Publishing Corporation, a corporation organized under the laws of Minnesota (“</w:t>
      </w:r>
      <w:r>
        <w:rPr>
          <w:rFonts w:ascii="Times New Roman" w:hAnsi="Times New Roman"/>
          <w:sz w:val="20"/>
          <w:u w:val="single"/>
        </w:rPr>
        <w:t>West Publishing</w:t>
      </w:r>
      <w:r>
        <w:rPr>
          <w:rFonts w:ascii="Times New Roman" w:hAnsi="Times New Roman"/>
          <w:sz w:val="20"/>
        </w:rPr>
        <w:t>”, and together with TR Applications and TR T&amp;A, the “</w:t>
      </w:r>
      <w:r>
        <w:rPr>
          <w:rFonts w:ascii="Times New Roman" w:hAnsi="Times New Roman"/>
          <w:sz w:val="20"/>
          <w:u w:val="single"/>
        </w:rPr>
        <w:t>Subsidiary Guarantors</w:t>
      </w:r>
      <w:r>
        <w:rPr>
          <w:rFonts w:ascii="Times New Roman" w:hAnsi="Times New Roman"/>
          <w:sz w:val="20"/>
        </w:rPr>
        <w:t>” and together with TRC, the “</w:t>
      </w:r>
      <w:r>
        <w:rPr>
          <w:rFonts w:ascii="Times New Roman" w:hAnsi="Times New Roman"/>
          <w:sz w:val="20"/>
          <w:u w:val="single"/>
        </w:rPr>
        <w:t>Guarantors</w:t>
      </w:r>
      <w:r>
        <w:rPr>
          <w:rFonts w:ascii="Times New Roman" w:hAnsi="Times New Roman"/>
          <w:sz w:val="20"/>
        </w:rPr>
        <w:t>”) in connection with the offering by TR Finance of US$800,000,000 aggregate principal amount of its 5.100% notes due 2028 and US$500,000,000 aggregate principal amount of its 5.750% notes due 2033 (collectively, the “</w:t>
      </w:r>
      <w:r>
        <w:rPr>
          <w:rFonts w:ascii="Times New Roman" w:hAnsi="Times New Roman"/>
          <w:sz w:val="20"/>
          <w:u w:val="single"/>
        </w:rPr>
        <w:t>Notes</w:t>
      </w:r>
      <w:r>
        <w:rPr>
          <w:rFonts w:ascii="Times New Roman" w:hAnsi="Times New Roman"/>
          <w:sz w:val="20"/>
        </w:rPr>
        <w:t>”), fully and unconditionally guaranteed by TRC and also guaranteed by the Subsidiary Guarantors (the “</w:t>
      </w:r>
      <w:r>
        <w:rPr>
          <w:rFonts w:ascii="Times New Roman" w:hAnsi="Times New Roman"/>
          <w:sz w:val="20"/>
          <w:u w:val="single"/>
        </w:rPr>
        <w:t>Guarantees</w:t>
      </w:r>
      <w:r>
        <w:rPr>
          <w:rFonts w:ascii="Times New Roman" w:hAnsi="Times New Roman"/>
          <w:sz w:val="20"/>
        </w:rPr>
        <w:t>” and together with the Notes, the “</w:t>
      </w:r>
      <w:r>
        <w:rPr>
          <w:rFonts w:ascii="Times New Roman" w:hAnsi="Times New Roman"/>
          <w:sz w:val="20"/>
          <w:u w:val="single"/>
        </w:rPr>
        <w:t>Securities</w:t>
      </w:r>
      <w:r>
        <w:rPr>
          <w:rFonts w:ascii="Times New Roman" w:hAnsi="Times New Roman"/>
          <w:sz w:val="20"/>
        </w:rPr>
        <w:t>”), pursuant to a prospectus supplement, dated as of September 10, 2026 (the “</w:t>
      </w:r>
      <w:r>
        <w:rPr>
          <w:rFonts w:ascii="Times New Roman" w:hAnsi="Times New Roman"/>
          <w:sz w:val="20"/>
          <w:u w:val="single"/>
        </w:rPr>
        <w:t>Prospectus Supplement</w:t>
      </w:r>
      <w:r>
        <w:rPr>
          <w:rFonts w:ascii="Times New Roman" w:hAnsi="Times New Roman"/>
          <w:sz w:val="20"/>
        </w:rPr>
        <w:t>”) filed with the U.S. Securities and Exchange Commission under the U.S. Securities Act of 1933, as amended (the “</w:t>
      </w:r>
      <w:r>
        <w:rPr>
          <w:rFonts w:ascii="Times New Roman" w:hAnsi="Times New Roman"/>
          <w:sz w:val="20"/>
          <w:u w:val="single"/>
        </w:rPr>
        <w:t>Securities Act</w:t>
      </w:r>
      <w:r>
        <w:rPr>
          <w:rFonts w:ascii="Times New Roman" w:hAnsi="Times New Roman"/>
          <w:sz w:val="20"/>
        </w:rPr>
        <w:t>”) to the joint registration statement on Form F-10 and Form F-3 (File Nos. 333-285907 and 333-285927) (as amended, the “</w:t>
      </w:r>
      <w:r>
        <w:rPr>
          <w:rFonts w:ascii="Times New Roman" w:hAnsi="Times New Roman"/>
          <w:sz w:val="20"/>
          <w:u w:val="single"/>
        </w:rPr>
        <w:t>Registration Statement</w:t>
      </w:r>
      <w:r>
        <w:rPr>
          <w:rFonts w:ascii="Times New Roman" w:hAnsi="Times New Roman"/>
          <w:sz w:val="20"/>
        </w:rPr>
        <w:t>”). The Securities are to be sold pursuant to the underwriting agreement, dated as of September 10, 2026 (the “</w:t>
      </w:r>
      <w:r>
        <w:rPr>
          <w:rFonts w:ascii="Times New Roman" w:hAnsi="Times New Roman"/>
          <w:sz w:val="20"/>
          <w:u w:val="single"/>
        </w:rPr>
        <w:t>Underwriting Agreement</w:t>
      </w:r>
      <w:r>
        <w:rPr>
          <w:rFonts w:ascii="Times New Roman" w:hAnsi="Times New Roman"/>
          <w:sz w:val="20"/>
        </w:rPr>
        <w:t>”) among TR Finance, the Guarantors and the representatives of the underwriters named therein (the “</w:t>
      </w:r>
      <w:r>
        <w:rPr>
          <w:rFonts w:ascii="Times New Roman" w:hAnsi="Times New Roman"/>
          <w:sz w:val="20"/>
          <w:u w:val="single"/>
        </w:rPr>
        <w:t>Underwriters</w:t>
      </w:r>
      <w:r>
        <w:rPr>
          <w:rFonts w:ascii="Times New Roman" w:hAnsi="Times New Roman"/>
          <w:sz w:val="20"/>
        </w:rPr>
        <w:t>”), and issued pursuant to the indenture (the “</w:t>
      </w:r>
      <w:r>
        <w:rPr>
          <w:rFonts w:ascii="Times New Roman" w:hAnsi="Times New Roman"/>
          <w:sz w:val="20"/>
          <w:u w:val="single"/>
        </w:rPr>
        <w:t>Base Indenture</w:t>
      </w:r>
      <w:r>
        <w:rPr>
          <w:rFonts w:ascii="Times New Roman" w:hAnsi="Times New Roman"/>
          <w:sz w:val="20"/>
        </w:rPr>
        <w:t xml:space="preserve">”) dated as of March 20, 2025, among TR Finance, the Guarantors, and Computershare Trust Company of Canada and Deutsche Bank Trust Company Americas (together,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the “</w:t>
      </w:r>
      <w:r>
        <w:rPr>
          <w:rFonts w:ascii="Times New Roman" w:hAnsi="Times New Roman"/>
          <w:sz w:val="20"/>
          <w:u w:val="single"/>
        </w:rPr>
        <w:t>Trustees</w:t>
      </w:r>
      <w:r>
        <w:rPr>
          <w:rFonts w:ascii="Times New Roman" w:hAnsi="Times New Roman"/>
          <w:sz w:val="20"/>
        </w:rPr>
        <w:t>”), and the Sixth Supplemental Indenture thereto, dated as of September 17, 2026 (the “</w:t>
      </w:r>
      <w:r>
        <w:rPr>
          <w:rFonts w:ascii="Times New Roman" w:hAnsi="Times New Roman"/>
          <w:sz w:val="20"/>
          <w:u w:val="single"/>
        </w:rPr>
        <w:t>Supplemental Indenture</w:t>
      </w:r>
      <w:r>
        <w:rPr>
          <w:rFonts w:ascii="Times New Roman" w:hAnsi="Times New Roman"/>
          <w:sz w:val="20"/>
        </w:rPr>
        <w:t>” and together with the Base Indenture, the “</w:t>
      </w:r>
      <w:r>
        <w:rPr>
          <w:rFonts w:ascii="Times New Roman" w:hAnsi="Times New Roman"/>
          <w:sz w:val="20"/>
          <w:u w:val="single"/>
        </w:rPr>
        <w:t>Indenture</w:t>
      </w:r>
      <w:r>
        <w:rPr>
          <w:rFonts w:ascii="Times New Roman" w:hAnsi="Times New Roman"/>
          <w:sz w:val="20"/>
        </w:rPr>
        <w:t xml:space="preserve">”), among TR Finance, the Guarantors and the Trustees. </w:t>
      </w:r>
    </w:p>
    <w:p>
      <w:pPr>
        <w:pStyle w:val="TextBody"/>
        <w:bidi w:val="0"/>
        <w:spacing w:before="240" w:after="0"/>
        <w:jc w:val="both"/>
        <w:rPr>
          <w:rFonts w:ascii="Times New Roman" w:hAnsi="Times New Roman"/>
          <w:sz w:val="20"/>
        </w:rPr>
      </w:pPr>
      <w:r>
        <w:rPr>
          <w:rFonts w:ascii="Times New Roman" w:hAnsi="Times New Roman"/>
          <w:sz w:val="20"/>
        </w:rPr>
        <w:t xml:space="preserve">We, as your counsel, have examined originals or copies of such documents, corporate records, certificates of public officials and other instruments as we have deemed necessary or advisable for the purpose of rendering this opinion. </w:t>
      </w:r>
    </w:p>
    <w:p>
      <w:pPr>
        <w:pStyle w:val="TextBody"/>
        <w:bidi w:val="0"/>
        <w:spacing w:before="240" w:after="0"/>
        <w:jc w:val="both"/>
        <w:rPr>
          <w:rFonts w:ascii="Times New Roman" w:hAnsi="Times New Roman"/>
          <w:sz w:val="20"/>
        </w:rPr>
      </w:pPr>
      <w:r>
        <w:rPr>
          <w:rFonts w:ascii="Times New Roman" w:hAnsi="Times New Roman"/>
          <w:sz w:val="20"/>
        </w:rPr>
        <w:t xml:space="preserve">In rendering the opinions expressed herein, we have, without independent inquiry or investigation, assumed that (i) all documents submitted to us as originals are authentic and complete; (ii) all documents submitted to us as copies conform to authentic, complete originals; (iii) all signatures on all documents that we reviewed are genuine; (iv) all natural persons executing documents had and have the legal capacity to do so; (v) all statements in certificates of public officials and directors or managers, as the case may be, and officers of TR Finance and the Guarantors that we reviewed were and are accurate; (vi) all representations made by TR Finance and the Guarantors as to matters of fact in the documents that we reviewed were and are accurate; (vii) the Base Indenture and the Supplemental Indenture have each been duly authorized, executed and delivered by each of the parties thereto (other than TRC, TR Finance and TR Applications); and (viii) entry into the Indenture is within the corporate (or equivalent) powers, and does not contravene, or constitute a default under, the certificate of incorporation or bylaws or other constitutive documents, of each of the parties thereto (other than TRC, TR Finance and TR Applications). We have also assumed that each of TR T&amp;A and West Publishing is validly existing under the laws of Texas and Minnesota, respectively. </w:t>
      </w:r>
    </w:p>
    <w:p>
      <w:pPr>
        <w:pStyle w:val="TextBody"/>
        <w:bidi w:val="0"/>
        <w:spacing w:before="240" w:after="0"/>
        <w:jc w:val="both"/>
        <w:rPr>
          <w:rFonts w:ascii="Times New Roman" w:hAnsi="Times New Roman"/>
          <w:sz w:val="20"/>
        </w:rPr>
      </w:pPr>
      <w:r>
        <w:rPr>
          <w:rFonts w:ascii="Times New Roman" w:hAnsi="Times New Roman"/>
          <w:sz w:val="20"/>
        </w:rPr>
        <w:t xml:space="preserve">Based upon the foregoing, and subject to the additional assumptions and qualifications set forth below, we advise you that, in our opinion, when the Notes have been duly executed and authenticated in accordance with the provisions of the Indenture and delivered to and paid for by the Underwriters pursuant to the Underwriting Agreement, the Notes will constitute valid and binding obligations of TR Finance, and the Guarantees thereof will constitute valid and binding obligations of the Guarantors, in each case enforceable in accordance with their terms, subject to applicable bankruptcy, insolvency and similar laws affecting creditors’ rights generally, concepts of reasonableness and equitable principles of general applicability, provided that we express no opinion as to (x) the enforceability of any waiver of rights under any usury or stay law, or any provisions for indemnity or contribution or other provisions that may be limited by public policy considerations; (y) the effect of any fraudulent conveyance, fraudulent transfer or similar provisions of applicable law on the conclusions expressed above; or (z) the validity, legally binding effect or enforceability of any provision that permits holders to collect any portion of stated principal amount to the extent determined to constitute unearned interest. </w:t>
      </w:r>
    </w:p>
    <w:p>
      <w:pPr>
        <w:pStyle w:val="TextBody"/>
        <w:bidi w:val="0"/>
        <w:spacing w:before="240" w:after="0"/>
        <w:jc w:val="both"/>
        <w:rPr>
          <w:rFonts w:ascii="Times New Roman" w:hAnsi="Times New Roman"/>
          <w:sz w:val="20"/>
        </w:rPr>
      </w:pPr>
      <w:r>
        <w:rPr>
          <w:rFonts w:ascii="Times New Roman" w:hAnsi="Times New Roman"/>
          <w:sz w:val="20"/>
        </w:rPr>
        <w:t xml:space="preserve">In connection with the opinions expressed above, we have assumed that at or prior to the time of the delivery of the Securities, (i) the effectiveness of the Registration Statement has not been terminated or rescinded; (ii) all corporate or other action required to be taken by TR Finance and the Guarantors to duly authorize the issuance of the Notes and the Guarantees shall remain in full force and effect; and (iii) there shall not have occurred any change in law affecting the validity or enforceability of the Indenture or the Securities. We have also assumed that the execution, delivery and performance by TR Finance and the Guarantors of the Notes or Guarantees, as applicable, (a) require no action by or in respect of, or filing with, any governmental body, agency or official and (b) do not contravene, or constitute a default under, any provision of applicable law or regulation or any judgment, injunction, order or decree or any agreement or other instrument binding upon TR Finance and the Guarantors. </w:t>
      </w:r>
    </w:p>
    <w:p>
      <w:pPr>
        <w:pStyle w:val="TextBody"/>
        <w:bidi w:val="0"/>
        <w:spacing w:before="240" w:after="0"/>
        <w:jc w:val="both"/>
        <w:rPr>
          <w:rFonts w:ascii="Times New Roman" w:hAnsi="Times New Roman"/>
          <w:sz w:val="20"/>
        </w:rPr>
      </w:pPr>
      <w:r>
        <w:rPr>
          <w:rFonts w:ascii="Times New Roman" w:hAnsi="Times New Roman"/>
          <w:sz w:val="20"/>
        </w:rPr>
        <w:t>We are qualified to practice law in the Province of Ontario and the State of New York, and we do not express any opinion with respect to the laws of any jurisdiction other than (a) the laws of the Province of Ontario (and the federal laws of Canada applicable therein), (b) the laws of the State of New York, (c) the Limited Liability Company Act of the State of Delaware (the “</w:t>
      </w:r>
      <w:r>
        <w:rPr>
          <w:rFonts w:ascii="Times New Roman" w:hAnsi="Times New Roman"/>
          <w:sz w:val="20"/>
          <w:u w:val="single"/>
        </w:rPr>
        <w:t>DLLCA</w:t>
      </w:r>
      <w:r>
        <w:rPr>
          <w:rFonts w:ascii="Times New Roman" w:hAnsi="Times New Roman"/>
          <w:sz w:val="20"/>
        </w:rPr>
        <w:t>”) and (d) the General Corporation Law of the State of Delaware (the “</w:t>
      </w:r>
      <w:r>
        <w:rPr>
          <w:rFonts w:ascii="Times New Roman" w:hAnsi="Times New Roman"/>
          <w:sz w:val="20"/>
          <w:u w:val="single"/>
        </w:rPr>
        <w:t>DGCL</w:t>
      </w:r>
      <w:r>
        <w:rPr>
          <w:rFonts w:ascii="Times New Roman" w:hAnsi="Times New Roman"/>
          <w:sz w:val="20"/>
        </w:rPr>
        <w:t xml:space="preserve">”), in each case, in force at the date of this opinion letter. Notwithstanding the foregoing and our opinion above, we express no opinion with respect to the compliance or non-compliance with applicable privacy laws in connection with the Indenture or the issuance and sale of the Securities. All opinions expressed in this letter concerning the laws of the Province of Ontario (and the federal laws of Canada applicable therein) have been given by members of the Law Society of Ontario and all opinions expressed in this letter concerning the laws of the State of New York, the DLLCA and the DGCL have been given by members of the Bar of the State of New York.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We hereby consent to the filing of this opinion letter as an exhibit to a report on Form 6-K to be furnished by TRC on the date hereof and its incorporation by reference into the Registration Statement referred to above and further consent to the reference to our name under the captions “Legal Matters” and “Certain Canadian Federal Income Tax Considerations” in the Prospectus Supplement, which is a part of the Registration Statement. In giving this consent, we do not admit that we are in the category of persons whose consent is required under Section 7 of the Securities Act. </w:t>
      </w:r>
    </w:p>
    <w:p>
      <w:pPr>
        <w:pStyle w:val="TextBody"/>
        <w:bidi w:val="0"/>
        <w:spacing w:before="240" w:after="0"/>
        <w:jc w:val="both"/>
        <w:rPr>
          <w:rFonts w:ascii="Times New Roman" w:hAnsi="Times New Roman"/>
          <w:sz w:val="20"/>
        </w:rPr>
      </w:pPr>
      <w:r>
        <w:rPr>
          <w:rFonts w:ascii="Times New Roman" w:hAnsi="Times New Roman"/>
          <w:sz w:val="20"/>
        </w:rPr>
        <w:t xml:space="preserve">Very truly yours, </w:t>
      </w:r>
    </w:p>
    <w:p>
      <w:pPr>
        <w:pStyle w:val="TextBody"/>
        <w:bidi w:val="0"/>
        <w:spacing w:before="240" w:after="0"/>
        <w:jc w:val="both"/>
        <w:rPr>
          <w:rFonts w:ascii="Times New Roman" w:hAnsi="Times New Roman"/>
          <w:sz w:val="20"/>
        </w:rPr>
      </w:pPr>
      <w:r>
        <w:rPr>
          <w:rFonts w:ascii="Times New Roman" w:hAnsi="Times New Roman"/>
          <w:sz w:val="20"/>
        </w:rPr>
        <w:t xml:space="preserve">/s/ Torys LLP </w:t>
      </w:r>
    </w:p>
    <w:p>
      <w:pPr>
        <w:pStyle w:val="TextBody"/>
        <w:bidi w:val="0"/>
        <w:spacing w:before="0" w:after="0"/>
        <w:jc w:val="right"/>
        <w:rPr>
          <w:rFonts w:ascii="Times New Roman" w:hAnsi="Times New Roman"/>
          <w:b/>
          <w:sz w:val="20"/>
        </w:rPr>
      </w:pPr>
      <w:bookmarkStart w:id="4" w:name="d128871dex52.htm"/>
      <w:bookmarkStart w:id="5" w:name="ksd128871dex52"/>
      <w:bookmarkEnd w:id="4"/>
      <w:bookmarkEnd w:id="5"/>
      <w:r>
        <w:rPr>
          <w:rFonts w:ascii="Times New Roman" w:hAnsi="Times New Roman"/>
          <w:b/>
          <w:sz w:val="20"/>
        </w:rPr>
        <w:t xml:space="preserve">Exhibit 5.2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404"/>
        <w:gridCol w:w="120"/>
        <w:gridCol w:w="4681"/>
      </w:tblGrid>
      <w:tr>
        <w:trPr/>
        <w:tc>
          <w:tcPr>
            <w:tcW w:w="540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681" w:type="dxa"/>
            <w:tcBorders/>
            <w:vAlign w:val="center"/>
          </w:tcPr>
          <w:p>
            <w:pPr>
              <w:pStyle w:val="TableContents"/>
              <w:bidi w:val="0"/>
              <w:spacing w:before="0" w:after="283"/>
              <w:jc w:val="left"/>
              <w:rPr>
                <w:sz w:val="4"/>
                <w:szCs w:val="4"/>
              </w:rPr>
            </w:pPr>
            <w:r>
              <w:rPr>
                <w:sz w:val="4"/>
                <w:szCs w:val="4"/>
              </w:rPr>
            </w:r>
          </w:p>
        </w:tc>
      </w:tr>
      <w:tr>
        <w:trPr/>
        <w:tc>
          <w:tcPr>
            <w:tcW w:w="5404" w:type="dxa"/>
            <w:tcBorders/>
          </w:tcPr>
          <w:p>
            <w:pPr>
              <w:pStyle w:val="TableContents"/>
              <w:bidi w:val="0"/>
              <w:spacing w:before="0" w:after="0"/>
              <w:jc w:val="both"/>
              <w:rPr/>
            </w:pPr>
            <w:r>
              <w:rPr/>
              <w:drawing>
                <wp:inline distT="0" distB="0" distL="0" distR="0">
                  <wp:extent cx="1905000" cy="5429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905000" cy="54292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681" w:type="dxa"/>
            <w:tcBorders/>
          </w:tcPr>
          <w:p>
            <w:pPr>
              <w:pStyle w:val="TableContents"/>
              <w:bidi w:val="0"/>
              <w:spacing w:before="0" w:after="0"/>
              <w:jc w:val="both"/>
              <w:rPr>
                <w:rFonts w:ascii="Times New Roman" w:hAnsi="Times New Roman"/>
                <w:b/>
                <w:sz w:val="20"/>
              </w:rPr>
            </w:pPr>
            <w:r>
              <w:rPr>
                <w:rFonts w:ascii="Times New Roman" w:hAnsi="Times New Roman"/>
                <w:b/>
                <w:sz w:val="20"/>
              </w:rPr>
              <w:t>Fredrikson &amp; Byron, P.A.</w:t>
            </w:r>
          </w:p>
          <w:p>
            <w:pPr>
              <w:pStyle w:val="TableContents"/>
              <w:bidi w:val="0"/>
              <w:spacing w:before="0" w:after="0"/>
              <w:jc w:val="both"/>
              <w:rPr>
                <w:rFonts w:ascii="Times New Roman" w:hAnsi="Times New Roman"/>
                <w:sz w:val="20"/>
              </w:rPr>
            </w:pPr>
            <w:r>
              <w:rPr>
                <w:rFonts w:ascii="Times New Roman" w:hAnsi="Times New Roman"/>
                <w:sz w:val="20"/>
              </w:rPr>
              <w:t>Attorneys and Advisors</w:t>
            </w:r>
          </w:p>
          <w:p>
            <w:pPr>
              <w:pStyle w:val="TableContents"/>
              <w:bidi w:val="0"/>
              <w:spacing w:before="0" w:after="0"/>
              <w:jc w:val="left"/>
              <w:rPr/>
            </w:pPr>
            <w:r>
              <w:rPr/>
              <w:t> </w:t>
            </w:r>
          </w:p>
          <w:p>
            <w:pPr>
              <w:pStyle w:val="TableContents"/>
              <w:bidi w:val="0"/>
              <w:spacing w:before="0" w:after="0"/>
              <w:jc w:val="both"/>
              <w:rPr>
                <w:rFonts w:ascii="Times New Roman" w:hAnsi="Times New Roman"/>
                <w:sz w:val="20"/>
              </w:rPr>
            </w:pPr>
            <w:r>
              <w:rPr>
                <w:rFonts w:ascii="Times New Roman" w:hAnsi="Times New Roman"/>
                <w:sz w:val="20"/>
              </w:rPr>
              <w:t>60 South Sixth Street, Suite 1500</w:t>
            </w:r>
          </w:p>
          <w:p>
            <w:pPr>
              <w:pStyle w:val="TableContents"/>
              <w:bidi w:val="0"/>
              <w:spacing w:before="0" w:after="0"/>
              <w:jc w:val="both"/>
              <w:rPr>
                <w:rFonts w:ascii="Times New Roman" w:hAnsi="Times New Roman"/>
                <w:sz w:val="20"/>
              </w:rPr>
            </w:pPr>
            <w:r>
              <w:rPr>
                <w:rFonts w:ascii="Times New Roman" w:hAnsi="Times New Roman"/>
                <w:sz w:val="20"/>
              </w:rPr>
              <w:t>Minneapolis, MN 55402-4400</w:t>
            </w:r>
          </w:p>
          <w:p>
            <w:pPr>
              <w:pStyle w:val="TableContents"/>
              <w:bidi w:val="0"/>
              <w:spacing w:before="0" w:after="0"/>
              <w:jc w:val="both"/>
              <w:rPr>
                <w:rFonts w:ascii="Times New Roman" w:hAnsi="Times New Roman"/>
                <w:sz w:val="20"/>
              </w:rPr>
            </w:pPr>
            <w:r>
              <w:rPr>
                <w:rFonts w:ascii="Times New Roman" w:hAnsi="Times New Roman"/>
                <w:sz w:val="20"/>
              </w:rPr>
              <w:t>Main: 612.492.7000</w:t>
            </w:r>
          </w:p>
          <w:p>
            <w:pPr>
              <w:pStyle w:val="TableContents"/>
              <w:bidi w:val="0"/>
              <w:spacing w:before="0" w:after="20"/>
              <w:jc w:val="both"/>
              <w:rPr>
                <w:rFonts w:ascii="Times New Roman" w:hAnsi="Times New Roman"/>
                <w:sz w:val="20"/>
              </w:rPr>
            </w:pPr>
            <w:r>
              <w:rPr>
                <w:rFonts w:ascii="Times New Roman" w:hAnsi="Times New Roman"/>
                <w:sz w:val="20"/>
              </w:rPr>
              <w:t>fredlaw.com</w:t>
            </w:r>
          </w:p>
        </w:tc>
      </w:tr>
    </w:tbl>
    <w:p>
      <w:pPr>
        <w:pStyle w:val="TextBody"/>
        <w:bidi w:val="0"/>
        <w:spacing w:before="240" w:after="0"/>
        <w:jc w:val="both"/>
        <w:rPr>
          <w:rFonts w:ascii="Times New Roman" w:hAnsi="Times New Roman"/>
          <w:sz w:val="24"/>
        </w:rPr>
      </w:pPr>
      <w:r>
        <w:rPr>
          <w:rFonts w:ascii="Times New Roman" w:hAnsi="Times New Roman"/>
          <w:sz w:val="24"/>
        </w:rPr>
        <w:t xml:space="preserve">September 17, 2026 </w:t>
      </w:r>
    </w:p>
    <w:p>
      <w:pPr>
        <w:pStyle w:val="TextBody"/>
        <w:bidi w:val="0"/>
        <w:spacing w:before="240" w:after="0"/>
        <w:jc w:val="both"/>
        <w:rPr>
          <w:rFonts w:ascii="Times New Roman" w:hAnsi="Times New Roman"/>
          <w:sz w:val="24"/>
        </w:rPr>
      </w:pPr>
      <w:r>
        <w:rPr>
          <w:rFonts w:ascii="Times New Roman" w:hAnsi="Times New Roman"/>
          <w:sz w:val="24"/>
        </w:rPr>
        <w:t xml:space="preserve">Thomson Reuters Corporation </w:t>
      </w:r>
    </w:p>
    <w:p>
      <w:pPr>
        <w:pStyle w:val="TextBody"/>
        <w:bidi w:val="0"/>
        <w:spacing w:before="0" w:after="0"/>
        <w:jc w:val="both"/>
        <w:rPr>
          <w:rFonts w:ascii="Times New Roman" w:hAnsi="Times New Roman"/>
          <w:sz w:val="24"/>
        </w:rPr>
      </w:pPr>
      <w:r>
        <w:rPr>
          <w:rFonts w:ascii="Times New Roman" w:hAnsi="Times New Roman"/>
          <w:sz w:val="24"/>
        </w:rPr>
        <w:t xml:space="preserve">19 Duncan Street </w:t>
      </w:r>
    </w:p>
    <w:p>
      <w:pPr>
        <w:pStyle w:val="TextBody"/>
        <w:bidi w:val="0"/>
        <w:spacing w:before="0" w:after="0"/>
        <w:jc w:val="both"/>
        <w:rPr>
          <w:rFonts w:ascii="Times New Roman" w:hAnsi="Times New Roman"/>
          <w:sz w:val="24"/>
        </w:rPr>
      </w:pPr>
      <w:r>
        <w:rPr>
          <w:rFonts w:ascii="Times New Roman" w:hAnsi="Times New Roman"/>
          <w:sz w:val="24"/>
        </w:rPr>
        <w:t xml:space="preserve">Toronto, Ontario </w:t>
      </w:r>
    </w:p>
    <w:p>
      <w:pPr>
        <w:pStyle w:val="TextBody"/>
        <w:bidi w:val="0"/>
        <w:spacing w:before="0" w:after="0"/>
        <w:jc w:val="both"/>
        <w:rPr>
          <w:rFonts w:ascii="Times New Roman" w:hAnsi="Times New Roman"/>
          <w:sz w:val="24"/>
        </w:rPr>
      </w:pPr>
      <w:r>
        <w:rPr>
          <w:rFonts w:ascii="Times New Roman" w:hAnsi="Times New Roman"/>
          <w:sz w:val="24"/>
        </w:rPr>
        <w:t xml:space="preserve">M5H 3H1, Canada </w:t>
      </w:r>
    </w:p>
    <w:p>
      <w:pPr>
        <w:pStyle w:val="TextBody"/>
        <w:bidi w:val="0"/>
        <w:spacing w:before="240" w:after="0"/>
        <w:jc w:val="both"/>
        <w:rPr>
          <w:rFonts w:ascii="Times New Roman" w:hAnsi="Times New Roman"/>
          <w:sz w:val="24"/>
        </w:rPr>
      </w:pPr>
      <w:r>
        <w:rPr>
          <w:rFonts w:ascii="Times New Roman" w:hAnsi="Times New Roman"/>
          <w:sz w:val="24"/>
        </w:rPr>
        <w:t xml:space="preserve">TR Finance LLC </w:t>
      </w:r>
    </w:p>
    <w:p>
      <w:pPr>
        <w:pStyle w:val="TextBody"/>
        <w:bidi w:val="0"/>
        <w:spacing w:before="0" w:after="0"/>
        <w:jc w:val="both"/>
        <w:rPr>
          <w:rFonts w:ascii="Times New Roman" w:hAnsi="Times New Roman"/>
          <w:sz w:val="24"/>
        </w:rPr>
      </w:pPr>
      <w:r>
        <w:rPr>
          <w:rFonts w:ascii="Times New Roman" w:hAnsi="Times New Roman"/>
          <w:sz w:val="24"/>
        </w:rPr>
        <w:t xml:space="preserve">2900 Ames Crossing Road </w:t>
      </w:r>
    </w:p>
    <w:p>
      <w:pPr>
        <w:pStyle w:val="TextBody"/>
        <w:bidi w:val="0"/>
        <w:spacing w:before="0" w:after="0"/>
        <w:jc w:val="both"/>
        <w:rPr>
          <w:rFonts w:ascii="Times New Roman" w:hAnsi="Times New Roman"/>
          <w:sz w:val="24"/>
        </w:rPr>
      </w:pPr>
      <w:r>
        <w:rPr>
          <w:rFonts w:ascii="Times New Roman" w:hAnsi="Times New Roman"/>
          <w:sz w:val="24"/>
        </w:rPr>
        <w:t xml:space="preserve">Suite 100 </w:t>
      </w:r>
    </w:p>
    <w:p>
      <w:pPr>
        <w:pStyle w:val="TextBody"/>
        <w:bidi w:val="0"/>
        <w:spacing w:before="0" w:after="0"/>
        <w:jc w:val="both"/>
        <w:rPr>
          <w:rFonts w:ascii="Times New Roman" w:hAnsi="Times New Roman"/>
          <w:sz w:val="24"/>
        </w:rPr>
      </w:pPr>
      <w:r>
        <w:rPr>
          <w:rFonts w:ascii="Times New Roman" w:hAnsi="Times New Roman"/>
          <w:sz w:val="24"/>
        </w:rPr>
        <w:t xml:space="preserve">Eagan, Minnesota 55121 </w:t>
      </w:r>
    </w:p>
    <w:p>
      <w:pPr>
        <w:pStyle w:val="TextBody"/>
        <w:bidi w:val="0"/>
        <w:spacing w:before="240" w:after="0"/>
        <w:jc w:val="both"/>
        <w:rPr>
          <w:rFonts w:ascii="Times New Roman" w:hAnsi="Times New Roman"/>
          <w:sz w:val="24"/>
        </w:rPr>
      </w:pPr>
      <w:r>
        <w:rPr>
          <w:rFonts w:ascii="Times New Roman" w:hAnsi="Times New Roman"/>
          <w:sz w:val="24"/>
        </w:rPr>
        <w:t xml:space="preserve">West Publishing Corporation </w:t>
      </w:r>
    </w:p>
    <w:p>
      <w:pPr>
        <w:pStyle w:val="TextBody"/>
        <w:bidi w:val="0"/>
        <w:spacing w:before="0" w:after="0"/>
        <w:jc w:val="both"/>
        <w:rPr>
          <w:rFonts w:ascii="Times New Roman" w:hAnsi="Times New Roman"/>
          <w:sz w:val="24"/>
        </w:rPr>
      </w:pPr>
      <w:r>
        <w:rPr>
          <w:rFonts w:ascii="Times New Roman" w:hAnsi="Times New Roman"/>
          <w:sz w:val="24"/>
        </w:rPr>
        <w:t xml:space="preserve">2900 Ames Crossing Road </w:t>
      </w:r>
    </w:p>
    <w:p>
      <w:pPr>
        <w:pStyle w:val="TextBody"/>
        <w:bidi w:val="0"/>
        <w:spacing w:before="0" w:after="0"/>
        <w:jc w:val="both"/>
        <w:rPr>
          <w:rFonts w:ascii="Times New Roman" w:hAnsi="Times New Roman"/>
          <w:sz w:val="24"/>
        </w:rPr>
      </w:pPr>
      <w:r>
        <w:rPr>
          <w:rFonts w:ascii="Times New Roman" w:hAnsi="Times New Roman"/>
          <w:sz w:val="24"/>
        </w:rPr>
        <w:t xml:space="preserve">Suite 100 </w:t>
      </w:r>
    </w:p>
    <w:p>
      <w:pPr>
        <w:pStyle w:val="TextBody"/>
        <w:bidi w:val="0"/>
        <w:spacing w:before="0" w:after="0"/>
        <w:jc w:val="both"/>
        <w:rPr>
          <w:rFonts w:ascii="Times New Roman" w:hAnsi="Times New Roman"/>
          <w:sz w:val="24"/>
        </w:rPr>
      </w:pPr>
      <w:r>
        <w:rPr>
          <w:rFonts w:ascii="Times New Roman" w:hAnsi="Times New Roman"/>
          <w:sz w:val="24"/>
        </w:rPr>
        <w:t xml:space="preserve">Eagan, Minnesota 55121 </w:t>
      </w:r>
    </w:p>
    <w:p>
      <w:pPr>
        <w:pStyle w:val="TextBody"/>
        <w:bidi w:val="0"/>
        <w:spacing w:before="240" w:after="0"/>
        <w:jc w:val="both"/>
        <w:rPr>
          <w:rFonts w:ascii="Times New Roman" w:hAnsi="Times New Roman"/>
          <w:b/>
          <w:sz w:val="24"/>
        </w:rPr>
      </w:pPr>
      <w:r>
        <w:rPr>
          <w:rFonts w:ascii="Times New Roman" w:hAnsi="Times New Roman"/>
          <w:b/>
          <w:sz w:val="24"/>
        </w:rPr>
        <w:t xml:space="preserve">RE: Registration Statement on Forms F-10 and F-3 </w:t>
      </w:r>
    </w:p>
    <w:p>
      <w:pPr>
        <w:pStyle w:val="TextBody"/>
        <w:bidi w:val="0"/>
        <w:spacing w:before="240" w:after="0"/>
        <w:jc w:val="both"/>
        <w:rPr>
          <w:rFonts w:ascii="Times New Roman" w:hAnsi="Times New Roman"/>
          <w:sz w:val="24"/>
        </w:rPr>
      </w:pPr>
      <w:r>
        <w:rPr>
          <w:rFonts w:ascii="Times New Roman" w:hAnsi="Times New Roman"/>
          <w:sz w:val="24"/>
        </w:rPr>
        <w:t xml:space="preserve">Ladies and Gentlemen: </w:t>
      </w:r>
    </w:p>
    <w:p>
      <w:pPr>
        <w:pStyle w:val="TextBody"/>
        <w:bidi w:val="0"/>
        <w:spacing w:before="240" w:after="0"/>
        <w:jc w:val="both"/>
        <w:rPr>
          <w:rFonts w:ascii="Times New Roman" w:hAnsi="Times New Roman"/>
          <w:sz w:val="24"/>
        </w:rPr>
      </w:pPr>
      <w:r>
        <w:rPr>
          <w:rFonts w:ascii="Times New Roman" w:hAnsi="Times New Roman"/>
          <w:sz w:val="24"/>
        </w:rPr>
        <w:t>We have acted as special counsel to West Publishing Corporation, a Minnesota corporation (the “</w:t>
      </w:r>
      <w:r>
        <w:rPr>
          <w:rFonts w:ascii="Times New Roman" w:hAnsi="Times New Roman"/>
          <w:sz w:val="24"/>
          <w:u w:val="single"/>
        </w:rPr>
        <w:t>Company</w:t>
      </w:r>
      <w:r>
        <w:rPr>
          <w:rFonts w:ascii="Times New Roman" w:hAnsi="Times New Roman"/>
          <w:sz w:val="24"/>
        </w:rPr>
        <w:t>”), in connection with the filing by Thomson Reuters Corporation, a corporation organized under the laws of Ontario (“</w:t>
      </w:r>
      <w:r>
        <w:rPr>
          <w:rFonts w:ascii="Times New Roman" w:hAnsi="Times New Roman"/>
          <w:sz w:val="24"/>
          <w:u w:val="single"/>
        </w:rPr>
        <w:t>TRC</w:t>
      </w:r>
      <w:r>
        <w:rPr>
          <w:rFonts w:ascii="Times New Roman" w:hAnsi="Times New Roman"/>
          <w:sz w:val="24"/>
        </w:rPr>
        <w:t>”), TR Finance LLC, a Delaware limited liability company (“</w:t>
      </w:r>
      <w:r>
        <w:rPr>
          <w:rFonts w:ascii="Times New Roman" w:hAnsi="Times New Roman"/>
          <w:sz w:val="24"/>
          <w:u w:val="single"/>
        </w:rPr>
        <w:t>TRF</w:t>
      </w:r>
      <w:r>
        <w:rPr>
          <w:rFonts w:ascii="Times New Roman" w:hAnsi="Times New Roman"/>
          <w:sz w:val="24"/>
        </w:rPr>
        <w:t>”), Thomson Reuters Applications Inc., a Delaware corporation (“</w:t>
      </w:r>
      <w:r>
        <w:rPr>
          <w:rFonts w:ascii="Times New Roman" w:hAnsi="Times New Roman"/>
          <w:sz w:val="24"/>
          <w:u w:val="single"/>
        </w:rPr>
        <w:t>TRA</w:t>
      </w:r>
      <w:r>
        <w:rPr>
          <w:rFonts w:ascii="Times New Roman" w:hAnsi="Times New Roman"/>
          <w:sz w:val="24"/>
        </w:rPr>
        <w:t>”), Thomson Reuters (Tax &amp; Accounting) Inc. (“</w:t>
      </w:r>
      <w:r>
        <w:rPr>
          <w:rFonts w:ascii="Times New Roman" w:hAnsi="Times New Roman"/>
          <w:sz w:val="24"/>
          <w:u w:val="single"/>
        </w:rPr>
        <w:t>TRTA</w:t>
      </w:r>
      <w:r>
        <w:rPr>
          <w:rFonts w:ascii="Times New Roman" w:hAnsi="Times New Roman"/>
          <w:sz w:val="24"/>
        </w:rPr>
        <w:t>”), a Texas corporation, and the Company (together with TRA and TRTA, the “</w:t>
      </w:r>
      <w:r>
        <w:rPr>
          <w:rFonts w:ascii="Times New Roman" w:hAnsi="Times New Roman"/>
          <w:sz w:val="24"/>
          <w:u w:val="single"/>
        </w:rPr>
        <w:t>Subsidiary Guarantors</w:t>
      </w:r>
      <w:r>
        <w:rPr>
          <w:rFonts w:ascii="Times New Roman" w:hAnsi="Times New Roman"/>
          <w:sz w:val="24"/>
        </w:rPr>
        <w:t>”), of a prospectus supplement, dated as of September 10, 2026 (the “</w:t>
      </w:r>
      <w:r>
        <w:rPr>
          <w:rFonts w:ascii="Times New Roman" w:hAnsi="Times New Roman"/>
          <w:sz w:val="24"/>
          <w:u w:val="single"/>
        </w:rPr>
        <w:t>Prospectus Supplement</w:t>
      </w:r>
      <w:r>
        <w:rPr>
          <w:rFonts w:ascii="Times New Roman" w:hAnsi="Times New Roman"/>
          <w:sz w:val="24"/>
        </w:rPr>
        <w:t>”), filed with the U.S. Securities and Exchange Commission (the “</w:t>
      </w:r>
      <w:r>
        <w:rPr>
          <w:rFonts w:ascii="Times New Roman" w:hAnsi="Times New Roman"/>
          <w:sz w:val="24"/>
          <w:u w:val="single"/>
        </w:rPr>
        <w:t>Commission</w:t>
      </w:r>
      <w:r>
        <w:rPr>
          <w:rFonts w:ascii="Times New Roman" w:hAnsi="Times New Roman"/>
          <w:sz w:val="24"/>
        </w:rPr>
        <w:t>”) under the U.S. Securities Act of 1933, as amended (the “</w:t>
      </w:r>
      <w:r>
        <w:rPr>
          <w:rFonts w:ascii="Times New Roman" w:hAnsi="Times New Roman"/>
          <w:sz w:val="24"/>
          <w:u w:val="single"/>
        </w:rPr>
        <w:t>Securities Act</w:t>
      </w:r>
      <w:r>
        <w:rPr>
          <w:rFonts w:ascii="Times New Roman" w:hAnsi="Times New Roman"/>
          <w:sz w:val="24"/>
        </w:rPr>
        <w:t>”) to the joint registration statement on Form F-10 and Form F-3 (the “</w:t>
      </w:r>
      <w:r>
        <w:rPr>
          <w:rFonts w:ascii="Times New Roman" w:hAnsi="Times New Roman"/>
          <w:sz w:val="24"/>
          <w:u w:val="single"/>
        </w:rPr>
        <w:t>Registration Statement</w:t>
      </w:r>
      <w:r>
        <w:rPr>
          <w:rFonts w:ascii="Times New Roman" w:hAnsi="Times New Roman"/>
          <w:sz w:val="24"/>
        </w:rPr>
        <w:t>”) relating to (i) the issue and sale by TRF of US$800,000,000 aggregate principal amount of its 5.100% notes due 2028 and US$500,000,000 aggregate principal amount of its 5.750% notes due 2033 (the “</w:t>
      </w:r>
      <w:r>
        <w:rPr>
          <w:rFonts w:ascii="Times New Roman" w:hAnsi="Times New Roman"/>
          <w:sz w:val="24"/>
          <w:u w:val="single"/>
        </w:rPr>
        <w:t>Debt Securities</w:t>
      </w:r>
      <w:r>
        <w:rPr>
          <w:rFonts w:ascii="Times New Roman" w:hAnsi="Times New Roman"/>
          <w:sz w:val="24"/>
        </w:rPr>
        <w:t>”), and (ii) guarantees of the Debt Securities by the Company (the “</w:t>
      </w:r>
      <w:r>
        <w:rPr>
          <w:rFonts w:ascii="Times New Roman" w:hAnsi="Times New Roman"/>
          <w:sz w:val="24"/>
          <w:u w:val="single"/>
        </w:rPr>
        <w:t>Guarantee</w:t>
      </w:r>
      <w:r>
        <w:rPr>
          <w:rFonts w:ascii="Times New Roman" w:hAnsi="Times New Roman"/>
          <w:sz w:val="24"/>
        </w:rPr>
        <w:t>”) and the other Subsidiary Guarantors as provided for in the TRF Indenture (as defined below). The Debt Securities will be issued pursuant to an indenture dated as of March 20, 2025, which is filed as an exhibit to the Registration Statement (the “</w:t>
      </w:r>
      <w:r>
        <w:rPr>
          <w:rFonts w:ascii="Times New Roman" w:hAnsi="Times New Roman"/>
          <w:sz w:val="24"/>
          <w:u w:val="single"/>
        </w:rPr>
        <w:t>TRF Base Indenture</w:t>
      </w:r>
      <w:r>
        <w:rPr>
          <w:rFonts w:ascii="Times New Roman" w:hAnsi="Times New Roman"/>
          <w:sz w:val="24"/>
        </w:rPr>
        <w:t>”), among TRF, TRC, the Subsidiary Guarantors, Computershare Trust Company of Canada, a trust company incorporated under the laws of Canada, as Canadian trustee, and Deutsche Bank Trust Company Americas, a New York banking corporation, as U.S. trustee (together, the “</w:t>
      </w:r>
      <w:r>
        <w:rPr>
          <w:rFonts w:ascii="Times New Roman" w:hAnsi="Times New Roman"/>
          <w:sz w:val="24"/>
          <w:u w:val="single"/>
        </w:rPr>
        <w:t>Trustees</w:t>
      </w:r>
      <w:r>
        <w:rPr>
          <w:rFonts w:ascii="Times New Roman" w:hAnsi="Times New Roman"/>
          <w:sz w:val="24"/>
        </w:rPr>
        <w:t xml:space="preserve">”), as supplemented by a sixth supplemental indenture dated as of the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date hereof (the “</w:t>
      </w:r>
      <w:r>
        <w:rPr>
          <w:rFonts w:ascii="Times New Roman" w:hAnsi="Times New Roman"/>
          <w:sz w:val="24"/>
          <w:u w:val="single"/>
        </w:rPr>
        <w:t>TRF Supplemental Indenture</w:t>
      </w:r>
      <w:r>
        <w:rPr>
          <w:rFonts w:ascii="Times New Roman" w:hAnsi="Times New Roman"/>
          <w:sz w:val="24"/>
        </w:rPr>
        <w:t>,” and, together with the TRF Base Indenture, the “</w:t>
      </w:r>
      <w:r>
        <w:rPr>
          <w:rFonts w:ascii="Times New Roman" w:hAnsi="Times New Roman"/>
          <w:sz w:val="24"/>
          <w:u w:val="single"/>
        </w:rPr>
        <w:t>TRF Indenture</w:t>
      </w:r>
      <w:r>
        <w:rPr>
          <w:rFonts w:ascii="Times New Roman" w:hAnsi="Times New Roman"/>
          <w:sz w:val="24"/>
        </w:rPr>
        <w:t xml:space="preserve">”) among TRC, TRF, the Subsidiary Guarantors and the Trustees, a form of which is filed as an exhibit to the Registration Statement. </w:t>
      </w:r>
    </w:p>
    <w:p>
      <w:pPr>
        <w:pStyle w:val="TextBody"/>
        <w:bidi w:val="0"/>
        <w:spacing w:before="240" w:after="0"/>
        <w:jc w:val="both"/>
        <w:rPr>
          <w:rFonts w:ascii="Times New Roman" w:hAnsi="Times New Roman"/>
          <w:sz w:val="24"/>
        </w:rPr>
      </w:pPr>
      <w:r>
        <w:rPr>
          <w:rFonts w:ascii="Times New Roman" w:hAnsi="Times New Roman"/>
          <w:sz w:val="24"/>
        </w:rPr>
        <w:t xml:space="preserve">We are members of the Bar of the State of Minnesota, and we have not considered, and do not express any opinion as to, the laws of any jurisdiction other than the State of Minnesota, and we do not express any opinion as to the effect of any other laws on the opinion stated herein. Without limiting the generality of the foregoing limitations (and without expanding in any way any of the opinions that are set forth in this letter), we express no opinion regarding the legality, validity, binding effect or enforceability of the Guarantee, the Debt Securities, or any other agreement or document. </w:t>
      </w:r>
    </w:p>
    <w:p>
      <w:pPr>
        <w:pStyle w:val="TextBody"/>
        <w:bidi w:val="0"/>
        <w:spacing w:before="240" w:after="0"/>
        <w:jc w:val="both"/>
        <w:rPr>
          <w:rFonts w:ascii="Times New Roman" w:hAnsi="Times New Roman"/>
          <w:sz w:val="24"/>
        </w:rPr>
      </w:pPr>
      <w:r>
        <w:rPr>
          <w:rFonts w:ascii="Times New Roman" w:hAnsi="Times New Roman"/>
          <w:sz w:val="24"/>
        </w:rPr>
        <w:t>In rendering the opinions set forth below, we have examined originals or copies, certified or otherwise identified to our satisfaction, of (i) the articles of incorporation of the Company, as amended to date as in effect on the date hereof (the “</w:t>
      </w:r>
      <w:r>
        <w:rPr>
          <w:rFonts w:ascii="Times New Roman" w:hAnsi="Times New Roman"/>
          <w:sz w:val="24"/>
          <w:u w:val="single"/>
        </w:rPr>
        <w:t>Articles</w:t>
      </w:r>
      <w:r>
        <w:rPr>
          <w:rFonts w:ascii="Times New Roman" w:hAnsi="Times New Roman"/>
          <w:sz w:val="24"/>
        </w:rPr>
        <w:t>”), (ii) the bylaws of the Company, as amended to date and as in effect on the date hereof (the “</w:t>
      </w:r>
      <w:r>
        <w:rPr>
          <w:rFonts w:ascii="Times New Roman" w:hAnsi="Times New Roman"/>
          <w:sz w:val="24"/>
          <w:u w:val="single"/>
        </w:rPr>
        <w:t>Bylaws</w:t>
      </w:r>
      <w:r>
        <w:rPr>
          <w:rFonts w:ascii="Times New Roman" w:hAnsi="Times New Roman"/>
          <w:sz w:val="24"/>
        </w:rPr>
        <w:t>,” and, together with the Articles, the “</w:t>
      </w:r>
      <w:r>
        <w:rPr>
          <w:rFonts w:ascii="Times New Roman" w:hAnsi="Times New Roman"/>
          <w:sz w:val="24"/>
          <w:u w:val="single"/>
        </w:rPr>
        <w:t>Governing Documents</w:t>
      </w:r>
      <w:r>
        <w:rPr>
          <w:rFonts w:ascii="Times New Roman" w:hAnsi="Times New Roman"/>
          <w:sz w:val="24"/>
        </w:rPr>
        <w:t>”), (iii) the TRF Base Indenture, (iv) the TRF Supplemental Indenture, (v) the Prospectus Supplement and the Registration Statement, including the exhibits thereto, (vi) a Certificate of Good Standing, dated September [16], 2026, issued by the Office of the Minnesota Secretary of State in relation to the Company (the “</w:t>
      </w:r>
      <w:r>
        <w:rPr>
          <w:rFonts w:ascii="Times New Roman" w:hAnsi="Times New Roman"/>
          <w:sz w:val="24"/>
          <w:u w:val="single"/>
        </w:rPr>
        <w:t>Certificate of Good Standing</w:t>
      </w:r>
      <w:r>
        <w:rPr>
          <w:rFonts w:ascii="Times New Roman" w:hAnsi="Times New Roman"/>
          <w:sz w:val="24"/>
        </w:rPr>
        <w:t xml:space="preserve">”); and (vii) resolutions of the Board of Directors of the Company related to the TRF Indenture. We have also examined originals, or copies certified to our satisfaction, of such corporate records of the Company and other instruments, certificates of public officials and representatives of the Company and other documents as we have deemed necessary as a basis for the opinions hereinafter expressed. In such examination, we have assumed the genuineness of all signatures, the authenticity of all documents submitted to us as originals and the conformity with the originals of all documents submitted to us as copies. We have not independently established the validity of the foregoing assumptions. As to certain facts material to this opinion letter, we have relied without independent verification upon oral and written statements and representations of officers and other representatives of the Company. </w:t>
      </w:r>
    </w:p>
    <w:p>
      <w:pPr>
        <w:pStyle w:val="TextBody"/>
        <w:bidi w:val="0"/>
        <w:spacing w:before="240" w:after="0"/>
        <w:jc w:val="both"/>
        <w:rPr>
          <w:rFonts w:ascii="Times New Roman" w:hAnsi="Times New Roman"/>
          <w:sz w:val="24"/>
        </w:rPr>
      </w:pPr>
      <w:r>
        <w:rPr>
          <w:rFonts w:ascii="Times New Roman" w:hAnsi="Times New Roman"/>
          <w:sz w:val="24"/>
        </w:rPr>
        <w:t xml:space="preserve">Based upon the foregoing, and subject to the additional assumptions and qualifications set forth below, we advise you that, in our opinion: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93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0"/>
              <w:jc w:val="both"/>
              <w:rPr>
                <w:rFonts w:ascii="Times New Roman" w:hAnsi="Times New Roman"/>
                <w:sz w:val="24"/>
              </w:rPr>
            </w:pPr>
            <w:r>
              <w:rPr>
                <w:rFonts w:ascii="Times New Roman" w:hAnsi="Times New Roman"/>
                <w:sz w:val="24"/>
              </w:rPr>
              <w:t>1.</w:t>
            </w:r>
          </w:p>
        </w:tc>
        <w:tc>
          <w:tcPr>
            <w:tcW w:w="9391" w:type="dxa"/>
            <w:tcBorders/>
          </w:tcPr>
          <w:p>
            <w:pPr>
              <w:pStyle w:val="TableContents"/>
              <w:bidi w:val="0"/>
              <w:spacing w:before="0" w:after="0"/>
              <w:jc w:val="both"/>
              <w:rPr>
                <w:rFonts w:ascii="Times New Roman" w:hAnsi="Times New Roman"/>
                <w:sz w:val="24"/>
              </w:rPr>
            </w:pPr>
            <w:r>
              <w:rPr>
                <w:rFonts w:ascii="Times New Roman" w:hAnsi="Times New Roman"/>
                <w:sz w:val="24"/>
              </w:rPr>
              <w:t xml:space="preserve">Based solely on the Certificate of Good Standing, the Company is a corporation formed under the laws of the State of Minnesota, is registered to do business in the State of Minnesota as a corporation, and is in good standing under the laws of the State of Minnesota.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9392"/>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0"/>
              <w:jc w:val="both"/>
              <w:rPr>
                <w:rFonts w:ascii="Times New Roman" w:hAnsi="Times New Roman"/>
                <w:sz w:val="24"/>
              </w:rPr>
            </w:pPr>
            <w:r>
              <w:rPr>
                <w:rFonts w:ascii="Times New Roman" w:hAnsi="Times New Roman"/>
                <w:sz w:val="24"/>
              </w:rPr>
              <w:t>2.</w:t>
            </w:r>
          </w:p>
        </w:tc>
        <w:tc>
          <w:tcPr>
            <w:tcW w:w="9392" w:type="dxa"/>
            <w:tcBorders/>
          </w:tcPr>
          <w:p>
            <w:pPr>
              <w:pStyle w:val="TableContents"/>
              <w:bidi w:val="0"/>
              <w:spacing w:before="0" w:after="0"/>
              <w:jc w:val="both"/>
              <w:rPr>
                <w:rFonts w:ascii="Times New Roman" w:hAnsi="Times New Roman"/>
                <w:sz w:val="24"/>
              </w:rPr>
            </w:pPr>
            <w:r>
              <w:rPr>
                <w:rFonts w:ascii="Times New Roman" w:hAnsi="Times New Roman"/>
                <w:sz w:val="24"/>
              </w:rPr>
              <w:t xml:space="preserve">The Company has the necessary corporate power and authority under the laws of the State of Minnesota to execute, deliver and perform its obligations under the TRF Indenture and has taken all corporate action necessary to authorize the TRF Indenture and to perform its obligations thereunder.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9392"/>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0"/>
              <w:jc w:val="both"/>
              <w:rPr>
                <w:rFonts w:ascii="Times New Roman" w:hAnsi="Times New Roman"/>
                <w:sz w:val="24"/>
              </w:rPr>
            </w:pPr>
            <w:r>
              <w:rPr>
                <w:rFonts w:ascii="Times New Roman" w:hAnsi="Times New Roman"/>
                <w:sz w:val="24"/>
              </w:rPr>
              <w:t>3.</w:t>
            </w:r>
          </w:p>
        </w:tc>
        <w:tc>
          <w:tcPr>
            <w:tcW w:w="9392" w:type="dxa"/>
            <w:tcBorders/>
          </w:tcPr>
          <w:p>
            <w:pPr>
              <w:pStyle w:val="TableContents"/>
              <w:bidi w:val="0"/>
              <w:spacing w:before="0" w:after="0"/>
              <w:jc w:val="both"/>
              <w:rPr>
                <w:rFonts w:ascii="Times New Roman" w:hAnsi="Times New Roman"/>
                <w:sz w:val="24"/>
              </w:rPr>
            </w:pPr>
            <w:r>
              <w:rPr>
                <w:rFonts w:ascii="Times New Roman" w:hAnsi="Times New Roman"/>
                <w:sz w:val="24"/>
              </w:rPr>
              <w:t xml:space="preserve">The execution and delivery by the Company of the TRF Indenture does not violate: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815"/>
        <w:gridCol w:w="306"/>
        <w:gridCol w:w="9084"/>
      </w:tblGrid>
      <w:tr>
        <w:trPr/>
        <w:tc>
          <w:tcPr>
            <w:tcW w:w="81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0"/>
              <w:jc w:val="both"/>
              <w:rPr>
                <w:rFonts w:ascii="Times New Roman" w:hAnsi="Times New Roman"/>
                <w:sz w:val="24"/>
              </w:rPr>
            </w:pPr>
            <w:r>
              <w:rPr>
                <w:rFonts w:ascii="Times New Roman" w:hAnsi="Times New Roman"/>
                <w:sz w:val="24"/>
              </w:rPr>
              <w:t>a.</w:t>
            </w:r>
          </w:p>
        </w:tc>
        <w:tc>
          <w:tcPr>
            <w:tcW w:w="9084" w:type="dxa"/>
            <w:tcBorders/>
          </w:tcPr>
          <w:p>
            <w:pPr>
              <w:pStyle w:val="TableContents"/>
              <w:bidi w:val="0"/>
              <w:spacing w:before="0" w:after="0"/>
              <w:jc w:val="both"/>
              <w:rPr>
                <w:rFonts w:ascii="Times New Roman" w:hAnsi="Times New Roman"/>
                <w:sz w:val="24"/>
              </w:rPr>
            </w:pPr>
            <w:r>
              <w:rPr>
                <w:rFonts w:ascii="Times New Roman" w:hAnsi="Times New Roman"/>
                <w:sz w:val="24"/>
              </w:rPr>
              <w:t xml:space="preserve">the Governing Documents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9084"/>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0"/>
              <w:jc w:val="both"/>
              <w:rPr>
                <w:rFonts w:ascii="Times New Roman" w:hAnsi="Times New Roman"/>
                <w:sz w:val="24"/>
              </w:rPr>
            </w:pPr>
            <w:r>
              <w:rPr>
                <w:rFonts w:ascii="Times New Roman" w:hAnsi="Times New Roman"/>
                <w:sz w:val="24"/>
              </w:rPr>
              <w:t>b.</w:t>
            </w:r>
          </w:p>
        </w:tc>
        <w:tc>
          <w:tcPr>
            <w:tcW w:w="9084" w:type="dxa"/>
            <w:tcBorders/>
          </w:tcPr>
          <w:p>
            <w:pPr>
              <w:pStyle w:val="TableContents"/>
              <w:bidi w:val="0"/>
              <w:spacing w:before="0" w:after="0"/>
              <w:jc w:val="both"/>
              <w:rPr>
                <w:rFonts w:ascii="Times New Roman" w:hAnsi="Times New Roman"/>
                <w:sz w:val="24"/>
              </w:rPr>
            </w:pPr>
            <w:r>
              <w:rPr>
                <w:rFonts w:ascii="Times New Roman" w:hAnsi="Times New Roman"/>
                <w:sz w:val="24"/>
              </w:rPr>
              <w:t xml:space="preserve">the Minnesota Business Corporations Act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6"/>
        <w:gridCol w:w="9083"/>
      </w:tblGrid>
      <w:tr>
        <w:trPr/>
        <w:tc>
          <w:tcPr>
            <w:tcW w:w="81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0"/>
              <w:jc w:val="both"/>
              <w:rPr>
                <w:rFonts w:ascii="Times New Roman" w:hAnsi="Times New Roman"/>
                <w:sz w:val="24"/>
              </w:rPr>
            </w:pPr>
            <w:r>
              <w:rPr>
                <w:rFonts w:ascii="Times New Roman" w:hAnsi="Times New Roman"/>
                <w:sz w:val="24"/>
              </w:rPr>
              <w:t>c.</w:t>
            </w:r>
          </w:p>
        </w:tc>
        <w:tc>
          <w:tcPr>
            <w:tcW w:w="9083" w:type="dxa"/>
            <w:tcBorders/>
          </w:tcPr>
          <w:p>
            <w:pPr>
              <w:pStyle w:val="TableContents"/>
              <w:bidi w:val="0"/>
              <w:spacing w:before="0" w:after="0"/>
              <w:jc w:val="both"/>
              <w:rPr>
                <w:rFonts w:ascii="Times New Roman" w:hAnsi="Times New Roman"/>
                <w:sz w:val="24"/>
              </w:rPr>
            </w:pPr>
            <w:r>
              <w:rPr>
                <w:rFonts w:ascii="Times New Roman" w:hAnsi="Times New Roman"/>
                <w:sz w:val="24"/>
              </w:rPr>
              <w:t xml:space="preserve">any other Minnesota or United States of America federal statute. </w:t>
            </w:r>
          </w:p>
        </w:tc>
      </w:tr>
    </w:tbl>
    <w:p>
      <w:pPr>
        <w:pStyle w:val="TextBody"/>
        <w:bidi w:val="0"/>
        <w:spacing w:before="240" w:after="0"/>
        <w:jc w:val="both"/>
        <w:rPr>
          <w:rFonts w:ascii="Times New Roman" w:hAnsi="Times New Roman"/>
          <w:sz w:val="24"/>
        </w:rPr>
      </w:pPr>
      <w:r>
        <w:rPr>
          <w:rFonts w:ascii="Times New Roman" w:hAnsi="Times New Roman"/>
          <w:sz w:val="24"/>
        </w:rPr>
        <w:t xml:space="preserve">The opinions expressed herein are subject in all respects to the following additional assumptions, qualifications, limitations, conditions and exclusions: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9392"/>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0"/>
              <w:jc w:val="both"/>
              <w:rPr>
                <w:rFonts w:ascii="Times New Roman" w:hAnsi="Times New Roman"/>
                <w:sz w:val="24"/>
              </w:rPr>
            </w:pPr>
            <w:r>
              <w:rPr>
                <w:rFonts w:ascii="Times New Roman" w:hAnsi="Times New Roman"/>
                <w:sz w:val="24"/>
              </w:rPr>
              <w:t>1.</w:t>
            </w:r>
          </w:p>
        </w:tc>
        <w:tc>
          <w:tcPr>
            <w:tcW w:w="9392" w:type="dxa"/>
            <w:tcBorders/>
          </w:tcPr>
          <w:p>
            <w:pPr>
              <w:pStyle w:val="TableContents"/>
              <w:bidi w:val="0"/>
              <w:spacing w:before="0" w:after="0"/>
              <w:jc w:val="both"/>
              <w:rPr>
                <w:rFonts w:ascii="Times New Roman" w:hAnsi="Times New Roman"/>
                <w:sz w:val="24"/>
              </w:rPr>
            </w:pPr>
            <w:r>
              <w:rPr>
                <w:rFonts w:ascii="Times New Roman" w:hAnsi="Times New Roman"/>
                <w:sz w:val="24"/>
              </w:rPr>
              <w:t xml:space="preserve">We express no opinion as to any agreement other than the TRF Indenture. With respect to the TRF Indenture, including the Guarantees contained therein, we express no opinion as to enforceability. </w:t>
            </w:r>
          </w:p>
        </w:tc>
      </w:tr>
    </w:tbl>
    <w:p>
      <w:pPr>
        <w:pStyle w:val="TextBody"/>
        <w:bidi w:val="0"/>
        <w:spacing w:before="240" w:after="0"/>
        <w:jc w:val="both"/>
        <w:rPr>
          <w:rFonts w:ascii="Times New Roman" w:hAnsi="Times New Roman"/>
          <w:sz w:val="24"/>
        </w:rPr>
      </w:pPr>
      <w:r>
        <w:rPr>
          <w:rFonts w:ascii="Times New Roman" w:hAnsi="Times New Roman"/>
          <w:sz w:val="24"/>
        </w:rPr>
        <w:t xml:space="preserve">This opinion letter has been prepared, and is to be understood, in accordance with customary practice of lawyers who regularly give and lawyers who regularly advise recipients regarding opinions of this kind, is limited to the matters expressly stated herein and is provided solely for purposes of complying with the requirements of the Registration Statement, and no opinions may be inferred or implied beyond the matters expressly stated herein. This opinion is rendered as of the date hereof, and we disclaim any undertaking to advise you of any subsequent changes in the facts stated or assumed herein or any subsequent changes in applicable law that may come to our attention. </w:t>
      </w:r>
    </w:p>
    <w:p>
      <w:pPr>
        <w:pStyle w:val="TextBody"/>
        <w:bidi w:val="0"/>
        <w:spacing w:before="240" w:after="0"/>
        <w:jc w:val="both"/>
        <w:rPr>
          <w:rFonts w:ascii="Times New Roman" w:hAnsi="Times New Roman"/>
          <w:sz w:val="24"/>
        </w:rPr>
      </w:pPr>
      <w:r>
        <w:rPr>
          <w:rFonts w:ascii="Times New Roman" w:hAnsi="Times New Roman"/>
          <w:sz w:val="24"/>
        </w:rPr>
        <w:t xml:space="preserve">We hereby consent to the filing of a copy of this opinion as an exhibit to TRC’s report on Form 6-K to be filed on the date hereof and incorporated by reference into the Registration Statement. In addition, we consent to Torys LLP’s reliance as to matters of Minnesota law upon this opinion letter in connection with the rendering of its opinion of even date herewith concerning the Guarantee, but only to the extent of the opinions specifically set forth herein. In giving these consents, we do not thereby admit that we are within the category of persons whose consent is required under Sections 7 and 11 of the Securities Act and the rules and regulations thereunder.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both"/>
              <w:rPr>
                <w:rFonts w:ascii="Times New Roman" w:hAnsi="Times New Roman"/>
                <w:sz w:val="24"/>
              </w:rPr>
            </w:pPr>
            <w:r>
              <w:rPr>
                <w:rFonts w:ascii="Times New Roman" w:hAnsi="Times New Roman"/>
                <w:sz w:val="24"/>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both"/>
              <w:rPr>
                <w:rFonts w:ascii="Times New Roman" w:hAnsi="Times New Roman"/>
                <w:sz w:val="24"/>
              </w:rPr>
            </w:pPr>
            <w:r>
              <w:rPr>
                <w:rFonts w:ascii="Times New Roman" w:hAnsi="Times New Roman"/>
                <w:sz w:val="24"/>
              </w:rPr>
              <w:t>/s/ FREDRIKSON &amp; BYRON, P.A.</w:t>
            </w:r>
          </w:p>
        </w:tc>
      </w:tr>
      <w:tr>
        <w:trPr>
          <w:trHeight w:val="48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both"/>
              <w:rPr>
                <w:rFonts w:ascii="Times New Roman" w:hAnsi="Times New Roman"/>
                <w:sz w:val="24"/>
              </w:rPr>
            </w:pPr>
            <w:r>
              <w:rPr>
                <w:rFonts w:ascii="Times New Roman" w:hAnsi="Times New Roman"/>
                <w:sz w:val="24"/>
              </w:rPr>
              <w:t>/s/ Andrew Nick</w:t>
            </w:r>
          </w:p>
        </w:tc>
      </w:tr>
      <w:tr>
        <w:trPr/>
        <w:tc>
          <w:tcPr>
            <w:tcW w:w="4082" w:type="dxa"/>
            <w:tcBorders/>
          </w:tcPr>
          <w:p>
            <w:pPr>
              <w:pStyle w:val="TableContents"/>
              <w:bidi w:val="0"/>
              <w:spacing w:before="0" w:after="0"/>
              <w:jc w:val="both"/>
              <w:rPr>
                <w:rFonts w:ascii="Times New Roman" w:hAnsi="Times New Roman"/>
                <w:sz w:val="24"/>
              </w:rPr>
            </w:pPr>
            <w:r>
              <w:rPr>
                <w:rFonts w:ascii="Times New Roman" w:hAnsi="Times New Roman"/>
                <w:sz w:val="24"/>
              </w:rPr>
              <w:t>Name: Andrew Nick</w:t>
            </w:r>
          </w:p>
        </w:tc>
      </w:tr>
      <w:tr>
        <w:trPr/>
        <w:tc>
          <w:tcPr>
            <w:tcW w:w="4082" w:type="dxa"/>
            <w:tcBorders/>
          </w:tcPr>
          <w:p>
            <w:pPr>
              <w:pStyle w:val="TableContents"/>
              <w:bidi w:val="0"/>
              <w:spacing w:before="0" w:after="0"/>
              <w:jc w:val="both"/>
              <w:rPr>
                <w:rFonts w:ascii="Times New Roman" w:hAnsi="Times New Roman"/>
                <w:sz w:val="24"/>
              </w:rPr>
            </w:pPr>
            <w:r>
              <w:rPr>
                <w:rFonts w:ascii="Times New Roman" w:hAnsi="Times New Roman"/>
                <w:sz w:val="24"/>
              </w:rPr>
              <w:t>Its: Vice President</w:t>
            </w:r>
          </w:p>
        </w:tc>
      </w:tr>
    </w:tbl>
    <w:p>
      <w:pPr>
        <w:pStyle w:val="TextBody"/>
        <w:bidi w:val="0"/>
        <w:spacing w:before="0" w:after="0"/>
        <w:jc w:val="right"/>
        <w:rPr>
          <w:rFonts w:ascii="Times New Roman" w:hAnsi="Times New Roman"/>
          <w:b/>
          <w:sz w:val="24"/>
        </w:rPr>
      </w:pPr>
      <w:bookmarkStart w:id="6" w:name="d128871dex53.htm"/>
      <w:bookmarkStart w:id="7" w:name="ksd128871dex53"/>
      <w:bookmarkEnd w:id="6"/>
      <w:bookmarkEnd w:id="7"/>
      <w:r>
        <w:rPr>
          <w:rFonts w:ascii="Times New Roman" w:hAnsi="Times New Roman"/>
          <w:b/>
          <w:sz w:val="24"/>
        </w:rPr>
        <w:t xml:space="preserve">Exhibit 5.3 </w:t>
      </w:r>
      <w:r>
        <w:br w:type="page"/>
      </w:r>
    </w:p>
    <w:p>
      <w:pPr>
        <w:pStyle w:val="TextBody"/>
        <w:bidi w:val="0"/>
        <w:spacing w:before="0" w:after="0"/>
        <w:jc w:val="left"/>
        <w:rPr/>
      </w:pPr>
      <w:r>
        <w:rPr/>
        <w:t> </w:t>
      </w:r>
    </w:p>
    <w:p>
      <w:pPr>
        <w:pStyle w:val="TextBody"/>
        <w:bidi w:val="0"/>
        <w:spacing w:before="0" w:after="0"/>
        <w:jc w:val="both"/>
        <w:rPr/>
      </w:pPr>
      <w:r>
        <w:rPr/>
        <w:drawing>
          <wp:inline distT="0" distB="0" distL="0" distR="0">
            <wp:extent cx="2066925" cy="3429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066925" cy="342900"/>
                    </a:xfrm>
                    <a:prstGeom prst="rect">
                      <a:avLst/>
                    </a:prstGeom>
                  </pic:spPr>
                </pic:pic>
              </a:graphicData>
            </a:graphic>
          </wp:inline>
        </w:drawing>
      </w:r>
      <w:r>
        <w:rPr/>
        <w:t xml:space="preserve"> </w:t>
      </w:r>
    </w:p>
    <w:p>
      <w:pPr>
        <w:pStyle w:val="TextBody"/>
        <w:bidi w:val="0"/>
        <w:spacing w:before="720" w:after="0"/>
        <w:jc w:val="both"/>
        <w:rPr>
          <w:rFonts w:ascii="Times New Roman" w:hAnsi="Times New Roman"/>
          <w:sz w:val="24"/>
        </w:rPr>
      </w:pPr>
      <w:r>
        <w:rPr>
          <w:rFonts w:ascii="Times New Roman" w:hAnsi="Times New Roman"/>
          <w:sz w:val="24"/>
        </w:rPr>
        <w:t xml:space="preserve">September 17, 2026 </w:t>
      </w:r>
    </w:p>
    <w:p>
      <w:pPr>
        <w:pStyle w:val="TextBody"/>
        <w:bidi w:val="0"/>
        <w:spacing w:before="480" w:after="0"/>
        <w:jc w:val="both"/>
        <w:rPr>
          <w:rFonts w:ascii="Times New Roman" w:hAnsi="Times New Roman"/>
          <w:sz w:val="24"/>
        </w:rPr>
      </w:pPr>
      <w:r>
        <w:rPr>
          <w:rFonts w:ascii="Times New Roman" w:hAnsi="Times New Roman"/>
          <w:sz w:val="24"/>
        </w:rPr>
        <w:t xml:space="preserve">Thomson Reuters Corporation </w:t>
      </w:r>
    </w:p>
    <w:p>
      <w:pPr>
        <w:pStyle w:val="TextBody"/>
        <w:bidi w:val="0"/>
        <w:spacing w:before="0" w:after="0"/>
        <w:jc w:val="both"/>
        <w:rPr>
          <w:rFonts w:ascii="Times New Roman" w:hAnsi="Times New Roman"/>
          <w:sz w:val="24"/>
        </w:rPr>
      </w:pPr>
      <w:r>
        <w:rPr>
          <w:rFonts w:ascii="Times New Roman" w:hAnsi="Times New Roman"/>
          <w:sz w:val="24"/>
        </w:rPr>
        <w:t xml:space="preserve">19 Duncan Street </w:t>
      </w:r>
    </w:p>
    <w:p>
      <w:pPr>
        <w:pStyle w:val="TextBody"/>
        <w:bidi w:val="0"/>
        <w:spacing w:before="0" w:after="0"/>
        <w:jc w:val="both"/>
        <w:rPr>
          <w:rFonts w:ascii="Times New Roman" w:hAnsi="Times New Roman"/>
          <w:sz w:val="24"/>
        </w:rPr>
      </w:pPr>
      <w:r>
        <w:rPr>
          <w:rFonts w:ascii="Times New Roman" w:hAnsi="Times New Roman"/>
          <w:sz w:val="24"/>
        </w:rPr>
        <w:t xml:space="preserve">Toronto, Ontario M5H 3H1, Canada </w:t>
      </w:r>
    </w:p>
    <w:p>
      <w:pPr>
        <w:pStyle w:val="TextBody"/>
        <w:bidi w:val="0"/>
        <w:spacing w:before="240" w:after="0"/>
        <w:jc w:val="both"/>
        <w:rPr>
          <w:rFonts w:ascii="Times New Roman" w:hAnsi="Times New Roman"/>
          <w:sz w:val="24"/>
        </w:rPr>
      </w:pPr>
      <w:r>
        <w:rPr>
          <w:rFonts w:ascii="Times New Roman" w:hAnsi="Times New Roman"/>
          <w:sz w:val="24"/>
        </w:rPr>
        <w:t xml:space="preserve">TR Finance LLC </w:t>
      </w:r>
    </w:p>
    <w:p>
      <w:pPr>
        <w:pStyle w:val="TextBody"/>
        <w:bidi w:val="0"/>
        <w:spacing w:before="0" w:after="0"/>
        <w:jc w:val="both"/>
        <w:rPr>
          <w:rFonts w:ascii="Times New Roman" w:hAnsi="Times New Roman"/>
          <w:sz w:val="24"/>
        </w:rPr>
      </w:pPr>
      <w:r>
        <w:rPr>
          <w:rFonts w:ascii="Times New Roman" w:hAnsi="Times New Roman"/>
          <w:sz w:val="24"/>
        </w:rPr>
        <w:t xml:space="preserve">2900 Ames Crossing, Suite 100 </w:t>
      </w:r>
    </w:p>
    <w:p>
      <w:pPr>
        <w:pStyle w:val="TextBody"/>
        <w:bidi w:val="0"/>
        <w:spacing w:before="0" w:after="0"/>
        <w:jc w:val="both"/>
        <w:rPr>
          <w:rFonts w:ascii="Times New Roman" w:hAnsi="Times New Roman"/>
          <w:sz w:val="24"/>
        </w:rPr>
      </w:pPr>
      <w:r>
        <w:rPr>
          <w:rFonts w:ascii="Times New Roman" w:hAnsi="Times New Roman"/>
          <w:sz w:val="24"/>
        </w:rPr>
        <w:t xml:space="preserve">Eagan, Minnesota 55121 </w:t>
      </w:r>
    </w:p>
    <w:p>
      <w:pPr>
        <w:pStyle w:val="TextBody"/>
        <w:bidi w:val="0"/>
        <w:spacing w:before="240" w:after="0"/>
        <w:jc w:val="both"/>
        <w:rPr>
          <w:rFonts w:ascii="Times New Roman" w:hAnsi="Times New Roman"/>
          <w:sz w:val="24"/>
        </w:rPr>
      </w:pPr>
      <w:r>
        <w:rPr>
          <w:rFonts w:ascii="Times New Roman" w:hAnsi="Times New Roman"/>
          <w:sz w:val="24"/>
        </w:rPr>
        <w:t xml:space="preserve">Thomson Reuters (Tax &amp; Accounting) Inc. </w:t>
      </w:r>
    </w:p>
    <w:p>
      <w:pPr>
        <w:pStyle w:val="TextBody"/>
        <w:bidi w:val="0"/>
        <w:spacing w:before="0" w:after="0"/>
        <w:jc w:val="both"/>
        <w:rPr>
          <w:rFonts w:ascii="Times New Roman" w:hAnsi="Times New Roman"/>
          <w:sz w:val="24"/>
        </w:rPr>
      </w:pPr>
      <w:r>
        <w:rPr>
          <w:rFonts w:ascii="Times New Roman" w:hAnsi="Times New Roman"/>
          <w:sz w:val="24"/>
        </w:rPr>
        <w:t xml:space="preserve">2395 Midway Road </w:t>
      </w:r>
    </w:p>
    <w:p>
      <w:pPr>
        <w:pStyle w:val="TextBody"/>
        <w:bidi w:val="0"/>
        <w:spacing w:before="0" w:after="0"/>
        <w:jc w:val="both"/>
        <w:rPr>
          <w:rFonts w:ascii="Times New Roman" w:hAnsi="Times New Roman"/>
          <w:sz w:val="24"/>
        </w:rPr>
      </w:pPr>
      <w:r>
        <w:rPr>
          <w:rFonts w:ascii="Times New Roman" w:hAnsi="Times New Roman"/>
          <w:sz w:val="24"/>
        </w:rPr>
        <w:t xml:space="preserve">Carrollton, Texas 75006 </w:t>
      </w:r>
    </w:p>
    <w:p>
      <w:pPr>
        <w:pStyle w:val="TextBody"/>
        <w:bidi w:val="0"/>
        <w:spacing w:before="240" w:after="0"/>
        <w:jc w:val="both"/>
        <w:rPr>
          <w:rFonts w:ascii="Times New Roman" w:hAnsi="Times New Roman"/>
          <w:sz w:val="24"/>
        </w:rPr>
      </w:pPr>
      <w:r>
        <w:rPr>
          <w:rFonts w:ascii="Times New Roman" w:hAnsi="Times New Roman"/>
          <w:sz w:val="24"/>
        </w:rPr>
        <w:t>Re: </w:t>
      </w:r>
      <w:r>
        <w:rPr>
          <w:rFonts w:ascii="Times New Roman" w:hAnsi="Times New Roman"/>
          <w:sz w:val="24"/>
          <w:u w:val="single"/>
        </w:rPr>
        <w:t>Thomson Reuters (Tax &amp; Accounting) Inc.</w:t>
      </w:r>
      <w:r>
        <w:rPr>
          <w:rFonts w:ascii="Times New Roman" w:hAnsi="Times New Roman"/>
          <w:sz w:val="24"/>
        </w:rPr>
        <w:t xml:space="preserve"> </w:t>
      </w:r>
    </w:p>
    <w:p>
      <w:pPr>
        <w:pStyle w:val="TextBody"/>
        <w:bidi w:val="0"/>
        <w:spacing w:before="480" w:after="0"/>
        <w:jc w:val="both"/>
        <w:rPr>
          <w:rFonts w:ascii="Times New Roman" w:hAnsi="Times New Roman"/>
          <w:sz w:val="24"/>
        </w:rPr>
      </w:pPr>
      <w:r>
        <w:rPr>
          <w:rFonts w:ascii="Times New Roman" w:hAnsi="Times New Roman"/>
          <w:sz w:val="24"/>
        </w:rPr>
        <w:t xml:space="preserve">Ladies and Gentlemen: </w:t>
      </w:r>
    </w:p>
    <w:p>
      <w:pPr>
        <w:pStyle w:val="TextBody"/>
        <w:bidi w:val="0"/>
        <w:spacing w:before="240" w:after="0"/>
        <w:jc w:val="both"/>
        <w:rPr>
          <w:rFonts w:ascii="Times New Roman" w:hAnsi="Times New Roman"/>
          <w:sz w:val="24"/>
        </w:rPr>
      </w:pPr>
      <w:r>
        <w:rPr>
          <w:rFonts w:ascii="Times New Roman" w:hAnsi="Times New Roman"/>
          <w:sz w:val="24"/>
        </w:rPr>
        <w:t>We have acted as Texas local counsel for Thomson Reuters (Tax &amp; Accounting) Inc., a Texas corporation (the “</w:t>
      </w:r>
      <w:r>
        <w:rPr>
          <w:rFonts w:ascii="Times New Roman" w:hAnsi="Times New Roman"/>
          <w:sz w:val="24"/>
          <w:u w:val="single"/>
        </w:rPr>
        <w:t>Company</w:t>
      </w:r>
      <w:r>
        <w:rPr>
          <w:rFonts w:ascii="Times New Roman" w:hAnsi="Times New Roman"/>
          <w:sz w:val="24"/>
        </w:rPr>
        <w:t>”), in connection with the filing by TR Finance LLC, a Delaware limited liability company (“</w:t>
      </w:r>
      <w:r>
        <w:rPr>
          <w:rFonts w:ascii="Times New Roman" w:hAnsi="Times New Roman"/>
          <w:sz w:val="24"/>
          <w:u w:val="single"/>
        </w:rPr>
        <w:t>TR Finance</w:t>
      </w:r>
      <w:r>
        <w:rPr>
          <w:rFonts w:ascii="Times New Roman" w:hAnsi="Times New Roman"/>
          <w:sz w:val="24"/>
        </w:rPr>
        <w:t>”), Thomson Reuters Corporation, a corporation amalgamated under the laws of the Province of Ontario (“</w:t>
      </w:r>
      <w:r>
        <w:rPr>
          <w:rFonts w:ascii="Times New Roman" w:hAnsi="Times New Roman"/>
          <w:sz w:val="24"/>
          <w:u w:val="single"/>
        </w:rPr>
        <w:t>TRC</w:t>
      </w:r>
      <w:r>
        <w:rPr>
          <w:rFonts w:ascii="Times New Roman" w:hAnsi="Times New Roman"/>
          <w:sz w:val="24"/>
        </w:rPr>
        <w:t>”), the Company and certain other subsidiary guarantors of TRC (collectively, the “</w:t>
      </w:r>
      <w:r>
        <w:rPr>
          <w:rFonts w:ascii="Times New Roman" w:hAnsi="Times New Roman"/>
          <w:sz w:val="24"/>
          <w:u w:val="single"/>
        </w:rPr>
        <w:t>Subsidiary Guarantors</w:t>
      </w:r>
      <w:r>
        <w:rPr>
          <w:rFonts w:ascii="Times New Roman" w:hAnsi="Times New Roman"/>
          <w:sz w:val="24"/>
        </w:rPr>
        <w:t>”), of a prospectus supplement, dated as of September 10, 2026 (the “</w:t>
      </w:r>
      <w:r>
        <w:rPr>
          <w:rFonts w:ascii="Times New Roman" w:hAnsi="Times New Roman"/>
          <w:sz w:val="24"/>
          <w:u w:val="single"/>
        </w:rPr>
        <w:t>Prospectus Supplement</w:t>
      </w:r>
      <w:r>
        <w:rPr>
          <w:rFonts w:ascii="Times New Roman" w:hAnsi="Times New Roman"/>
          <w:sz w:val="24"/>
        </w:rPr>
        <w:t>”), filed with the U.S. Securities and Exchange Commission under the Securities Act of 1933, as amended, to the joint registration statement on Form F-10 and Form F-3 (File Nos. 333-285907 and 333-285927) (the “</w:t>
      </w:r>
      <w:r>
        <w:rPr>
          <w:rFonts w:ascii="Times New Roman" w:hAnsi="Times New Roman"/>
          <w:sz w:val="24"/>
          <w:u w:val="single"/>
        </w:rPr>
        <w:t>Registration Statement</w:t>
      </w:r>
      <w:r>
        <w:rPr>
          <w:rFonts w:ascii="Times New Roman" w:hAnsi="Times New Roman"/>
          <w:sz w:val="24"/>
        </w:rPr>
        <w:t>”), relating to the offering of (i) US$800,000,000 aggregate principal amount of 5.100% notes due 2028 and US$500,000,000 aggregate principal amount of 5.750% notes due 2033 issued by TR Finance (the “</w:t>
      </w:r>
      <w:r>
        <w:rPr>
          <w:rFonts w:ascii="Times New Roman" w:hAnsi="Times New Roman"/>
          <w:sz w:val="24"/>
          <w:u w:val="single"/>
        </w:rPr>
        <w:t>TR Finance Debt Securities</w:t>
      </w:r>
      <w:r>
        <w:rPr>
          <w:rFonts w:ascii="Times New Roman" w:hAnsi="Times New Roman"/>
          <w:sz w:val="24"/>
        </w:rPr>
        <w:t>”), and (ii) guarantees of the TR Finance Debt Securities by the Company (the “</w:t>
      </w:r>
      <w:r>
        <w:rPr>
          <w:rFonts w:ascii="Times New Roman" w:hAnsi="Times New Roman"/>
          <w:sz w:val="24"/>
          <w:u w:val="single"/>
        </w:rPr>
        <w:t>Guarantee</w:t>
      </w:r>
      <w:r>
        <w:rPr>
          <w:rFonts w:ascii="Times New Roman" w:hAnsi="Times New Roman"/>
          <w:sz w:val="24"/>
        </w:rPr>
        <w:t>”), TRC and the other Subsidiary Guarantors pursuant to an indenture dated as of March 20, 2025, among TR Finance, TRC, the Subsidiary Guarantors, and Computershare Trust Company of Canada and Deutsche Bank Trust Company Americas, as cotrustees (the “</w:t>
      </w:r>
      <w:r>
        <w:rPr>
          <w:rFonts w:ascii="Times New Roman" w:hAnsi="Times New Roman"/>
          <w:sz w:val="24"/>
          <w:u w:val="single"/>
        </w:rPr>
        <w:t>Trustees</w:t>
      </w:r>
      <w:r>
        <w:rPr>
          <w:rFonts w:ascii="Times New Roman" w:hAnsi="Times New Roman"/>
          <w:sz w:val="24"/>
        </w:rPr>
        <w:t>”) (the “</w:t>
      </w:r>
      <w:r>
        <w:rPr>
          <w:rFonts w:ascii="Times New Roman" w:hAnsi="Times New Roman"/>
          <w:sz w:val="24"/>
          <w:u w:val="single"/>
        </w:rPr>
        <w:t>TR Finance Base Indenture</w:t>
      </w:r>
      <w:r>
        <w:rPr>
          <w:rFonts w:ascii="Times New Roman" w:hAnsi="Times New Roman"/>
          <w:sz w:val="24"/>
        </w:rPr>
        <w:t>”), as supplemented by the sixth supplemental indenture thereto, dated as of the date hereof, among TR Finance, TRC, the Subsidiary Guarantors and the Trustees (the “</w:t>
      </w:r>
      <w:r>
        <w:rPr>
          <w:rFonts w:ascii="Times New Roman" w:hAnsi="Times New Roman"/>
          <w:sz w:val="24"/>
          <w:u w:val="single"/>
        </w:rPr>
        <w:t>TR Finance Supplemental Indenture</w:t>
      </w:r>
      <w:r>
        <w:rPr>
          <w:rFonts w:ascii="Times New Roman" w:hAnsi="Times New Roman"/>
          <w:sz w:val="24"/>
        </w:rPr>
        <w:t>” and together with the TR Finance Base Indenture, the “</w:t>
      </w:r>
      <w:r>
        <w:rPr>
          <w:rFonts w:ascii="Times New Roman" w:hAnsi="Times New Roman"/>
          <w:sz w:val="24"/>
          <w:u w:val="single"/>
        </w:rPr>
        <w:t>TR Finance Indenture</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In connection with this opinion letter, we have examined originals, or copies certified or otherwise identified to our satisfaction, of the following documents: </w:t>
      </w:r>
    </w:p>
    <w:p>
      <w:pPr>
        <w:pStyle w:val="TextBody"/>
        <w:bidi w:val="0"/>
        <w:spacing w:before="240" w:after="0"/>
        <w:jc w:val="both"/>
        <w:rPr>
          <w:rFonts w:ascii="Times New Roman" w:hAnsi="Times New Roman"/>
          <w:sz w:val="24"/>
        </w:rPr>
      </w:pPr>
      <w:r>
        <w:rPr>
          <w:rFonts w:ascii="Times New Roman" w:hAnsi="Times New Roman"/>
          <w:sz w:val="24"/>
        </w:rPr>
        <w:t xml:space="preserve">(a) the TR Finance Base Indenture; </w:t>
      </w:r>
    </w:p>
    <w:p>
      <w:pPr>
        <w:pStyle w:val="TextBody"/>
        <w:bidi w:val="0"/>
        <w:spacing w:before="240" w:after="0"/>
        <w:jc w:val="both"/>
        <w:rPr>
          <w:rFonts w:ascii="Times New Roman" w:hAnsi="Times New Roman"/>
          <w:sz w:val="24"/>
        </w:rPr>
      </w:pPr>
      <w:r>
        <w:rPr>
          <w:rFonts w:ascii="Times New Roman" w:hAnsi="Times New Roman"/>
          <w:sz w:val="24"/>
        </w:rPr>
        <w:t xml:space="preserve">(b) the TR Finance Supplemental Indenture; </w:t>
      </w:r>
    </w:p>
    <w:p>
      <w:pPr>
        <w:pStyle w:val="TextBody"/>
        <w:bidi w:val="0"/>
        <w:spacing w:before="480" w:after="0"/>
        <w:jc w:val="both"/>
        <w:rPr>
          <w:rFonts w:ascii="Times New Roman" w:hAnsi="Times New Roman"/>
          <w:b/>
          <w:sz w:val="20"/>
        </w:rPr>
      </w:pPr>
      <w:r>
        <w:rPr>
          <w:rFonts w:ascii="Times New Roman" w:hAnsi="Times New Roman"/>
          <w:b/>
          <w:sz w:val="20"/>
        </w:rPr>
        <w:t xml:space="preserve">Morgan, Lewis &amp; Bockius LLP </w:t>
      </w:r>
    </w:p>
    <w:p>
      <w:pPr>
        <w:pStyle w:val="TextBody"/>
        <w:bidi w:val="0"/>
        <w:spacing w:before="240" w:after="0"/>
        <w:jc w:val="both"/>
        <w:rPr>
          <w:rFonts w:ascii="Times New Roman" w:hAnsi="Times New Roman"/>
          <w:sz w:val="20"/>
        </w:rPr>
      </w:pPr>
      <w:r>
        <w:rPr>
          <w:rFonts w:ascii="Times New Roman" w:hAnsi="Times New Roman"/>
          <w:sz w:val="20"/>
        </w:rPr>
        <w:t xml:space="preserve">101 Park Avenue </w:t>
      </w:r>
    </w:p>
    <w:p>
      <w:pPr>
        <w:pStyle w:val="TextBody"/>
        <w:bidi w:val="0"/>
        <w:spacing w:before="0" w:after="0"/>
        <w:jc w:val="both"/>
        <w:rPr>
          <w:rFonts w:ascii="Times New Roman" w:hAnsi="Times New Roman"/>
          <w:sz w:val="20"/>
        </w:rPr>
      </w:pPr>
      <w:r>
        <w:rPr>
          <w:rFonts w:ascii="Times New Roman" w:hAnsi="Times New Roman"/>
          <w:sz w:val="20"/>
        </w:rPr>
        <w:t xml:space="preserve">New York, NY 10178-0060    </w:t>
      </w:r>
      <w:r>
        <w:rPr>
          <w:rFonts w:ascii="Times New Roman" w:hAnsi="Times New Roman"/>
          <w:sz w:val="20"/>
        </w:rPr>
        <w:drawing>
          <wp:inline distT="0" distB="0" distL="0" distR="0">
            <wp:extent cx="104775" cy="1047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04775" cy="104775"/>
                    </a:xfrm>
                    <a:prstGeom prst="rect">
                      <a:avLst/>
                    </a:prstGeom>
                  </pic:spPr>
                </pic:pic>
              </a:graphicData>
            </a:graphic>
          </wp:inline>
        </w:drawing>
      </w:r>
      <w:r>
        <w:rPr>
          <w:rFonts w:ascii="Times New Roman" w:hAnsi="Times New Roman"/>
          <w:sz w:val="20"/>
        </w:rPr>
        <w:t xml:space="preserve"> +1.212.309.6000 </w:t>
      </w:r>
    </w:p>
    <w:p>
      <w:pPr>
        <w:pStyle w:val="TextBody"/>
        <w:bidi w:val="0"/>
        <w:spacing w:before="0" w:after="0"/>
        <w:jc w:val="both"/>
        <w:rPr>
          <w:rFonts w:ascii="Times New Roman" w:hAnsi="Times New Roman"/>
          <w:sz w:val="20"/>
        </w:rPr>
      </w:pPr>
      <w:r>
        <w:rPr>
          <w:rFonts w:ascii="Times New Roman" w:hAnsi="Times New Roman"/>
          <w:sz w:val="20"/>
        </w:rPr>
        <w:t xml:space="preserve">United States           </w:t>
      </w:r>
      <w:r>
        <w:rPr>
          <w:rFonts w:ascii="Times New Roman" w:hAnsi="Times New Roman"/>
          <w:sz w:val="20"/>
        </w:rPr>
        <w:drawing>
          <wp:inline distT="0" distB="0" distL="0" distR="0">
            <wp:extent cx="114300" cy="1143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4300" cy="114300"/>
                    </a:xfrm>
                    <a:prstGeom prst="rect">
                      <a:avLst/>
                    </a:prstGeom>
                  </pic:spPr>
                </pic:pic>
              </a:graphicData>
            </a:graphic>
          </wp:inline>
        </w:drawing>
      </w:r>
      <w:r>
        <w:rPr>
          <w:rFonts w:ascii="Times New Roman" w:hAnsi="Times New Roman"/>
          <w:sz w:val="20"/>
        </w:rPr>
        <w:t xml:space="preserve"> +1.212.309.6001 </w:t>
      </w:r>
      <w:r>
        <w:br w:type="page"/>
      </w:r>
    </w:p>
    <w:p>
      <w:pPr>
        <w:pStyle w:val="HorizontalLine"/>
        <w:pBdr>
          <w:bottom w:val="double" w:sz="6" w:space="0" w:color="808080"/>
        </w:pBdr>
        <w:bidi w:val="0"/>
        <w:jc w:val="left"/>
        <w:rPr/>
      </w:pPr>
      <w:r>
        <w:rPr/>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4"/>
        </w:rPr>
        <w:t xml:space="preserve">Thomson Reuters Corporation; TR Finance LLC; Thomson Reuters (Tax &amp; Accounting) Inc. </w:t>
      </w:r>
    </w:p>
    <w:p>
      <w:pPr>
        <w:pStyle w:val="TextBody"/>
        <w:bidi w:val="0"/>
        <w:spacing w:before="0" w:after="0"/>
        <w:jc w:val="both"/>
        <w:rPr>
          <w:rFonts w:ascii="Times New Roman" w:hAnsi="Times New Roman"/>
          <w:sz w:val="24"/>
        </w:rPr>
      </w:pPr>
      <w:r>
        <w:rPr>
          <w:rFonts w:ascii="Times New Roman" w:hAnsi="Times New Roman"/>
          <w:sz w:val="24"/>
        </w:rPr>
        <w:t xml:space="preserve">September 17, 2026 </w:t>
      </w:r>
    </w:p>
    <w:p>
      <w:pPr>
        <w:pStyle w:val="TextBody"/>
        <w:bidi w:val="0"/>
        <w:spacing w:before="0" w:after="0"/>
        <w:jc w:val="both"/>
        <w:rPr>
          <w:rFonts w:ascii="Times New Roman" w:hAnsi="Times New Roman"/>
          <w:sz w:val="24"/>
        </w:rPr>
      </w:pPr>
      <w:r>
        <w:rPr>
          <w:rFonts w:ascii="Times New Roman" w:hAnsi="Times New Roman"/>
          <w:sz w:val="24"/>
        </w:rPr>
        <w:t xml:space="preserve">Page 2 </w:t>
      </w:r>
    </w:p>
    <w:p>
      <w:pPr>
        <w:pStyle w:val="TextBody"/>
        <w:bidi w:val="0"/>
        <w:spacing w:before="240" w:after="0"/>
        <w:jc w:val="both"/>
        <w:rPr>
          <w:rFonts w:ascii="Times New Roman" w:hAnsi="Times New Roman"/>
          <w:sz w:val="24"/>
        </w:rPr>
      </w:pPr>
      <w:r>
        <w:rPr>
          <w:rFonts w:ascii="Times New Roman" w:hAnsi="Times New Roman"/>
          <w:sz w:val="24"/>
        </w:rPr>
        <w:t xml:space="preserve">(c) the Prospectus Supplement and the Registration Statement; </w:t>
      </w:r>
    </w:p>
    <w:p>
      <w:pPr>
        <w:pStyle w:val="TextBody"/>
        <w:bidi w:val="0"/>
        <w:spacing w:before="240" w:after="0"/>
        <w:jc w:val="both"/>
        <w:rPr>
          <w:rFonts w:ascii="Times New Roman" w:hAnsi="Times New Roman"/>
          <w:sz w:val="24"/>
        </w:rPr>
      </w:pPr>
      <w:r>
        <w:rPr>
          <w:rFonts w:ascii="Times New Roman" w:hAnsi="Times New Roman"/>
          <w:sz w:val="24"/>
        </w:rPr>
        <w:t>(d) the Certificate of Incorporation (the “</w:t>
      </w:r>
      <w:r>
        <w:rPr>
          <w:rFonts w:ascii="Times New Roman" w:hAnsi="Times New Roman"/>
          <w:sz w:val="24"/>
          <w:u w:val="single"/>
        </w:rPr>
        <w:t>Company’s Charter</w:t>
      </w:r>
      <w:r>
        <w:rPr>
          <w:rFonts w:ascii="Times New Roman" w:hAnsi="Times New Roman"/>
          <w:sz w:val="24"/>
        </w:rPr>
        <w:t xml:space="preserve">”) of the Company, certified by the Secretary of State of the State of Texas as of September 2, 2026, and certified by an officer of the Company as of the date hereof as being true, complete and correct and in full force and effect; </w:t>
      </w:r>
    </w:p>
    <w:p>
      <w:pPr>
        <w:pStyle w:val="TextBody"/>
        <w:bidi w:val="0"/>
        <w:spacing w:before="240" w:after="0"/>
        <w:jc w:val="both"/>
        <w:rPr>
          <w:rFonts w:ascii="Times New Roman" w:hAnsi="Times New Roman"/>
          <w:sz w:val="24"/>
        </w:rPr>
      </w:pPr>
      <w:r>
        <w:rPr>
          <w:rFonts w:ascii="Times New Roman" w:hAnsi="Times New Roman"/>
          <w:sz w:val="24"/>
        </w:rPr>
        <w:t>(e) the By-Laws of the Company (the “</w:t>
      </w:r>
      <w:r>
        <w:rPr>
          <w:rFonts w:ascii="Times New Roman" w:hAnsi="Times New Roman"/>
          <w:sz w:val="24"/>
          <w:u w:val="single"/>
        </w:rPr>
        <w:t>Company’s By-Laws</w:t>
      </w:r>
      <w:r>
        <w:rPr>
          <w:rFonts w:ascii="Times New Roman" w:hAnsi="Times New Roman"/>
          <w:sz w:val="24"/>
        </w:rPr>
        <w:t>”, and together with the Company’s Charter, the “</w:t>
      </w:r>
      <w:r>
        <w:rPr>
          <w:rFonts w:ascii="Times New Roman" w:hAnsi="Times New Roman"/>
          <w:sz w:val="24"/>
          <w:u w:val="single"/>
        </w:rPr>
        <w:t>Governing Documents</w:t>
      </w:r>
      <w:r>
        <w:rPr>
          <w:rFonts w:ascii="Times New Roman" w:hAnsi="Times New Roman"/>
          <w:sz w:val="24"/>
        </w:rPr>
        <w:t xml:space="preserve">”), certified by an officer of the Company as of the date hereof as being true, complete and correct and in full force and effect; </w:t>
      </w:r>
    </w:p>
    <w:p>
      <w:pPr>
        <w:pStyle w:val="TextBody"/>
        <w:bidi w:val="0"/>
        <w:spacing w:before="240" w:after="0"/>
        <w:jc w:val="both"/>
        <w:rPr>
          <w:rFonts w:ascii="Times New Roman" w:hAnsi="Times New Roman"/>
          <w:sz w:val="24"/>
        </w:rPr>
      </w:pPr>
      <w:r>
        <w:rPr>
          <w:rFonts w:ascii="Times New Roman" w:hAnsi="Times New Roman"/>
          <w:sz w:val="24"/>
        </w:rPr>
        <w:t xml:space="preserve">(f) the certificate of certain officers of the Company, as of the date hereof, as to certain actions taken by the Board of Directors of the Company by unanimous written consent dated as of September 10, 2026, and as to the titles, incumbency, and specimen signatures of certain officers of the Company; and </w:t>
      </w:r>
    </w:p>
    <w:p>
      <w:pPr>
        <w:pStyle w:val="TextBody"/>
        <w:bidi w:val="0"/>
        <w:spacing w:before="240" w:after="0"/>
        <w:jc w:val="both"/>
        <w:rPr>
          <w:rFonts w:ascii="Times New Roman" w:hAnsi="Times New Roman"/>
          <w:sz w:val="24"/>
        </w:rPr>
      </w:pPr>
      <w:r>
        <w:rPr>
          <w:rFonts w:ascii="Times New Roman" w:hAnsi="Times New Roman"/>
          <w:sz w:val="24"/>
        </w:rPr>
        <w:t xml:space="preserve">(g) the certificate of a certain public official with respect to the Company attached hereto as </w:t>
      </w:r>
      <w:r>
        <w:rPr>
          <w:rFonts w:ascii="Times New Roman" w:hAnsi="Times New Roman"/>
          <w:sz w:val="24"/>
          <w:u w:val="single"/>
        </w:rPr>
        <w:t>Exhibit A</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This opinion is based entirely on our review of the documents listed in the preceding paragraph, and we have made no other documentary review or investigation of any kind whatsoever for purposes of this opinion. </w:t>
      </w:r>
    </w:p>
    <w:p>
      <w:pPr>
        <w:pStyle w:val="TextBody"/>
        <w:bidi w:val="0"/>
        <w:spacing w:before="240" w:after="0"/>
        <w:jc w:val="both"/>
        <w:rPr>
          <w:rFonts w:ascii="Times New Roman" w:hAnsi="Times New Roman"/>
          <w:sz w:val="24"/>
        </w:rPr>
      </w:pPr>
      <w:r>
        <w:rPr>
          <w:rFonts w:ascii="Times New Roman" w:hAnsi="Times New Roman"/>
          <w:sz w:val="24"/>
        </w:rPr>
        <w:t xml:space="preserve">We have assumed the genuineness of all signatures, the legal capacity of natural persons, the authenticity of the documents submitted to us as originals, the conformity to the original documents of all documents submitted to us as certified, facsimile or photostatic copies, and the authenticity of the originals of all documents submitted to us as copies. We have further assumed that each party to each of the documents to be executed in connection with the TR Finance Base Indenture has agreed that (i) such documents may be electronically signed, and (ii) any electronic signatures appearing on any such document are the same as handwritten signatures for the purposes of validity, enforceability and admissibility thereof. </w:t>
      </w:r>
    </w:p>
    <w:p>
      <w:pPr>
        <w:pStyle w:val="TextBody"/>
        <w:bidi w:val="0"/>
        <w:spacing w:before="240" w:after="0"/>
        <w:jc w:val="both"/>
        <w:rPr>
          <w:rFonts w:ascii="Times New Roman" w:hAnsi="Times New Roman"/>
          <w:sz w:val="24"/>
        </w:rPr>
      </w:pPr>
      <w:r>
        <w:rPr>
          <w:rFonts w:ascii="Times New Roman" w:hAnsi="Times New Roman"/>
          <w:sz w:val="24"/>
        </w:rPr>
        <w:t xml:space="preserve">As to all matters of fact, we have relied, with your permission, entirely upon the representations of the Company contained in any document and upon the certificates of officers of the Company and a public official listed above. </w:t>
      </w:r>
    </w:p>
    <w:p>
      <w:pPr>
        <w:pStyle w:val="TextBody"/>
        <w:bidi w:val="0"/>
        <w:spacing w:before="240" w:after="0"/>
        <w:jc w:val="both"/>
        <w:rPr>
          <w:rFonts w:ascii="Times New Roman" w:hAnsi="Times New Roman"/>
          <w:sz w:val="24"/>
        </w:rPr>
      </w:pPr>
      <w:r>
        <w:rPr>
          <w:rFonts w:ascii="Times New Roman" w:hAnsi="Times New Roman"/>
          <w:sz w:val="24"/>
        </w:rPr>
        <w:t xml:space="preserve">In rendering the opinions set forth herein, whenever a statement or opinion is qualified by “to our knowledge,” “known to us” or by words of similar import, it is intended to indicate that, during the course of our representation of the Company in the subject transaction, no information has come to the attention of those lawyers in the New York and Houston offices of our firm who have rendered legal services in connection with such transaction that gives us actual knowledge of the inaccuracy of such statement or opinion. We have not undertaken any independent investigation to determine the accuracy of facts material to any such statement or opinion, and no inference as to such statement or opinion should be drawn from the fact of our representation of the Company. </w:t>
      </w:r>
      <w:r>
        <w:br w:type="page"/>
      </w:r>
    </w:p>
    <w:p>
      <w:pPr>
        <w:pStyle w:val="HorizontalLine"/>
        <w:pBdr>
          <w:bottom w:val="double" w:sz="6" w:space="0" w:color="808080"/>
        </w:pBdr>
        <w:bidi w:val="0"/>
        <w:jc w:val="left"/>
        <w:rPr/>
      </w:pPr>
      <w:r>
        <w:rPr/>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4"/>
        </w:rPr>
        <w:t xml:space="preserve">Thomson Reuters Corporation; TR Finance LLC; Thomson Reuters (Tax &amp; Accounting) Inc. </w:t>
      </w:r>
    </w:p>
    <w:p>
      <w:pPr>
        <w:pStyle w:val="TextBody"/>
        <w:bidi w:val="0"/>
        <w:spacing w:before="0" w:after="0"/>
        <w:jc w:val="both"/>
        <w:rPr>
          <w:rFonts w:ascii="Times New Roman" w:hAnsi="Times New Roman"/>
          <w:sz w:val="24"/>
        </w:rPr>
      </w:pPr>
      <w:r>
        <w:rPr>
          <w:rFonts w:ascii="Times New Roman" w:hAnsi="Times New Roman"/>
          <w:sz w:val="24"/>
        </w:rPr>
        <w:t xml:space="preserve">September 17, 2026 </w:t>
      </w:r>
    </w:p>
    <w:p>
      <w:pPr>
        <w:pStyle w:val="TextBody"/>
        <w:bidi w:val="0"/>
        <w:spacing w:before="0" w:after="0"/>
        <w:jc w:val="both"/>
        <w:rPr>
          <w:rFonts w:ascii="Times New Roman" w:hAnsi="Times New Roman"/>
          <w:sz w:val="24"/>
        </w:rPr>
      </w:pPr>
      <w:r>
        <w:rPr>
          <w:rFonts w:ascii="Times New Roman" w:hAnsi="Times New Roman"/>
          <w:sz w:val="24"/>
        </w:rPr>
        <w:t xml:space="preserve">Page 3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 w:after="0"/>
        <w:jc w:val="both"/>
        <w:rPr>
          <w:rFonts w:ascii="Times New Roman" w:hAnsi="Times New Roman"/>
          <w:sz w:val="24"/>
        </w:rPr>
      </w:pPr>
      <w:r>
        <w:rPr>
          <w:rFonts w:ascii="Times New Roman" w:hAnsi="Times New Roman"/>
          <w:sz w:val="24"/>
        </w:rPr>
        <w:t xml:space="preserve">Based upon and subject to the foregoing, and to the limitations and qualifications described above and below, we are of the opinion that: </w:t>
      </w:r>
    </w:p>
    <w:p>
      <w:pPr>
        <w:pStyle w:val="TextBody"/>
        <w:bidi w:val="0"/>
        <w:spacing w:before="240" w:after="0"/>
        <w:jc w:val="both"/>
        <w:rPr>
          <w:rFonts w:ascii="Times New Roman" w:hAnsi="Times New Roman"/>
          <w:sz w:val="24"/>
        </w:rPr>
      </w:pPr>
      <w:r>
        <w:rPr>
          <w:rFonts w:ascii="Times New Roman" w:hAnsi="Times New Roman"/>
          <w:sz w:val="24"/>
        </w:rPr>
        <w:t xml:space="preserve">1.  The Company is a corporation validly existing under the laws of the State of Texas. </w:t>
      </w:r>
    </w:p>
    <w:p>
      <w:pPr>
        <w:pStyle w:val="TextBody"/>
        <w:bidi w:val="0"/>
        <w:spacing w:before="240" w:after="0"/>
        <w:jc w:val="both"/>
        <w:rPr>
          <w:rFonts w:ascii="Times New Roman" w:hAnsi="Times New Roman"/>
          <w:sz w:val="24"/>
        </w:rPr>
      </w:pPr>
      <w:r>
        <w:rPr>
          <w:rFonts w:ascii="Times New Roman" w:hAnsi="Times New Roman"/>
          <w:sz w:val="24"/>
        </w:rPr>
        <w:t xml:space="preserve">2.  The Company has the corporate power and authority to enter into and perform the TR Finance Indenture, has taken all necessary corporate action to authorize the execution, delivery and performance of the TR Finance Indenture and has duly executed and delivered the TR Finance Indenture. </w:t>
      </w:r>
    </w:p>
    <w:p>
      <w:pPr>
        <w:pStyle w:val="TextBody"/>
        <w:bidi w:val="0"/>
        <w:spacing w:before="240" w:after="0"/>
        <w:jc w:val="both"/>
        <w:rPr>
          <w:rFonts w:ascii="Times New Roman" w:hAnsi="Times New Roman"/>
          <w:sz w:val="24"/>
        </w:rPr>
      </w:pPr>
      <w:r>
        <w:rPr>
          <w:rFonts w:ascii="Times New Roman" w:hAnsi="Times New Roman"/>
          <w:sz w:val="24"/>
        </w:rPr>
        <w:t xml:space="preserve">3.  The execution and delivery by the Company of the TR Finance Indenture do not, and the performance by the Company of its obligations thereunder will not result in a violation of the Governing Documents of the Company. </w:t>
      </w:r>
    </w:p>
    <w:p>
      <w:pPr>
        <w:pStyle w:val="TextBody"/>
        <w:bidi w:val="0"/>
        <w:spacing w:before="240" w:after="0"/>
        <w:jc w:val="both"/>
        <w:rPr>
          <w:rFonts w:ascii="Times New Roman" w:hAnsi="Times New Roman"/>
          <w:sz w:val="24"/>
        </w:rPr>
      </w:pPr>
      <w:r>
        <w:rPr>
          <w:rFonts w:ascii="Times New Roman" w:hAnsi="Times New Roman"/>
          <w:sz w:val="24"/>
        </w:rPr>
        <w:t>4.  The execution and delivery by the Company of the TR Finance Indenture does not, and the performance by the Company of its obligations thereunder will not, require any approval from or filing with any governmental authority of the United States of America pursuant to federal law or the State of Texas pursuant to the Texas Business Organizations Code (the “</w:t>
      </w:r>
      <w:r>
        <w:rPr>
          <w:rFonts w:ascii="Times New Roman" w:hAnsi="Times New Roman"/>
          <w:sz w:val="24"/>
          <w:u w:val="single"/>
        </w:rPr>
        <w:t>TBOC</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5.  The execution and delivery by the Company of the TR Finance Indenture does not, and the performance by the Company of its obligations thereunder will not, result in any violation by the Company of any federal statute of the United States of America or any provision of the TBOC. </w:t>
      </w:r>
    </w:p>
    <w:p>
      <w:pPr>
        <w:pStyle w:val="TextBody"/>
        <w:bidi w:val="0"/>
        <w:spacing w:before="240" w:after="0"/>
        <w:jc w:val="both"/>
        <w:rPr>
          <w:rFonts w:ascii="Times New Roman" w:hAnsi="Times New Roman"/>
          <w:sz w:val="24"/>
        </w:rPr>
      </w:pPr>
      <w:r>
        <w:rPr>
          <w:rFonts w:ascii="Times New Roman" w:hAnsi="Times New Roman"/>
          <w:sz w:val="24"/>
        </w:rPr>
        <w:t xml:space="preserve">The opinions expressed above are subject to the limitations, exceptions, qualifications and assumptions stated above and below: </w:t>
      </w:r>
    </w:p>
    <w:p>
      <w:pPr>
        <w:pStyle w:val="TextBody"/>
        <w:bidi w:val="0"/>
        <w:spacing w:before="240" w:after="0"/>
        <w:jc w:val="both"/>
        <w:rPr>
          <w:rFonts w:ascii="Times New Roman" w:hAnsi="Times New Roman"/>
          <w:sz w:val="24"/>
        </w:rPr>
      </w:pPr>
      <w:r>
        <w:rPr>
          <w:rFonts w:ascii="Times New Roman" w:hAnsi="Times New Roman"/>
          <w:sz w:val="24"/>
        </w:rPr>
        <w:t xml:space="preserve">A.  For purposes of this opinion, we have made such examination of law as we have deemed necessary. This opinion is limited solely to the internal substantive laws of the State of Texas as applied by courts located in the State of Texas without regard to choice of law and the federal laws of the United States of America (except for Federal and state tax, antitrust, energy, utilities, insurance, foreign investment, national emergency, economic or public health emergency, national security, anti-terrorism, anti-money laundering, consumer protection, derivatives, securities, disclosure and blue sky laws, and entity beneficial ownership reporting laws (including the federal Corporate Transparency Act)), as to each of which we express no opinion in this letter, and we express no opinion as to the laws of any other jurisdiction. </w:t>
      </w:r>
    </w:p>
    <w:p>
      <w:pPr>
        <w:pStyle w:val="TextBody"/>
        <w:bidi w:val="0"/>
        <w:spacing w:before="240" w:after="0"/>
        <w:jc w:val="both"/>
        <w:rPr>
          <w:rFonts w:ascii="Times New Roman" w:hAnsi="Times New Roman"/>
          <w:sz w:val="24"/>
        </w:rPr>
      </w:pPr>
      <w:r>
        <w:rPr>
          <w:rFonts w:ascii="Times New Roman" w:hAnsi="Times New Roman"/>
          <w:sz w:val="24"/>
        </w:rPr>
        <w:t xml:space="preserve">B.  For purposes of our opinions in paragraph 1 hereof as to the valid existence of the Company, we have relied solely upon the certificate of a public official attached hereto as </w:t>
      </w:r>
      <w:r>
        <w:rPr>
          <w:rFonts w:ascii="Times New Roman" w:hAnsi="Times New Roman"/>
          <w:sz w:val="24"/>
          <w:u w:val="single"/>
        </w:rPr>
        <w:t>Exhibit A</w:t>
      </w:r>
      <w:r>
        <w:rPr>
          <w:rFonts w:ascii="Times New Roman" w:hAnsi="Times New Roman"/>
          <w:sz w:val="24"/>
        </w:rPr>
        <w:t xml:space="preserve"> and (where applicable) the Governing Documents. </w:t>
      </w:r>
    </w:p>
    <w:p>
      <w:pPr>
        <w:pStyle w:val="TextBody"/>
        <w:bidi w:val="0"/>
        <w:spacing w:before="240" w:after="0"/>
        <w:jc w:val="both"/>
        <w:rPr>
          <w:rFonts w:ascii="Times New Roman" w:hAnsi="Times New Roman"/>
          <w:sz w:val="24"/>
        </w:rPr>
      </w:pPr>
      <w:r>
        <w:rPr>
          <w:rFonts w:ascii="Times New Roman" w:hAnsi="Times New Roman"/>
          <w:sz w:val="24"/>
        </w:rPr>
        <w:t xml:space="preserve">C.  For purposes of the opinions in paragraphs 4 and 5, we have considered only such laws and regulations that in our experience are typically applicable to a transaction of </w:t>
      </w:r>
      <w:r>
        <w:br w:type="page"/>
      </w:r>
    </w:p>
    <w:p>
      <w:pPr>
        <w:pStyle w:val="HorizontalLine"/>
        <w:pBdr>
          <w:bottom w:val="double" w:sz="6" w:space="0" w:color="808080"/>
        </w:pBdr>
        <w:bidi w:val="0"/>
        <w:jc w:val="left"/>
        <w:rPr/>
      </w:pPr>
      <w:r>
        <w:rPr/>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4"/>
        </w:rPr>
        <w:t xml:space="preserve">Thomson Reuters Corporation; TR Finance LLC; Thomson Reuters (Tax &amp; Accounting) Inc. </w:t>
      </w:r>
    </w:p>
    <w:p>
      <w:pPr>
        <w:pStyle w:val="TextBody"/>
        <w:bidi w:val="0"/>
        <w:spacing w:before="0" w:after="0"/>
        <w:jc w:val="both"/>
        <w:rPr>
          <w:rFonts w:ascii="Times New Roman" w:hAnsi="Times New Roman"/>
          <w:sz w:val="24"/>
        </w:rPr>
      </w:pPr>
      <w:r>
        <w:rPr>
          <w:rFonts w:ascii="Times New Roman" w:hAnsi="Times New Roman"/>
          <w:sz w:val="24"/>
        </w:rPr>
        <w:t xml:space="preserve">September 17, 2026 </w:t>
      </w:r>
    </w:p>
    <w:p>
      <w:pPr>
        <w:pStyle w:val="TextBody"/>
        <w:bidi w:val="0"/>
        <w:spacing w:before="0" w:after="0"/>
        <w:jc w:val="both"/>
        <w:rPr>
          <w:rFonts w:ascii="Times New Roman" w:hAnsi="Times New Roman"/>
          <w:sz w:val="24"/>
        </w:rPr>
      </w:pPr>
      <w:r>
        <w:rPr>
          <w:rFonts w:ascii="Times New Roman" w:hAnsi="Times New Roman"/>
          <w:sz w:val="24"/>
        </w:rPr>
        <w:t xml:space="preserve">Page 4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the nature contemplated by the TR Finance Indenture. </w:t>
      </w:r>
    </w:p>
    <w:p>
      <w:pPr>
        <w:pStyle w:val="TextBody"/>
        <w:bidi w:val="0"/>
        <w:spacing w:before="240" w:after="0"/>
        <w:jc w:val="both"/>
        <w:rPr>
          <w:rFonts w:ascii="Times New Roman" w:hAnsi="Times New Roman"/>
          <w:sz w:val="24"/>
        </w:rPr>
      </w:pPr>
      <w:r>
        <w:rPr>
          <w:rFonts w:ascii="Times New Roman" w:hAnsi="Times New Roman"/>
          <w:sz w:val="24"/>
        </w:rPr>
        <w:t xml:space="preserve">D.  Our opinions are limited to the TR Finance Indenture and other agreements specifically identified herein, without regard to any agreement or other document incorporated by reference in, or attached to the TR Finance Indenture, or otherwise referenced therein. </w:t>
      </w:r>
    </w:p>
    <w:p>
      <w:pPr>
        <w:pStyle w:val="TextBody"/>
        <w:bidi w:val="0"/>
        <w:spacing w:before="240" w:after="0"/>
        <w:jc w:val="both"/>
        <w:rPr>
          <w:rFonts w:ascii="Times New Roman" w:hAnsi="Times New Roman"/>
          <w:sz w:val="24"/>
        </w:rPr>
      </w:pPr>
      <w:r>
        <w:rPr>
          <w:rFonts w:ascii="Times New Roman" w:hAnsi="Times New Roman"/>
          <w:sz w:val="24"/>
        </w:rPr>
        <w:t xml:space="preserve">We hereby consent to the filing of this opinion letter as an exhibit to the report on Form 6-K to be filed by TRC on the date hereof and incorporated by reference into the Registration Statement. In addition, we consent to Torys LLP’s reliance as to matters of law of the State of Texas upon this opinion letter in connection with the rendering of its opinion of even date herewith concerning the Guarantee, but only to the extent of the opinions specifically set forth herein. Our consent, however, shall not constitute an admission that we are experts as provided for in Section 7 of the Securities Act. </w:t>
      </w:r>
    </w:p>
    <w:p>
      <w:pPr>
        <w:pStyle w:val="TextBody"/>
        <w:bidi w:val="0"/>
        <w:spacing w:before="240" w:after="0"/>
        <w:jc w:val="both"/>
        <w:rPr>
          <w:rFonts w:ascii="Times New Roman" w:hAnsi="Times New Roman"/>
          <w:sz w:val="24"/>
        </w:rPr>
      </w:pPr>
      <w:r>
        <w:rPr>
          <w:rFonts w:ascii="Times New Roman" w:hAnsi="Times New Roman"/>
          <w:sz w:val="24"/>
        </w:rPr>
        <w:t xml:space="preserve">This opinion letter is effective only as of the date hereof. We do not assume responsibility for updating this opinion letter as of any date subsequent to its date, and we assume no responsibility for advising you of any changes with respect to any matters described in this opinion letter that may occur subsequent to the date of this opinion letter or from the discovery, subsequent to the date of this opinion letter, of information not previously known to us pertaining to the events occurring prior to such date. </w:t>
      </w:r>
    </w:p>
    <w:p>
      <w:pPr>
        <w:pStyle w:val="TextBody"/>
        <w:bidi w:val="0"/>
        <w:spacing w:before="240" w:after="0"/>
        <w:jc w:val="both"/>
        <w:rPr>
          <w:rFonts w:ascii="Times New Roman" w:hAnsi="Times New Roman"/>
          <w:sz w:val="24"/>
        </w:rPr>
      </w:pPr>
      <w:r>
        <w:rPr>
          <w:rFonts w:ascii="Times New Roman" w:hAnsi="Times New Roman"/>
          <w:sz w:val="24"/>
        </w:rPr>
        <w:t xml:space="preserve">Very truly yours, </w:t>
      </w:r>
    </w:p>
    <w:p>
      <w:pPr>
        <w:pStyle w:val="TextBody"/>
        <w:bidi w:val="0"/>
        <w:spacing w:before="840" w:after="0"/>
        <w:jc w:val="both"/>
        <w:rPr>
          <w:rFonts w:ascii="Times New Roman" w:hAnsi="Times New Roman"/>
          <w:sz w:val="24"/>
        </w:rPr>
      </w:pPr>
      <w:r>
        <w:rPr>
          <w:rFonts w:ascii="Times New Roman" w:hAnsi="Times New Roman"/>
          <w:sz w:val="24"/>
        </w:rPr>
        <w:t xml:space="preserve">/s/ Morgan, Lewis &amp; Bockius LLP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4"/>
        </w:rPr>
      </w:pPr>
      <w:r>
        <w:rPr>
          <w:rFonts w:ascii="Times New Roman" w:hAnsi="Times New Roman"/>
          <w:b/>
          <w:sz w:val="24"/>
        </w:rPr>
        <w:t xml:space="preserve">Exhibit A </w:t>
      </w:r>
    </w:p>
    <w:p>
      <w:pPr>
        <w:pStyle w:val="TextBody"/>
        <w:bidi w:val="0"/>
        <w:spacing w:before="480" w:after="0"/>
        <w:jc w:val="center"/>
        <w:rPr>
          <w:rFonts w:ascii="Times New Roman" w:hAnsi="Times New Roman"/>
          <w:b/>
          <w:sz w:val="24"/>
        </w:rPr>
      </w:pPr>
      <w:r>
        <w:rPr>
          <w:rFonts w:ascii="Times New Roman" w:hAnsi="Times New Roman"/>
          <w:b/>
          <w:sz w:val="24"/>
        </w:rPr>
        <w:t xml:space="preserve">Certificate of Public Official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067550" cy="91440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7067550" cy="9144000"/>
                    </a:xfrm>
                    <a:prstGeom prst="rect">
                      <a:avLst/>
                    </a:prstGeom>
                  </pic:spPr>
                </pic:pic>
              </a:graphicData>
            </a:graphic>
          </wp:inline>
        </w:drawing>
      </w:r>
      <w:r>
        <w:rPr/>
        <w:t xml:space="preserve"> </w:t>
      </w:r>
    </w:p>
    <w:p>
      <w:pPr>
        <w:pStyle w:val="TextBody"/>
        <w:bidi w:val="0"/>
        <w:jc w:val="both"/>
        <w:rPr>
          <w:rFonts w:ascii="Times New Roman" w:hAnsi="Times New Roman"/>
          <w:color w:val="FFFFFF"/>
          <w:sz w:val="2"/>
        </w:rPr>
      </w:pPr>
      <w:r>
        <w:rPr>
          <w:rFonts w:ascii="Times New Roman" w:hAnsi="Times New Roman"/>
          <w:color w:val="FFFFFF"/>
          <w:sz w:val="2"/>
        </w:rPr>
        <w:t xml:space="preserve">Corporations Section P.O.Box 13697 Austin, Texas 78711-3697 Robert S. Howden Secretary of State Office of the Secretary of State Certificate of Fact The undersigned, as Secretary of State of Texas, does hereby certify that the document, Articles of Incorporation for Thomson Reuters (Tax &amp; Accounting) Inc. (file number 25758900), a Domestic For-Profit Corporation, was filed in this office on February 26, 1969. It is further certified that the entity status in Texas is in existence. In testimony whereof, I have hereunto signed my name officially and caused to be impressed hereon the Seal of State at my office in Austin, Texas on September 02, 2026. Robert S. Howden Secretary of State Come visit us on the internet at https://www.sos.texas.gov/ Fax: (512) 463-5709 Phone: (512) 463-5555 Prepared by: SOS-WEB TTY: 7-1-1 Document: 1625518420018 </w:t>
      </w:r>
    </w:p>
    <w:p>
      <w:pPr>
        <w:pStyle w:val="TextBody"/>
        <w:bidi w:val="0"/>
        <w:spacing w:before="0" w:after="0"/>
        <w:jc w:val="right"/>
        <w:rPr>
          <w:rFonts w:ascii="Arial" w:hAnsi="Arial"/>
          <w:b/>
          <w:sz w:val="20"/>
        </w:rPr>
      </w:pPr>
      <w:bookmarkStart w:id="8" w:name="d128871dex234.htm"/>
      <w:bookmarkStart w:id="9" w:name="ksd128871dex234"/>
      <w:bookmarkEnd w:id="8"/>
      <w:bookmarkEnd w:id="9"/>
      <w:r>
        <w:rPr>
          <w:rFonts w:ascii="Arial" w:hAnsi="Arial"/>
          <w:b/>
          <w:sz w:val="20"/>
        </w:rPr>
        <w:t xml:space="preserve">Exhibit 23.4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689"/>
        <w:gridCol w:w="120"/>
        <w:gridCol w:w="60"/>
        <w:gridCol w:w="4274"/>
        <w:gridCol w:w="62"/>
      </w:tblGrid>
      <w:tr>
        <w:trPr/>
        <w:tc>
          <w:tcPr>
            <w:tcW w:w="568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74"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689" w:type="dxa"/>
            <w:tcBorders/>
          </w:tcPr>
          <w:p>
            <w:pPr>
              <w:pStyle w:val="TableContents"/>
              <w:bidi w:val="0"/>
              <w:spacing w:before="0" w:after="0"/>
              <w:jc w:val="both"/>
              <w:rPr/>
            </w:pPr>
            <w:r>
              <w:rPr/>
              <w:drawing>
                <wp:inline distT="0" distB="0" distL="0" distR="0">
                  <wp:extent cx="2686050" cy="5048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686050" cy="50482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74" w:type="dxa"/>
            <w:tcBorders/>
            <w:vAlign w:val="bottom"/>
          </w:tcPr>
          <w:p>
            <w:pPr>
              <w:pStyle w:val="TableContents"/>
              <w:bidi w:val="0"/>
              <w:spacing w:before="0" w:after="283"/>
              <w:jc w:val="right"/>
              <w:rPr/>
            </w:pPr>
            <w:r>
              <w:rPr/>
              <w:drawing>
                <wp:inline distT="0" distB="0" distL="0" distR="0">
                  <wp:extent cx="2638425" cy="6858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638425" cy="685800"/>
                          </a:xfrm>
                          <a:prstGeom prst="rect">
                            <a:avLst/>
                          </a:prstGeom>
                        </pic:spPr>
                      </pic:pic>
                    </a:graphicData>
                  </a:graphic>
                </wp:inline>
              </w:drawing>
            </w:r>
            <w:r>
              <w:rPr/>
              <w:t xml:space="preserve"> </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bottom"/>
          </w:tcPr>
          <w:p>
            <w:pPr>
              <w:pStyle w:val="TableContents"/>
              <w:bidi w:val="0"/>
              <w:spacing w:before="0" w:after="0"/>
              <w:jc w:val="both"/>
              <w:rPr>
                <w:rFonts w:ascii="Arial" w:hAnsi="Arial"/>
                <w:sz w:val="22"/>
              </w:rPr>
            </w:pPr>
            <w:r>
              <w:rPr>
                <w:rFonts w:ascii="Arial" w:hAnsi="Arial"/>
                <w:sz w:val="22"/>
              </w:rPr>
              <w:t>September 17, 2026</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both"/>
              <w:rPr>
                <w:rFonts w:ascii="Arial" w:hAnsi="Arial"/>
                <w:sz w:val="22"/>
              </w:rPr>
            </w:pPr>
            <w:r>
              <w:rPr>
                <w:rFonts w:ascii="Arial" w:hAnsi="Arial"/>
                <w:sz w:val="22"/>
              </w:rPr>
              <w:t>TR Finance LLC</w:t>
            </w:r>
          </w:p>
          <w:p>
            <w:pPr>
              <w:pStyle w:val="TableContents"/>
              <w:bidi w:val="0"/>
              <w:spacing w:before="0" w:after="0"/>
              <w:jc w:val="both"/>
              <w:rPr>
                <w:rFonts w:ascii="Arial" w:hAnsi="Arial"/>
                <w:sz w:val="22"/>
              </w:rPr>
            </w:pPr>
            <w:r>
              <w:rPr>
                <w:rFonts w:ascii="Arial" w:hAnsi="Arial"/>
                <w:sz w:val="22"/>
              </w:rPr>
              <w:t>2900 Ames Crossing Road, Suite 100</w:t>
            </w:r>
          </w:p>
          <w:p>
            <w:pPr>
              <w:pStyle w:val="TableContents"/>
              <w:bidi w:val="0"/>
              <w:spacing w:before="0" w:after="0"/>
              <w:jc w:val="both"/>
              <w:rPr>
                <w:rFonts w:ascii="Arial" w:hAnsi="Arial"/>
                <w:sz w:val="22"/>
              </w:rPr>
            </w:pPr>
            <w:r>
              <w:rPr>
                <w:rFonts w:ascii="Arial" w:hAnsi="Arial"/>
                <w:sz w:val="22"/>
              </w:rPr>
              <w:t>Eagan, Minnesota</w:t>
            </w:r>
          </w:p>
          <w:p>
            <w:pPr>
              <w:pStyle w:val="TableContents"/>
              <w:bidi w:val="0"/>
              <w:spacing w:before="0" w:after="0"/>
              <w:jc w:val="both"/>
              <w:rPr>
                <w:rFonts w:ascii="Arial" w:hAnsi="Arial"/>
                <w:sz w:val="22"/>
              </w:rPr>
            </w:pPr>
            <w:r>
              <w:rPr>
                <w:rFonts w:ascii="Arial" w:hAnsi="Arial"/>
                <w:sz w:val="22"/>
              </w:rPr>
              <w:t>55121 USA</w:t>
            </w:r>
          </w:p>
          <w:p>
            <w:pPr>
              <w:pStyle w:val="TableContents"/>
              <w:bidi w:val="0"/>
              <w:spacing w:before="0" w:after="0"/>
              <w:jc w:val="left"/>
              <w:rPr/>
            </w:pPr>
            <w:r>
              <w:rPr/>
              <w:t> </w:t>
            </w:r>
          </w:p>
          <w:p>
            <w:pPr>
              <w:pStyle w:val="TableContents"/>
              <w:bidi w:val="0"/>
              <w:spacing w:before="0" w:after="0"/>
              <w:jc w:val="both"/>
              <w:rPr>
                <w:rFonts w:ascii="Arial" w:hAnsi="Arial"/>
                <w:sz w:val="22"/>
              </w:rPr>
            </w:pPr>
            <w:r>
              <w:rPr>
                <w:rFonts w:ascii="Arial" w:hAnsi="Arial"/>
                <w:sz w:val="22"/>
              </w:rPr>
              <w:t>Thomson Reuters Corporation</w:t>
            </w:r>
          </w:p>
          <w:p>
            <w:pPr>
              <w:pStyle w:val="TableContents"/>
              <w:bidi w:val="0"/>
              <w:spacing w:before="0" w:after="0"/>
              <w:jc w:val="both"/>
              <w:rPr>
                <w:rFonts w:ascii="Arial" w:hAnsi="Arial"/>
                <w:sz w:val="22"/>
              </w:rPr>
            </w:pPr>
            <w:r>
              <w:rPr>
                <w:rFonts w:ascii="Arial" w:hAnsi="Arial"/>
                <w:sz w:val="22"/>
              </w:rPr>
              <w:t>19 Duncan Street</w:t>
            </w:r>
          </w:p>
          <w:p>
            <w:pPr>
              <w:pStyle w:val="TableContents"/>
              <w:bidi w:val="0"/>
              <w:spacing w:before="0" w:after="0"/>
              <w:jc w:val="both"/>
              <w:rPr>
                <w:rFonts w:ascii="Arial" w:hAnsi="Arial"/>
                <w:sz w:val="22"/>
              </w:rPr>
            </w:pPr>
            <w:r>
              <w:rPr>
                <w:rFonts w:ascii="Arial" w:hAnsi="Arial"/>
                <w:sz w:val="22"/>
              </w:rPr>
              <w:t>Toronto, Ontario</w:t>
            </w:r>
          </w:p>
          <w:p>
            <w:pPr>
              <w:pStyle w:val="TableContents"/>
              <w:bidi w:val="0"/>
              <w:spacing w:before="0" w:after="0"/>
              <w:jc w:val="both"/>
              <w:rPr>
                <w:rFonts w:ascii="Arial" w:hAnsi="Arial"/>
                <w:sz w:val="22"/>
              </w:rPr>
            </w:pPr>
            <w:r>
              <w:rPr>
                <w:rFonts w:ascii="Arial" w:hAnsi="Arial"/>
                <w:sz w:val="22"/>
              </w:rPr>
              <w:t>M5H 3H1 Canada</w:t>
            </w:r>
          </w:p>
          <w:p>
            <w:pPr>
              <w:pStyle w:val="TableContents"/>
              <w:bidi w:val="0"/>
              <w:spacing w:before="0" w:after="20"/>
              <w:jc w:val="left"/>
              <w:rPr/>
            </w:pPr>
            <w:r>
              <w:rPr/>
              <w:t> </w:t>
            </w:r>
          </w:p>
        </w:tc>
      </w:tr>
    </w:tbl>
    <w:p>
      <w:pPr>
        <w:pStyle w:val="TextBody"/>
        <w:bidi w:val="0"/>
        <w:spacing w:before="240" w:after="0"/>
        <w:jc w:val="both"/>
        <w:rPr>
          <w:rFonts w:ascii="Arial" w:hAnsi="Arial"/>
          <w:sz w:val="22"/>
        </w:rPr>
      </w:pPr>
      <w:r>
        <w:rPr>
          <w:rFonts w:ascii="Arial" w:hAnsi="Arial"/>
          <w:b/>
          <w:sz w:val="22"/>
        </w:rPr>
        <w:t>RE:  Thomson Reuters Corporation and TR Finance LLC (the “Company”)</w:t>
      </w:r>
      <w:r>
        <w:rPr>
          <w:rFonts w:ascii="Arial" w:hAnsi="Arial"/>
          <w:sz w:val="22"/>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both"/>
        <w:rPr>
          <w:rFonts w:ascii="Arial" w:hAnsi="Arial"/>
          <w:sz w:val="22"/>
        </w:rPr>
      </w:pPr>
      <w:r>
        <w:rPr>
          <w:rFonts w:ascii="Arial" w:hAnsi="Arial"/>
          <w:sz w:val="22"/>
        </w:rPr>
        <w:t xml:space="preserve">To Whom it May Concern: </w:t>
      </w:r>
    </w:p>
    <w:p>
      <w:pPr>
        <w:pStyle w:val="TextBody"/>
        <w:bidi w:val="0"/>
        <w:spacing w:before="240" w:after="0"/>
        <w:jc w:val="both"/>
        <w:rPr>
          <w:rFonts w:ascii="Arial" w:hAnsi="Arial"/>
          <w:sz w:val="22"/>
        </w:rPr>
      </w:pPr>
      <w:r>
        <w:rPr>
          <w:rFonts w:ascii="Arial" w:hAnsi="Arial"/>
          <w:sz w:val="22"/>
        </w:rPr>
        <w:t xml:space="preserve">We refer to the Company’s Registration Statement on Form F-10 and Form F-3 (File Nos. 333-285927 and 333-285907) filed with the U.S. Securities and Exchange Commission. </w:t>
      </w:r>
    </w:p>
    <w:p>
      <w:pPr>
        <w:pStyle w:val="TextBody"/>
        <w:bidi w:val="0"/>
        <w:spacing w:before="240" w:after="0"/>
        <w:jc w:val="both"/>
        <w:rPr>
          <w:rFonts w:ascii="Arial" w:hAnsi="Arial"/>
          <w:sz w:val="22"/>
        </w:rPr>
      </w:pPr>
      <w:r>
        <w:rPr>
          <w:rFonts w:ascii="Arial" w:hAnsi="Arial"/>
          <w:sz w:val="22"/>
        </w:rPr>
        <w:t>In connection with the Prospectus Supplement of the Company dated September 10, 2026 (the “</w:t>
      </w:r>
      <w:r>
        <w:rPr>
          <w:rFonts w:ascii="Arial" w:hAnsi="Arial"/>
          <w:b/>
          <w:sz w:val="22"/>
        </w:rPr>
        <w:t>Prospectus</w:t>
      </w:r>
      <w:r>
        <w:rPr>
          <w:rFonts w:ascii="Arial" w:hAnsi="Arial"/>
          <w:sz w:val="22"/>
        </w:rPr>
        <w:t xml:space="preserve"> </w:t>
      </w:r>
      <w:r>
        <w:rPr>
          <w:rFonts w:ascii="Arial" w:hAnsi="Arial"/>
          <w:b/>
          <w:sz w:val="22"/>
        </w:rPr>
        <w:t>Supplement</w:t>
      </w:r>
      <w:r>
        <w:rPr>
          <w:rFonts w:ascii="Arial" w:hAnsi="Arial"/>
          <w:sz w:val="22"/>
        </w:rPr>
        <w:t xml:space="preserve">”), we consent to the reference to our firm’s name under the heading “Legal Matters”, and consent to the use of our firm’s name and reference to our opinion “Certain Canadian Federal Income Tax Considerations” in the Prospectus Supplement. </w:t>
      </w:r>
    </w:p>
    <w:p>
      <w:pPr>
        <w:pStyle w:val="TextBody"/>
        <w:bidi w:val="0"/>
        <w:spacing w:before="240" w:after="0"/>
        <w:jc w:val="both"/>
        <w:rPr>
          <w:rFonts w:ascii="Arial" w:hAnsi="Arial"/>
          <w:sz w:val="22"/>
        </w:rPr>
      </w:pPr>
      <w:r>
        <w:rPr>
          <w:rFonts w:ascii="Arial" w:hAnsi="Arial"/>
          <w:sz w:val="22"/>
        </w:rPr>
        <w:t xml:space="preserve">In giving this consent, we do not thereby admit that we come within the category of persons whose consent is required by the Securities Act of 1933, as amended, or the rules and regulations promulgated thereunder. </w:t>
      </w:r>
    </w:p>
    <w:p>
      <w:pPr>
        <w:pStyle w:val="TextBody"/>
        <w:bidi w:val="0"/>
        <w:spacing w:before="240" w:after="0"/>
        <w:jc w:val="both"/>
        <w:rPr>
          <w:rFonts w:ascii="Arial" w:hAnsi="Arial"/>
          <w:sz w:val="22"/>
        </w:rPr>
      </w:pPr>
      <w:r>
        <w:rPr>
          <w:rFonts w:ascii="Arial" w:hAnsi="Arial"/>
          <w:sz w:val="22"/>
        </w:rPr>
        <w:t xml:space="preserve">Yours very truly, </w:t>
      </w:r>
    </w:p>
    <w:p>
      <w:pPr>
        <w:pStyle w:val="TextBody"/>
        <w:bidi w:val="0"/>
        <w:spacing w:before="240" w:after="0"/>
        <w:jc w:val="both"/>
        <w:rPr>
          <w:rFonts w:ascii="Arial" w:hAnsi="Arial"/>
          <w:sz w:val="22"/>
        </w:rPr>
      </w:pPr>
      <w:r>
        <w:rPr>
          <w:rFonts w:ascii="Arial" w:hAnsi="Arial"/>
          <w:sz w:val="22"/>
        </w:rPr>
        <w:t xml:space="preserve">/s/ </w:t>
      </w:r>
      <w:r>
        <w:rPr>
          <w:rFonts w:ascii="Arial" w:hAnsi="Arial"/>
          <w:i/>
          <w:sz w:val="22"/>
        </w:rPr>
        <w:t>Blake, Cassels</w:t>
      </w:r>
      <w:r>
        <w:rPr>
          <w:rFonts w:ascii="Arial" w:hAnsi="Arial"/>
          <w:sz w:val="22"/>
        </w:rPr>
        <w:t> </w:t>
      </w:r>
      <w:r>
        <w:rPr>
          <w:rFonts w:ascii="Arial" w:hAnsi="Arial"/>
          <w:i/>
          <w:sz w:val="22"/>
        </w:rPr>
        <w:t>&amp; Graydon</w:t>
      </w:r>
      <w:r>
        <w:rPr>
          <w:rFonts w:ascii="Arial" w:hAnsi="Arial"/>
          <w:sz w:val="22"/>
        </w:rPr>
        <w:t xml:space="preserve"> </w:t>
      </w:r>
      <w:r>
        <w:rPr>
          <w:rFonts w:ascii="Arial" w:hAnsi="Arial"/>
          <w:i/>
          <w:sz w:val="22"/>
        </w:rPr>
        <w:t>LLP</w:t>
      </w:r>
      <w:r>
        <w:rPr>
          <w:rFonts w:ascii="Arial" w:hAnsi="Arial"/>
          <w:sz w:val="22"/>
        </w:rPr>
        <w:t xml:space="preserve"> </w:t>
      </w:r>
    </w:p>
    <w:p>
      <w:pPr>
        <w:pStyle w:val="TextBody"/>
        <w:bidi w:val="0"/>
        <w:spacing w:before="240" w:after="0"/>
        <w:jc w:val="both"/>
        <w:rPr>
          <w:rFonts w:ascii="Arial" w:hAnsi="Arial"/>
          <w:sz w:val="22"/>
        </w:rPr>
      </w:pPr>
      <w:r>
        <w:rPr>
          <w:rFonts w:ascii="Arial" w:hAnsi="Arial"/>
          <w:sz w:val="22"/>
        </w:rPr>
        <w:t xml:space="preserve">Blake, Cassels &amp; Graydon LLP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726"/>
        <w:gridCol w:w="149"/>
        <w:gridCol w:w="60"/>
        <w:gridCol w:w="1208"/>
        <w:gridCol w:w="62"/>
      </w:tblGrid>
      <w:tr>
        <w:trPr/>
        <w:tc>
          <w:tcPr>
            <w:tcW w:w="8726"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8726" w:type="dxa"/>
            <w:tcBorders/>
          </w:tcPr>
          <w:p>
            <w:pPr>
              <w:pStyle w:val="TableContents"/>
              <w:bidi w:val="0"/>
              <w:spacing w:before="0" w:after="0"/>
              <w:jc w:val="both"/>
              <w:rPr/>
            </w:pPr>
            <w:r>
              <w:rPr/>
              <w:drawing>
                <wp:inline distT="0" distB="0" distL="0" distR="0">
                  <wp:extent cx="2800350" cy="2381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800350" cy="238125"/>
                          </a:xfrm>
                          <a:prstGeom prst="rect">
                            <a:avLst/>
                          </a:prstGeom>
                        </pic:spPr>
                      </pic:pic>
                    </a:graphicData>
                  </a:graphic>
                </wp:inline>
              </w:drawing>
            </w:r>
            <w:r>
              <w:rPr/>
              <w:t xml:space="preserve"> </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Page </w:t>
            </w:r>
            <w:r>
              <w:rPr>
                <w:color w:val="C8102E"/>
              </w:rPr>
              <w:t>01</w:t>
            </w:r>
            <w:r>
              <w:rPr/>
              <w:t> / </w:t>
            </w:r>
            <w:r>
              <w:rPr>
                <w:color w:val="C8102E"/>
              </w:rPr>
              <w:t>01</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right"/>
        <w:rPr>
          <w:rFonts w:ascii="Times New Roman" w:hAnsi="Times New Roman"/>
          <w:b/>
          <w:sz w:val="20"/>
        </w:rPr>
      </w:pPr>
      <w:bookmarkStart w:id="10" w:name="d128871dex991.htm"/>
      <w:bookmarkStart w:id="11" w:name="ksd128871dex991"/>
      <w:bookmarkEnd w:id="10"/>
      <w:bookmarkEnd w:id="11"/>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sz w:val="24"/>
        </w:rPr>
      </w:pPr>
      <w:r>
        <w:rPr>
          <w:rFonts w:ascii="Times New Roman" w:hAnsi="Times New Roman"/>
          <w:sz w:val="24"/>
        </w:rPr>
        <w:t xml:space="preserve">SIXTH SUPPLEMENTAL INDENTURE </w:t>
      </w:r>
    </w:p>
    <w:p>
      <w:pPr>
        <w:pStyle w:val="TextBody"/>
        <w:bidi w:val="0"/>
        <w:spacing w:before="240" w:after="0"/>
        <w:jc w:val="center"/>
        <w:rPr>
          <w:rFonts w:ascii="Times New Roman" w:hAnsi="Times New Roman"/>
          <w:sz w:val="24"/>
        </w:rPr>
      </w:pPr>
      <w:r>
        <w:rPr>
          <w:rFonts w:ascii="Times New Roman" w:hAnsi="Times New Roman"/>
          <w:sz w:val="24"/>
        </w:rPr>
        <w:t xml:space="preserve">Dated as of September 17, 2026 </w:t>
      </w:r>
    </w:p>
    <w:p>
      <w:pPr>
        <w:pStyle w:val="TextBody"/>
        <w:bidi w:val="0"/>
        <w:spacing w:before="240" w:after="0"/>
        <w:jc w:val="center"/>
        <w:rPr>
          <w:rFonts w:ascii="Times New Roman" w:hAnsi="Times New Roman"/>
          <w:sz w:val="24"/>
        </w:rPr>
      </w:pPr>
      <w:r>
        <w:rPr>
          <w:rFonts w:ascii="Times New Roman" w:hAnsi="Times New Roman"/>
          <w:sz w:val="24"/>
        </w:rPr>
        <w:t xml:space="preserve">among </w:t>
      </w:r>
    </w:p>
    <w:p>
      <w:pPr>
        <w:pStyle w:val="TextBody"/>
        <w:bidi w:val="0"/>
        <w:spacing w:before="240" w:after="0"/>
        <w:jc w:val="center"/>
        <w:rPr>
          <w:rFonts w:ascii="Times New Roman" w:hAnsi="Times New Roman"/>
          <w:sz w:val="24"/>
        </w:rPr>
      </w:pPr>
      <w:r>
        <w:rPr>
          <w:rFonts w:ascii="Times New Roman" w:hAnsi="Times New Roman"/>
          <w:sz w:val="24"/>
        </w:rPr>
        <w:t xml:space="preserve">TR FINANCE LLC, </w:t>
      </w:r>
    </w:p>
    <w:p>
      <w:pPr>
        <w:pStyle w:val="TextBody"/>
        <w:bidi w:val="0"/>
        <w:spacing w:before="0" w:after="0"/>
        <w:jc w:val="center"/>
        <w:rPr>
          <w:rFonts w:ascii="Times New Roman" w:hAnsi="Times New Roman"/>
          <w:sz w:val="20"/>
        </w:rPr>
      </w:pPr>
      <w:r>
        <w:rPr>
          <w:rFonts w:ascii="Times New Roman" w:hAnsi="Times New Roman"/>
          <w:sz w:val="20"/>
        </w:rPr>
        <w:t xml:space="preserve">as Issuer, </w:t>
      </w:r>
    </w:p>
    <w:p>
      <w:pPr>
        <w:pStyle w:val="TextBody"/>
        <w:bidi w:val="0"/>
        <w:spacing w:before="240" w:after="0"/>
        <w:jc w:val="center"/>
        <w:rPr>
          <w:rFonts w:ascii="Times New Roman" w:hAnsi="Times New Roman"/>
          <w:sz w:val="24"/>
        </w:rPr>
      </w:pPr>
      <w:r>
        <w:rPr>
          <w:rFonts w:ascii="Times New Roman" w:hAnsi="Times New Roman"/>
          <w:sz w:val="24"/>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THOMSON REUTERS CORPORATION, </w:t>
      </w:r>
    </w:p>
    <w:p>
      <w:pPr>
        <w:pStyle w:val="TextBody"/>
        <w:bidi w:val="0"/>
        <w:spacing w:before="0" w:after="0"/>
        <w:jc w:val="center"/>
        <w:rPr>
          <w:rFonts w:ascii="Times New Roman" w:hAnsi="Times New Roman"/>
          <w:sz w:val="20"/>
        </w:rPr>
      </w:pPr>
      <w:r>
        <w:rPr>
          <w:rFonts w:ascii="Times New Roman" w:hAnsi="Times New Roman"/>
          <w:sz w:val="20"/>
        </w:rPr>
        <w:t xml:space="preserve">as Parent Guarantor, </w:t>
      </w:r>
    </w:p>
    <w:p>
      <w:pPr>
        <w:pStyle w:val="TextBody"/>
        <w:bidi w:val="0"/>
        <w:spacing w:before="240" w:after="0"/>
        <w:jc w:val="center"/>
        <w:rPr>
          <w:rFonts w:ascii="Times New Roman" w:hAnsi="Times New Roman"/>
          <w:sz w:val="24"/>
        </w:rPr>
      </w:pPr>
      <w:r>
        <w:rPr>
          <w:rFonts w:ascii="Times New Roman" w:hAnsi="Times New Roman"/>
          <w:sz w:val="24"/>
        </w:rPr>
        <w:t xml:space="preserve">and </w:t>
      </w:r>
    </w:p>
    <w:p>
      <w:pPr>
        <w:pStyle w:val="TextBody"/>
        <w:bidi w:val="0"/>
        <w:spacing w:before="240" w:after="0"/>
        <w:jc w:val="center"/>
        <w:rPr>
          <w:rFonts w:ascii="Times New Roman" w:hAnsi="Times New Roman"/>
          <w:sz w:val="24"/>
        </w:rPr>
      </w:pPr>
      <w:r>
        <w:rPr>
          <w:rFonts w:ascii="Times New Roman" w:hAnsi="Times New Roman"/>
          <w:sz w:val="24"/>
        </w:rPr>
        <w:t xml:space="preserve">THE SUBSIDIARY GUARANTORS PARTY HERETO </w:t>
      </w:r>
    </w:p>
    <w:p>
      <w:pPr>
        <w:pStyle w:val="TextBody"/>
        <w:bidi w:val="0"/>
        <w:spacing w:before="240" w:after="0"/>
        <w:jc w:val="center"/>
        <w:rPr>
          <w:rFonts w:ascii="Times New Roman" w:hAnsi="Times New Roman"/>
          <w:sz w:val="24"/>
        </w:rPr>
      </w:pPr>
      <w:r>
        <w:rPr>
          <w:rFonts w:ascii="Times New Roman" w:hAnsi="Times New Roman"/>
          <w:sz w:val="24"/>
        </w:rPr>
        <w:t xml:space="preserve">and </w:t>
      </w:r>
    </w:p>
    <w:p>
      <w:pPr>
        <w:pStyle w:val="TextBody"/>
        <w:bidi w:val="0"/>
        <w:spacing w:before="240" w:after="0"/>
        <w:jc w:val="center"/>
        <w:rPr>
          <w:rFonts w:ascii="Times New Roman" w:hAnsi="Times New Roman"/>
          <w:sz w:val="24"/>
        </w:rPr>
      </w:pPr>
      <w:r>
        <w:rPr>
          <w:rFonts w:ascii="Times New Roman" w:hAnsi="Times New Roman"/>
          <w:sz w:val="24"/>
        </w:rPr>
        <w:t xml:space="preserve">DEUTSCHE BANK TRUST COMPANY AMERICAS, </w:t>
      </w:r>
    </w:p>
    <w:p>
      <w:pPr>
        <w:pStyle w:val="TextBody"/>
        <w:bidi w:val="0"/>
        <w:spacing w:before="0" w:after="0"/>
        <w:jc w:val="center"/>
        <w:rPr>
          <w:rFonts w:ascii="Times New Roman" w:hAnsi="Times New Roman"/>
          <w:sz w:val="20"/>
        </w:rPr>
      </w:pPr>
      <w:r>
        <w:rPr>
          <w:rFonts w:ascii="Times New Roman" w:hAnsi="Times New Roman"/>
          <w:sz w:val="20"/>
        </w:rPr>
        <w:t xml:space="preserve">as Notes Trustee, </w:t>
      </w:r>
    </w:p>
    <w:p>
      <w:pPr>
        <w:pStyle w:val="TextBody"/>
        <w:bidi w:val="0"/>
        <w:spacing w:before="240" w:after="0"/>
        <w:jc w:val="center"/>
        <w:rPr>
          <w:rFonts w:ascii="Times New Roman" w:hAnsi="Times New Roman"/>
          <w:sz w:val="24"/>
        </w:rPr>
      </w:pPr>
      <w:r>
        <w:rPr>
          <w:rFonts w:ascii="Times New Roman" w:hAnsi="Times New Roman"/>
          <w:sz w:val="24"/>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COMPUTERSHARE TRUST COMPANY OF CANADA, </w:t>
      </w:r>
    </w:p>
    <w:p>
      <w:pPr>
        <w:pStyle w:val="TextBody"/>
        <w:bidi w:val="0"/>
        <w:spacing w:before="0" w:after="0"/>
        <w:jc w:val="center"/>
        <w:rPr>
          <w:rFonts w:ascii="Times New Roman" w:hAnsi="Times New Roman"/>
          <w:sz w:val="20"/>
        </w:rPr>
      </w:pPr>
      <w:r>
        <w:rPr>
          <w:rFonts w:ascii="Times New Roman" w:hAnsi="Times New Roman"/>
          <w:sz w:val="20"/>
        </w:rPr>
        <w:t xml:space="preserve">as Co-Trustee </w:t>
      </w:r>
    </w:p>
    <w:p>
      <w:pPr>
        <w:pStyle w:val="TextBody"/>
        <w:bidi w:val="0"/>
        <w:spacing w:before="240" w:after="0"/>
        <w:jc w:val="center"/>
        <w:rPr>
          <w:rFonts w:ascii="Times New Roman" w:hAnsi="Times New Roman"/>
          <w:sz w:val="24"/>
        </w:rPr>
      </w:pPr>
      <w:r>
        <w:rPr>
          <w:rFonts w:ascii="Times New Roman" w:hAnsi="Times New Roman"/>
          <w:sz w:val="24"/>
        </w:rPr>
        <w:t xml:space="preserve">to </w:t>
      </w:r>
    </w:p>
    <w:p>
      <w:pPr>
        <w:pStyle w:val="TextBody"/>
        <w:bidi w:val="0"/>
        <w:spacing w:before="240" w:after="0"/>
        <w:jc w:val="center"/>
        <w:rPr>
          <w:rFonts w:ascii="Times New Roman" w:hAnsi="Times New Roman"/>
          <w:sz w:val="24"/>
        </w:rPr>
      </w:pPr>
      <w:r>
        <w:rPr>
          <w:rFonts w:ascii="Times New Roman" w:hAnsi="Times New Roman"/>
          <w:sz w:val="24"/>
        </w:rPr>
        <w:t xml:space="preserve">INDENTURE </w:t>
      </w:r>
    </w:p>
    <w:p>
      <w:pPr>
        <w:pStyle w:val="TextBody"/>
        <w:bidi w:val="0"/>
        <w:spacing w:before="240" w:after="0"/>
        <w:jc w:val="center"/>
        <w:rPr>
          <w:rFonts w:ascii="Times New Roman" w:hAnsi="Times New Roman"/>
          <w:sz w:val="24"/>
        </w:rPr>
      </w:pPr>
      <w:r>
        <w:rPr>
          <w:rFonts w:ascii="Times New Roman" w:hAnsi="Times New Roman"/>
          <w:sz w:val="24"/>
        </w:rPr>
        <w:t xml:space="preserve">Dated as of March 20, 2025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sz w:val="22"/>
        </w:rPr>
      </w:pPr>
      <w:r>
        <w:rPr>
          <w:rFonts w:ascii="Times New Roman" w:hAnsi="Times New Roman"/>
          <w:sz w:val="22"/>
        </w:rPr>
        <w:t xml:space="preserve">5.100% NOTES DUE 2028 </w:t>
      </w:r>
    </w:p>
    <w:p>
      <w:pPr>
        <w:pStyle w:val="TextBody"/>
        <w:bidi w:val="0"/>
        <w:spacing w:before="0" w:after="0"/>
        <w:jc w:val="center"/>
        <w:rPr>
          <w:rFonts w:ascii="Times New Roman" w:hAnsi="Times New Roman"/>
          <w:sz w:val="22"/>
        </w:rPr>
      </w:pPr>
      <w:r>
        <w:rPr>
          <w:rFonts w:ascii="Times New Roman" w:hAnsi="Times New Roman"/>
          <w:sz w:val="22"/>
        </w:rPr>
        <w:t xml:space="preserve">5.750% NOTES DUE 2033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This Sixth Supplemental Indenture, dated as of the 17th day of September, 2026, among TR Finance LLC, a limited liability company formed under the laws of the State of Delaware (hereinafter called the “</w:t>
      </w:r>
      <w:r>
        <w:rPr>
          <w:rFonts w:ascii="Times New Roman" w:hAnsi="Times New Roman"/>
          <w:b/>
          <w:sz w:val="24"/>
        </w:rPr>
        <w:t>Company</w:t>
      </w:r>
      <w:r>
        <w:rPr>
          <w:rFonts w:ascii="Times New Roman" w:hAnsi="Times New Roman"/>
          <w:sz w:val="24"/>
        </w:rPr>
        <w:t>”), Thomson Reuters Corporation, a corporation existing under the laws of the Province of Ontario, Canada (hereinafter called “</w:t>
      </w:r>
      <w:r>
        <w:rPr>
          <w:rFonts w:ascii="Times New Roman" w:hAnsi="Times New Roman"/>
          <w:b/>
          <w:sz w:val="24"/>
        </w:rPr>
        <w:t>TRC</w:t>
      </w:r>
      <w:r>
        <w:rPr>
          <w:rFonts w:ascii="Times New Roman" w:hAnsi="Times New Roman"/>
          <w:sz w:val="24"/>
        </w:rPr>
        <w:t>” or the “</w:t>
      </w:r>
      <w:r>
        <w:rPr>
          <w:rFonts w:ascii="Times New Roman" w:hAnsi="Times New Roman"/>
          <w:b/>
          <w:sz w:val="24"/>
        </w:rPr>
        <w:t>Parent Guarantor</w:t>
      </w:r>
      <w:r>
        <w:rPr>
          <w:rFonts w:ascii="Times New Roman" w:hAnsi="Times New Roman"/>
          <w:sz w:val="24"/>
        </w:rPr>
        <w:t>”), West Publishing Corporation, a corporation formed under the laws of the State of Minnesota (herein called “</w:t>
      </w:r>
      <w:r>
        <w:rPr>
          <w:rFonts w:ascii="Times New Roman" w:hAnsi="Times New Roman"/>
          <w:b/>
          <w:sz w:val="24"/>
        </w:rPr>
        <w:t>West</w:t>
      </w:r>
      <w:r>
        <w:rPr>
          <w:rFonts w:ascii="Times New Roman" w:hAnsi="Times New Roman"/>
          <w:sz w:val="24"/>
        </w:rPr>
        <w:t xml:space="preserve"> </w:t>
      </w:r>
      <w:r>
        <w:rPr>
          <w:rFonts w:ascii="Times New Roman" w:hAnsi="Times New Roman"/>
          <w:b/>
          <w:sz w:val="24"/>
        </w:rPr>
        <w:t>Publishing</w:t>
      </w:r>
      <w:r>
        <w:rPr>
          <w:rFonts w:ascii="Times New Roman" w:hAnsi="Times New Roman"/>
          <w:sz w:val="24"/>
        </w:rPr>
        <w:t>”), Thomson Reuters Applications Inc., a corporation formed under the laws of the State of Delaware (herein called “</w:t>
      </w:r>
      <w:r>
        <w:rPr>
          <w:rFonts w:ascii="Times New Roman" w:hAnsi="Times New Roman"/>
          <w:b/>
          <w:sz w:val="24"/>
        </w:rPr>
        <w:t>Thomson</w:t>
      </w:r>
      <w:r>
        <w:rPr>
          <w:rFonts w:ascii="Times New Roman" w:hAnsi="Times New Roman"/>
          <w:sz w:val="24"/>
        </w:rPr>
        <w:t xml:space="preserve"> </w:t>
      </w:r>
      <w:r>
        <w:rPr>
          <w:rFonts w:ascii="Times New Roman" w:hAnsi="Times New Roman"/>
          <w:b/>
          <w:sz w:val="24"/>
        </w:rPr>
        <w:t>Reuters</w:t>
      </w:r>
      <w:r>
        <w:rPr>
          <w:rFonts w:ascii="Times New Roman" w:hAnsi="Times New Roman"/>
          <w:sz w:val="24"/>
        </w:rPr>
        <w:t xml:space="preserve"> </w:t>
      </w:r>
      <w:r>
        <w:rPr>
          <w:rFonts w:ascii="Times New Roman" w:hAnsi="Times New Roman"/>
          <w:b/>
          <w:sz w:val="24"/>
        </w:rPr>
        <w:t>Applications</w:t>
      </w:r>
      <w:r>
        <w:rPr>
          <w:rFonts w:ascii="Times New Roman" w:hAnsi="Times New Roman"/>
          <w:sz w:val="24"/>
        </w:rPr>
        <w:t>”), Thomson Reuters (Tax &amp; Accounting) Inc., a corporation formed under the laws of the State of Texas (herein called “</w:t>
      </w:r>
      <w:r>
        <w:rPr>
          <w:rFonts w:ascii="Times New Roman" w:hAnsi="Times New Roman"/>
          <w:b/>
          <w:sz w:val="24"/>
        </w:rPr>
        <w:t>Thomson</w:t>
      </w:r>
      <w:r>
        <w:rPr>
          <w:rFonts w:ascii="Times New Roman" w:hAnsi="Times New Roman"/>
          <w:sz w:val="24"/>
        </w:rPr>
        <w:t xml:space="preserve"> </w:t>
      </w:r>
      <w:r>
        <w:rPr>
          <w:rFonts w:ascii="Times New Roman" w:hAnsi="Times New Roman"/>
          <w:b/>
          <w:sz w:val="24"/>
        </w:rPr>
        <w:t>Reuters (Tax</w:t>
      </w:r>
      <w:r>
        <w:rPr>
          <w:rFonts w:ascii="Times New Roman" w:hAnsi="Times New Roman"/>
          <w:sz w:val="24"/>
        </w:rPr>
        <w:t> </w:t>
      </w:r>
      <w:r>
        <w:rPr>
          <w:rFonts w:ascii="Times New Roman" w:hAnsi="Times New Roman"/>
          <w:b/>
          <w:sz w:val="24"/>
        </w:rPr>
        <w:t>&amp; Accounting)</w:t>
      </w:r>
      <w:r>
        <w:rPr>
          <w:rFonts w:ascii="Times New Roman" w:hAnsi="Times New Roman"/>
          <w:sz w:val="24"/>
        </w:rPr>
        <w:t>” and together, with West Publishing and Thomson Reuters Applications, the “</w:t>
      </w:r>
      <w:r>
        <w:rPr>
          <w:rFonts w:ascii="Times New Roman" w:hAnsi="Times New Roman"/>
          <w:b/>
          <w:sz w:val="24"/>
        </w:rPr>
        <w:t>Subsidiary</w:t>
      </w:r>
      <w:r>
        <w:rPr>
          <w:rFonts w:ascii="Times New Roman" w:hAnsi="Times New Roman"/>
          <w:sz w:val="24"/>
        </w:rPr>
        <w:t xml:space="preserve"> </w:t>
      </w:r>
      <w:r>
        <w:rPr>
          <w:rFonts w:ascii="Times New Roman" w:hAnsi="Times New Roman"/>
          <w:b/>
          <w:sz w:val="24"/>
        </w:rPr>
        <w:t>Guarantors</w:t>
      </w:r>
      <w:r>
        <w:rPr>
          <w:rFonts w:ascii="Times New Roman" w:hAnsi="Times New Roman"/>
          <w:sz w:val="24"/>
        </w:rPr>
        <w:t>” and together with the Parent Guarantor, the “</w:t>
      </w:r>
      <w:r>
        <w:rPr>
          <w:rFonts w:ascii="Times New Roman" w:hAnsi="Times New Roman"/>
          <w:b/>
          <w:sz w:val="24"/>
        </w:rPr>
        <w:t>Guarantors</w:t>
      </w:r>
      <w:r>
        <w:rPr>
          <w:rFonts w:ascii="Times New Roman" w:hAnsi="Times New Roman"/>
          <w:sz w:val="24"/>
        </w:rPr>
        <w:t>”), Deutsche Bank Trust Company Americas, a New York banking corporation, as trustee (hereinafter called the “</w:t>
      </w:r>
      <w:r>
        <w:rPr>
          <w:rFonts w:ascii="Times New Roman" w:hAnsi="Times New Roman"/>
          <w:b/>
          <w:sz w:val="24"/>
        </w:rPr>
        <w:t>Notes Trustee</w:t>
      </w:r>
      <w:r>
        <w:rPr>
          <w:rFonts w:ascii="Times New Roman" w:hAnsi="Times New Roman"/>
          <w:sz w:val="24"/>
        </w:rPr>
        <w:t>”), and Computershare Trust Company of Canada, a trust company incorporated under the laws of Canada (hereinafter called the “</w:t>
      </w:r>
      <w:r>
        <w:rPr>
          <w:rFonts w:ascii="Times New Roman" w:hAnsi="Times New Roman"/>
          <w:b/>
          <w:sz w:val="24"/>
        </w:rPr>
        <w:t>Co-Trustee</w:t>
      </w:r>
      <w:r>
        <w:rPr>
          <w:rFonts w:ascii="Times New Roman" w:hAnsi="Times New Roman"/>
          <w:sz w:val="24"/>
        </w:rPr>
        <w:t>” and together with the Notes Trustee, the “</w:t>
      </w:r>
      <w:r>
        <w:rPr>
          <w:rFonts w:ascii="Times New Roman" w:hAnsi="Times New Roman"/>
          <w:b/>
          <w:sz w:val="24"/>
        </w:rPr>
        <w:t>Trustees</w:t>
      </w:r>
      <w:r>
        <w:rPr>
          <w:rFonts w:ascii="Times New Roman" w:hAnsi="Times New Roman"/>
          <w:sz w:val="24"/>
        </w:rPr>
        <w:t xml:space="preserve">”). </w:t>
      </w:r>
    </w:p>
    <w:p>
      <w:pPr>
        <w:pStyle w:val="TextBody"/>
        <w:bidi w:val="0"/>
        <w:spacing w:before="240" w:after="0"/>
        <w:jc w:val="center"/>
        <w:rPr>
          <w:rFonts w:ascii="Times New Roman" w:hAnsi="Times New Roman"/>
          <w:b/>
          <w:sz w:val="24"/>
        </w:rPr>
      </w:pPr>
      <w:r>
        <w:rPr>
          <w:rFonts w:ascii="Times New Roman" w:hAnsi="Times New Roman"/>
          <w:b/>
          <w:sz w:val="24"/>
        </w:rPr>
        <w:t xml:space="preserve">WITNESSETH: </w:t>
      </w:r>
    </w:p>
    <w:p>
      <w:pPr>
        <w:pStyle w:val="TextBody"/>
        <w:bidi w:val="0"/>
        <w:spacing w:before="240" w:after="0"/>
        <w:jc w:val="both"/>
        <w:rPr>
          <w:rFonts w:ascii="Times New Roman" w:hAnsi="Times New Roman"/>
          <w:sz w:val="24"/>
        </w:rPr>
      </w:pPr>
      <w:r>
        <w:rPr>
          <w:rFonts w:ascii="Times New Roman" w:hAnsi="Times New Roman"/>
          <w:sz w:val="24"/>
        </w:rPr>
        <w:t>WHEREAS, the Company, TRC, the Subsidiary Guarantors, the Notes Trustee and the Co-Trustee entered into an indenture, dated as of March 20, 2025 (the “</w:t>
      </w:r>
      <w:r>
        <w:rPr>
          <w:rFonts w:ascii="Times New Roman" w:hAnsi="Times New Roman"/>
          <w:b/>
          <w:sz w:val="24"/>
        </w:rPr>
        <w:t>TR Finance Indenture</w:t>
      </w:r>
      <w:r>
        <w:rPr>
          <w:rFonts w:ascii="Times New Roman" w:hAnsi="Times New Roman"/>
          <w:sz w:val="24"/>
        </w:rPr>
        <w:t>”), pursuant to which one or more series of debt securities of the Company (the “</w:t>
      </w:r>
      <w:r>
        <w:rPr>
          <w:rFonts w:ascii="Times New Roman" w:hAnsi="Times New Roman"/>
          <w:b/>
          <w:sz w:val="24"/>
        </w:rPr>
        <w:t>Securities</w:t>
      </w:r>
      <w:r>
        <w:rPr>
          <w:rFonts w:ascii="Times New Roman" w:hAnsi="Times New Roman"/>
          <w:sz w:val="24"/>
        </w:rPr>
        <w:t xml:space="preserve">”) may be issued from time to time; and </w:t>
      </w:r>
    </w:p>
    <w:p>
      <w:pPr>
        <w:pStyle w:val="TextBody"/>
        <w:bidi w:val="0"/>
        <w:spacing w:before="240" w:after="0"/>
        <w:jc w:val="both"/>
        <w:rPr>
          <w:rFonts w:ascii="Times New Roman" w:hAnsi="Times New Roman"/>
          <w:sz w:val="24"/>
        </w:rPr>
      </w:pPr>
      <w:r>
        <w:rPr>
          <w:rFonts w:ascii="Times New Roman" w:hAnsi="Times New Roman"/>
          <w:sz w:val="24"/>
        </w:rPr>
        <w:t xml:space="preserve">WHEREAS, Section 301 of the TR Finance Indenture permits the terms of any series of Securities to be established in an indenture supplemental to the TR Finance Indenture; and </w:t>
      </w:r>
    </w:p>
    <w:p>
      <w:pPr>
        <w:pStyle w:val="TextBody"/>
        <w:bidi w:val="0"/>
        <w:spacing w:before="240" w:after="0"/>
        <w:jc w:val="both"/>
        <w:rPr>
          <w:rFonts w:ascii="Times New Roman" w:hAnsi="Times New Roman"/>
          <w:sz w:val="24"/>
        </w:rPr>
      </w:pPr>
      <w:r>
        <w:rPr>
          <w:rFonts w:ascii="Times New Roman" w:hAnsi="Times New Roman"/>
          <w:sz w:val="24"/>
        </w:rPr>
        <w:t xml:space="preserve">WHEREAS, Section 901 of the TR Finance Indenture provides that a supplemental indenture may be entered into by the Company, TRC, the Subsidiary Guarantors and the Trustees without the consent of any Holders of the Securities for the purpose of establishing the terms of a new series of Securities; and </w:t>
      </w:r>
    </w:p>
    <w:p>
      <w:pPr>
        <w:pStyle w:val="TextBody"/>
        <w:bidi w:val="0"/>
        <w:spacing w:before="240" w:after="0"/>
        <w:jc w:val="both"/>
        <w:rPr>
          <w:rFonts w:ascii="Times New Roman" w:hAnsi="Times New Roman"/>
          <w:sz w:val="24"/>
        </w:rPr>
      </w:pPr>
      <w:r>
        <w:rPr>
          <w:rFonts w:ascii="Times New Roman" w:hAnsi="Times New Roman"/>
          <w:sz w:val="24"/>
        </w:rPr>
        <w:t>WHEREAS, the Company has requested the Trustees to join with it in the execution and delivery of this Sixth Supplemental Indenture in order to supplement the TR Finance Indenture by, among other things, establishing certain terms of two new series of Securities to be known as the Company’s “5.100% Notes due 2028” (the “</w:t>
      </w:r>
      <w:r>
        <w:rPr>
          <w:rFonts w:ascii="Times New Roman" w:hAnsi="Times New Roman"/>
          <w:b/>
          <w:sz w:val="24"/>
        </w:rPr>
        <w:t>2028 Notes</w:t>
      </w:r>
      <w:r>
        <w:rPr>
          <w:rFonts w:ascii="Times New Roman" w:hAnsi="Times New Roman"/>
          <w:sz w:val="24"/>
        </w:rPr>
        <w:t>”) and the Company’s “5.750% Notes due 2033” (the “</w:t>
      </w:r>
      <w:r>
        <w:rPr>
          <w:rFonts w:ascii="Times New Roman" w:hAnsi="Times New Roman"/>
          <w:b/>
          <w:sz w:val="24"/>
        </w:rPr>
        <w:t>2033 Notes</w:t>
      </w:r>
      <w:r>
        <w:rPr>
          <w:rFonts w:ascii="Times New Roman" w:hAnsi="Times New Roman"/>
          <w:sz w:val="24"/>
        </w:rPr>
        <w:t>” and together with the 2028 Notes, the “</w:t>
      </w:r>
      <w:r>
        <w:rPr>
          <w:rFonts w:ascii="Times New Roman" w:hAnsi="Times New Roman"/>
          <w:b/>
          <w:sz w:val="24"/>
        </w:rPr>
        <w:t>Notes</w:t>
      </w:r>
      <w:r>
        <w:rPr>
          <w:rFonts w:ascii="Times New Roman" w:hAnsi="Times New Roman"/>
          <w:sz w:val="24"/>
        </w:rPr>
        <w:t xml:space="preserve">”); and </w:t>
      </w:r>
    </w:p>
    <w:p>
      <w:pPr>
        <w:pStyle w:val="TextBody"/>
        <w:bidi w:val="0"/>
        <w:spacing w:before="240" w:after="0"/>
        <w:jc w:val="both"/>
        <w:rPr>
          <w:rFonts w:ascii="Times New Roman" w:hAnsi="Times New Roman"/>
          <w:sz w:val="24"/>
        </w:rPr>
      </w:pPr>
      <w:r>
        <w:rPr>
          <w:rFonts w:ascii="Times New Roman" w:hAnsi="Times New Roman"/>
          <w:sz w:val="24"/>
        </w:rPr>
        <w:t xml:space="preserve">WHEREAS, the Company has furnished the Trustees with a duly authorized and executed Company Order dated September 17, 2026 authorizing the execution of this Sixth Supplemental Indenture and the issuance of each series of Notes and an Opinion of Counsel in connection with the execution of this Sixth Supplemental Indenture; and </w:t>
      </w:r>
    </w:p>
    <w:p>
      <w:pPr>
        <w:pStyle w:val="TextBody"/>
        <w:bidi w:val="0"/>
        <w:spacing w:before="240" w:after="0"/>
        <w:jc w:val="both"/>
        <w:rPr>
          <w:rFonts w:ascii="Times New Roman" w:hAnsi="Times New Roman"/>
          <w:sz w:val="24"/>
        </w:rPr>
      </w:pPr>
      <w:r>
        <w:rPr>
          <w:rFonts w:ascii="Times New Roman" w:hAnsi="Times New Roman"/>
          <w:sz w:val="24"/>
        </w:rPr>
        <w:t xml:space="preserve">WHEREAS, all things necessary to make this Sixth Supplemental Indenture a valid agreement of the Company, TRC, the Subsidiary Guarantors and the Trustees and a valid supplement to the TR Finance Indenture have been done; and </w:t>
      </w:r>
    </w:p>
    <w:p>
      <w:pPr>
        <w:pStyle w:val="TextBody"/>
        <w:bidi w:val="0"/>
        <w:spacing w:before="240" w:after="0"/>
        <w:jc w:val="both"/>
        <w:rPr>
          <w:rFonts w:ascii="Times New Roman" w:hAnsi="Times New Roman"/>
          <w:sz w:val="24"/>
        </w:rPr>
      </w:pPr>
      <w:r>
        <w:rPr>
          <w:rFonts w:ascii="Times New Roman" w:hAnsi="Times New Roman"/>
          <w:sz w:val="24"/>
        </w:rPr>
        <w:t xml:space="preserve">WHEREAS, the foregoing recitals are made as representations and statements of fact by the Company and not the Notes Trustee or Co-Trustee. </w:t>
      </w:r>
    </w:p>
    <w:p>
      <w:pPr>
        <w:pStyle w:val="TextBody"/>
        <w:bidi w:val="0"/>
        <w:spacing w:before="240" w:after="0"/>
        <w:jc w:val="both"/>
        <w:rPr>
          <w:rFonts w:ascii="Times New Roman" w:hAnsi="Times New Roman"/>
          <w:sz w:val="24"/>
        </w:rPr>
      </w:pPr>
      <w:r>
        <w:rPr>
          <w:rFonts w:ascii="Times New Roman" w:hAnsi="Times New Roman"/>
          <w:sz w:val="24"/>
        </w:rPr>
        <w:t xml:space="preserve">NOW, THEREFORE, this SIXTH SUPPLEMENTAL INDENTURE for and in consideration of the premises and the purchase of the Notes to be issued hereunder by Holders thereof, the Company, TRC, the Subsidiary Guarantors, the Notes Trustee and the Co-Trustee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- 2 -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mutually covenant and agree, for the equal and proportionate benefit of the Holders from time to time of the Notes, as follows: </w:t>
      </w:r>
    </w:p>
    <w:p>
      <w:pPr>
        <w:pStyle w:val="TextBody"/>
        <w:bidi w:val="0"/>
        <w:spacing w:before="240" w:after="0"/>
        <w:jc w:val="center"/>
        <w:rPr>
          <w:rFonts w:ascii="Times New Roman" w:hAnsi="Times New Roman"/>
          <w:b/>
          <w:sz w:val="24"/>
        </w:rPr>
      </w:pPr>
      <w:r>
        <w:rPr>
          <w:rFonts w:ascii="Times New Roman" w:hAnsi="Times New Roman"/>
          <w:b/>
          <w:sz w:val="24"/>
        </w:rPr>
        <w:t xml:space="preserve">ARTICLE I </w:t>
      </w:r>
    </w:p>
    <w:p>
      <w:pPr>
        <w:pStyle w:val="TextBody"/>
        <w:bidi w:val="0"/>
        <w:spacing w:before="240" w:after="0"/>
        <w:jc w:val="center"/>
        <w:rPr>
          <w:rFonts w:ascii="Times New Roman" w:hAnsi="Times New Roman"/>
          <w:b/>
          <w:sz w:val="24"/>
        </w:rPr>
      </w:pPr>
      <w:r>
        <w:rPr>
          <w:rFonts w:ascii="Times New Roman" w:hAnsi="Times New Roman"/>
          <w:b/>
          <w:sz w:val="24"/>
        </w:rPr>
        <w:t xml:space="preserve">DEFINITIONS </w:t>
      </w:r>
    </w:p>
    <w:p>
      <w:pPr>
        <w:pStyle w:val="TextBody"/>
        <w:bidi w:val="0"/>
        <w:spacing w:before="240" w:after="0"/>
        <w:jc w:val="both"/>
        <w:rPr>
          <w:rFonts w:ascii="Times New Roman" w:hAnsi="Times New Roman"/>
          <w:sz w:val="24"/>
        </w:rPr>
      </w:pPr>
      <w:r>
        <w:rPr>
          <w:rFonts w:ascii="Times New Roman" w:hAnsi="Times New Roman"/>
          <w:sz w:val="24"/>
        </w:rPr>
        <w:t xml:space="preserve">The TR Finance Indenture together with this Sixth Supplemental Indenture is hereinafter sometimes collectively referred to as the “Indenture.” All capitalized terms which are used herein and not otherwise defined herein are defined in the TR Finance Indenture and are used herein with the same meanings as in the TR Finance Indenture. </w:t>
      </w:r>
    </w:p>
    <w:p>
      <w:pPr>
        <w:pStyle w:val="TextBody"/>
        <w:bidi w:val="0"/>
        <w:spacing w:before="240" w:after="0"/>
        <w:jc w:val="both"/>
        <w:rPr>
          <w:rFonts w:ascii="Times New Roman" w:hAnsi="Times New Roman"/>
          <w:sz w:val="24"/>
        </w:rPr>
      </w:pPr>
      <w:r>
        <w:rPr>
          <w:rFonts w:ascii="Times New Roman" w:hAnsi="Times New Roman"/>
          <w:sz w:val="24"/>
        </w:rPr>
        <w:t xml:space="preserve">For all purposes of this Sixth Supplemental Indenture and the Notes, except as otherwise expressly provided or unless the subject matter or the context otherwise requires: </w:t>
      </w:r>
    </w:p>
    <w:p>
      <w:pPr>
        <w:pStyle w:val="TextBody"/>
        <w:bidi w:val="0"/>
        <w:spacing w:before="240" w:after="0"/>
        <w:jc w:val="both"/>
        <w:rPr/>
      </w:pPr>
      <w:r>
        <w:rPr/>
        <w:t>“</w:t>
      </w:r>
      <w:r>
        <w:rPr>
          <w:rFonts w:ascii="Times New Roman" w:hAnsi="Times New Roman"/>
          <w:b/>
          <w:sz w:val="24"/>
        </w:rPr>
        <w:t>Additional Amounts</w:t>
      </w:r>
      <w:r>
        <w:rPr>
          <w:rFonts w:ascii="Times New Roman" w:hAnsi="Times New Roman"/>
          <w:sz w:val="24"/>
        </w:rPr>
        <w:t xml:space="preserve">” has the meaning set forth in Section 2.03(i) hereof. </w:t>
      </w:r>
    </w:p>
    <w:p>
      <w:pPr>
        <w:pStyle w:val="TextBody"/>
        <w:bidi w:val="0"/>
        <w:spacing w:before="240" w:after="0"/>
        <w:jc w:val="both"/>
        <w:rPr/>
      </w:pPr>
      <w:r>
        <w:rPr/>
        <w:t>“</w:t>
      </w:r>
      <w:r>
        <w:rPr>
          <w:rFonts w:ascii="Times New Roman" w:hAnsi="Times New Roman"/>
          <w:b/>
          <w:sz w:val="24"/>
        </w:rPr>
        <w:t>Change of Control</w:t>
      </w:r>
      <w:r>
        <w:rPr>
          <w:rFonts w:ascii="Times New Roman" w:hAnsi="Times New Roman"/>
          <w:sz w:val="24"/>
        </w:rPr>
        <w:t xml:space="preserve">” means the occurrence of any one of the following: (1) the direct or indirect sale, transfer, conveyance or other disposition (other than by way of merger, amalgamation, arrangement or consolidation), in one or a series of related transactions, of all or substantially all of the properties or assets of Thomson Reuters, taken as a whole, to any person or group, other than to a Thomson Reuters Entity; (2) the first day on which a majority of the members of the TRC Board of Directors are not Continuing Directors; (3) the consummation of any transaction including, without limitation, any merger, amalgamation, arrangement or consolidation the result of which is that any person or group of related persons, other than the Woodbridge Group, becomes the beneficial owner (as defined in Rules 13d-3 and 13d-5 under the </w:t>
      </w:r>
      <w:r>
        <w:rPr>
          <w:rFonts w:ascii="Times New Roman" w:hAnsi="Times New Roman"/>
          <w:i/>
          <w:sz w:val="24"/>
        </w:rPr>
        <w:t>Exchange Act</w:t>
      </w:r>
      <w:r>
        <w:rPr>
          <w:rFonts w:ascii="Times New Roman" w:hAnsi="Times New Roman"/>
          <w:sz w:val="24"/>
        </w:rPr>
        <w:t xml:space="preserve">), directly or indirectly, of more than 50% of the TRC Voting Stock (which, for greater certainty, excludes the Thomson Reuters Founders Share in TRC held by Thomson Reuters Founders Share Company), measured by voting power rather than number of shares; (4) the consummation of a so-called “going private/Rule 13e-3 transaction” that results in any of the effects described in paragraph (a)(3)(ii) of Rule 13e-3 under the </w:t>
      </w:r>
      <w:r>
        <w:rPr>
          <w:rFonts w:ascii="Times New Roman" w:hAnsi="Times New Roman"/>
          <w:i/>
          <w:sz w:val="24"/>
        </w:rPr>
        <w:t xml:space="preserve">Exchange Act </w:t>
      </w:r>
      <w:r>
        <w:rPr>
          <w:rFonts w:ascii="Times New Roman" w:hAnsi="Times New Roman"/>
          <w:sz w:val="24"/>
        </w:rPr>
        <w:t xml:space="preserve">(or any successor provision), following which the Woodbridge Group beneficially owns, directly or indirectly, more than 50% of the TRC Voting Stock (which, for greater certainty, excludes the Thomson Reuters Founders Share), measured by voting power rather than number of shares; or (5) TRC ceases to own, directly or indirectly, 100% of the Voting Stock/Interests of the Company, measured by voting power rather than number of units. For the purposes of this definition, “person” and “group” have the meanings used in Sections 13(d) and 14(d) of the </w:t>
      </w:r>
      <w:r>
        <w:rPr>
          <w:rFonts w:ascii="Times New Roman" w:hAnsi="Times New Roman"/>
          <w:i/>
          <w:sz w:val="24"/>
        </w:rPr>
        <w:t>Exchange Act</w:t>
      </w:r>
      <w:r>
        <w:rPr>
          <w:rFonts w:ascii="Times New Roman" w:hAnsi="Times New Roman"/>
          <w:sz w:val="24"/>
        </w:rPr>
        <w:t xml:space="preserve">. </w:t>
      </w:r>
    </w:p>
    <w:p>
      <w:pPr>
        <w:pStyle w:val="TextBody"/>
        <w:bidi w:val="0"/>
        <w:spacing w:before="240" w:after="0"/>
        <w:jc w:val="both"/>
        <w:rPr/>
      </w:pPr>
      <w:r>
        <w:rPr/>
        <w:t>“</w:t>
      </w:r>
      <w:r>
        <w:rPr>
          <w:rFonts w:ascii="Times New Roman" w:hAnsi="Times New Roman"/>
          <w:b/>
          <w:sz w:val="24"/>
        </w:rPr>
        <w:t>Change of Control Offer</w:t>
      </w:r>
      <w:r>
        <w:rPr>
          <w:rFonts w:ascii="Times New Roman" w:hAnsi="Times New Roman"/>
          <w:sz w:val="24"/>
        </w:rPr>
        <w:t xml:space="preserve">” has the meaning set forth in Section 2.03(m)(A) hereof. </w:t>
      </w:r>
    </w:p>
    <w:p>
      <w:pPr>
        <w:pStyle w:val="TextBody"/>
        <w:bidi w:val="0"/>
        <w:spacing w:before="240" w:after="0"/>
        <w:jc w:val="both"/>
        <w:rPr/>
      </w:pPr>
      <w:r>
        <w:rPr/>
        <w:t>“</w:t>
      </w:r>
      <w:r>
        <w:rPr>
          <w:rFonts w:ascii="Times New Roman" w:hAnsi="Times New Roman"/>
          <w:b/>
          <w:sz w:val="24"/>
        </w:rPr>
        <w:t>Change of Control Payment</w:t>
      </w:r>
      <w:r>
        <w:rPr>
          <w:rFonts w:ascii="Times New Roman" w:hAnsi="Times New Roman"/>
          <w:sz w:val="24"/>
        </w:rPr>
        <w:t xml:space="preserve">” has the meaning set forth in Section 2.03(m)(A) hereof. </w:t>
      </w:r>
    </w:p>
    <w:p>
      <w:pPr>
        <w:pStyle w:val="TextBody"/>
        <w:bidi w:val="0"/>
        <w:spacing w:before="240" w:after="0"/>
        <w:jc w:val="both"/>
        <w:rPr/>
      </w:pPr>
      <w:r>
        <w:rPr/>
        <w:t>“</w:t>
      </w:r>
      <w:r>
        <w:rPr>
          <w:rFonts w:ascii="Times New Roman" w:hAnsi="Times New Roman"/>
          <w:b/>
          <w:sz w:val="24"/>
        </w:rPr>
        <w:t>Change of Control Payment Date</w:t>
      </w:r>
      <w:r>
        <w:rPr>
          <w:rFonts w:ascii="Times New Roman" w:hAnsi="Times New Roman"/>
          <w:sz w:val="24"/>
        </w:rPr>
        <w:t xml:space="preserve">” has the meaning set forth in Section 2.03(m)(B) hereof. </w:t>
      </w:r>
    </w:p>
    <w:p>
      <w:pPr>
        <w:pStyle w:val="TextBody"/>
        <w:bidi w:val="0"/>
        <w:spacing w:before="240" w:after="0"/>
        <w:jc w:val="both"/>
        <w:rPr/>
      </w:pPr>
      <w:r>
        <w:rPr/>
        <w:t>“</w:t>
      </w:r>
      <w:r>
        <w:rPr>
          <w:rFonts w:ascii="Times New Roman" w:hAnsi="Times New Roman"/>
          <w:b/>
          <w:sz w:val="24"/>
        </w:rPr>
        <w:t>Change of Control Triggering Event</w:t>
      </w:r>
      <w:r>
        <w:rPr>
          <w:rFonts w:ascii="Times New Roman" w:hAnsi="Times New Roman"/>
          <w:sz w:val="24"/>
        </w:rPr>
        <w:t xml:space="preserve">” means the occurrence of both a Change of Control and a Rating Event.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- 3 - </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sz w:val="24"/>
        </w:rPr>
        <w:t>Company</w:t>
      </w:r>
      <w:r>
        <w:rPr>
          <w:rFonts w:ascii="Times New Roman" w:hAnsi="Times New Roman"/>
          <w:sz w:val="24"/>
        </w:rPr>
        <w:t xml:space="preserve">” has the meaning set forth in the preamble of this Sixth Supplemental Indenture. </w:t>
      </w:r>
    </w:p>
    <w:p>
      <w:pPr>
        <w:pStyle w:val="TextBody"/>
        <w:bidi w:val="0"/>
        <w:spacing w:before="240" w:after="0"/>
        <w:jc w:val="both"/>
        <w:rPr/>
      </w:pPr>
      <w:r>
        <w:rPr/>
        <w:t>“</w:t>
      </w:r>
      <w:r>
        <w:rPr>
          <w:rFonts w:ascii="Times New Roman" w:hAnsi="Times New Roman"/>
          <w:b/>
          <w:sz w:val="24"/>
        </w:rPr>
        <w:t>Consolidated Shareholders’ Equity</w:t>
      </w:r>
      <w:r>
        <w:rPr>
          <w:rFonts w:ascii="Times New Roman" w:hAnsi="Times New Roman"/>
          <w:sz w:val="24"/>
        </w:rPr>
        <w:t xml:space="preserve">” means the aggregate of the stated capital accounts for all of TRC’s outstanding shares and the amount of TRC’s consolidated surplus, whether paid in, earned, or otherwise, as such consolidated surplus is shown on its then most recent audited consolidated balance sheet, determined in accordance with GAAP. </w:t>
      </w:r>
    </w:p>
    <w:p>
      <w:pPr>
        <w:pStyle w:val="TextBody"/>
        <w:bidi w:val="0"/>
        <w:spacing w:before="240" w:after="0"/>
        <w:jc w:val="both"/>
        <w:rPr/>
      </w:pPr>
      <w:r>
        <w:rPr/>
        <w:t>“</w:t>
      </w:r>
      <w:r>
        <w:rPr>
          <w:rFonts w:ascii="Times New Roman" w:hAnsi="Times New Roman"/>
          <w:b/>
          <w:sz w:val="24"/>
        </w:rPr>
        <w:t>Continuing Directors</w:t>
      </w:r>
      <w:r>
        <w:rPr>
          <w:rFonts w:ascii="Times New Roman" w:hAnsi="Times New Roman"/>
          <w:sz w:val="24"/>
        </w:rPr>
        <w:t xml:space="preserve">” means, as of any date of determination, any member of the TRC Board of Directors who (1) was a member of the TRC Board of Directors on the date of the issuance of the Notes; or (2) was nominated for election, elected or appointed to the TRC Board of Directors with the approval of a majority of the Continuing Directors who were members of the TRC Board of Directors at the time of such nomination, election or appointment (either by a specific vote or by approval of the TRC management information circular in which such member was named as a nominee for election as a director). </w:t>
      </w:r>
    </w:p>
    <w:p>
      <w:pPr>
        <w:pStyle w:val="TextBody"/>
        <w:bidi w:val="0"/>
        <w:spacing w:before="240" w:after="0"/>
        <w:jc w:val="both"/>
        <w:rPr/>
      </w:pPr>
      <w:r>
        <w:rPr/>
        <w:t>“</w:t>
      </w:r>
      <w:r>
        <w:rPr>
          <w:rFonts w:ascii="Times New Roman" w:hAnsi="Times New Roman"/>
          <w:b/>
          <w:sz w:val="24"/>
        </w:rPr>
        <w:t>Co-Obligor</w:t>
      </w:r>
      <w:r>
        <w:rPr>
          <w:rFonts w:ascii="Times New Roman" w:hAnsi="Times New Roman"/>
          <w:sz w:val="24"/>
        </w:rPr>
        <w:t xml:space="preserve">” has the meaning set forth in Section 2.03(l) hereof. </w:t>
      </w:r>
    </w:p>
    <w:p>
      <w:pPr>
        <w:pStyle w:val="TextBody"/>
        <w:bidi w:val="0"/>
        <w:spacing w:before="240" w:after="0"/>
        <w:jc w:val="both"/>
        <w:rPr/>
      </w:pPr>
      <w:r>
        <w:rPr/>
        <w:t>“</w:t>
      </w:r>
      <w:r>
        <w:rPr>
          <w:rFonts w:ascii="Times New Roman" w:hAnsi="Times New Roman"/>
          <w:b/>
          <w:sz w:val="24"/>
        </w:rPr>
        <w:t>Co-Trustee</w:t>
      </w:r>
      <w:r>
        <w:rPr>
          <w:rFonts w:ascii="Times New Roman" w:hAnsi="Times New Roman"/>
          <w:sz w:val="24"/>
        </w:rPr>
        <w:t xml:space="preserve">” has the meaning set forth in the preamble of this Sixth Supplemental Indenture. </w:t>
      </w:r>
    </w:p>
    <w:p>
      <w:pPr>
        <w:pStyle w:val="TextBody"/>
        <w:bidi w:val="0"/>
        <w:spacing w:before="240" w:after="0"/>
        <w:jc w:val="both"/>
        <w:rPr/>
      </w:pPr>
      <w:r>
        <w:rPr/>
        <w:t>“</w:t>
      </w:r>
      <w:r>
        <w:rPr>
          <w:rFonts w:ascii="Times New Roman" w:hAnsi="Times New Roman"/>
          <w:b/>
          <w:sz w:val="24"/>
        </w:rPr>
        <w:t>Debt</w:t>
      </w:r>
      <w:r>
        <w:rPr>
          <w:rFonts w:ascii="Times New Roman" w:hAnsi="Times New Roman"/>
          <w:sz w:val="24"/>
        </w:rPr>
        <w:t xml:space="preserve">” means notes, bonds, debentures or other similar evidences of indebtedness for money borrowed. </w:t>
      </w:r>
    </w:p>
    <w:p>
      <w:pPr>
        <w:pStyle w:val="TextBody"/>
        <w:bidi w:val="0"/>
        <w:spacing w:before="240" w:after="0"/>
        <w:jc w:val="both"/>
        <w:rPr/>
      </w:pPr>
      <w:r>
        <w:rPr/>
        <w:t>“</w:t>
      </w:r>
      <w:r>
        <w:rPr>
          <w:rFonts w:ascii="Times New Roman" w:hAnsi="Times New Roman"/>
          <w:b/>
          <w:sz w:val="24"/>
        </w:rPr>
        <w:t>DTC</w:t>
      </w:r>
      <w:r>
        <w:rPr>
          <w:rFonts w:ascii="Times New Roman" w:hAnsi="Times New Roman"/>
          <w:sz w:val="24"/>
        </w:rPr>
        <w:t xml:space="preserve">” has the meaning set forth in Section 2.02 hereof. </w:t>
      </w:r>
    </w:p>
    <w:p>
      <w:pPr>
        <w:pStyle w:val="TextBody"/>
        <w:bidi w:val="0"/>
        <w:spacing w:before="240" w:after="0"/>
        <w:jc w:val="both"/>
        <w:rPr/>
      </w:pPr>
      <w:r>
        <w:rPr/>
        <w:t>“</w:t>
      </w:r>
      <w:r>
        <w:rPr>
          <w:rFonts w:ascii="Times New Roman" w:hAnsi="Times New Roman"/>
          <w:b/>
          <w:sz w:val="24"/>
        </w:rPr>
        <w:t>Exchange Act</w:t>
      </w:r>
      <w:r>
        <w:rPr>
          <w:rFonts w:ascii="Times New Roman" w:hAnsi="Times New Roman"/>
          <w:sz w:val="24"/>
        </w:rPr>
        <w:t xml:space="preserve">” means the </w:t>
      </w:r>
      <w:r>
        <w:rPr>
          <w:rFonts w:ascii="Times New Roman" w:hAnsi="Times New Roman"/>
          <w:i/>
          <w:sz w:val="24"/>
        </w:rPr>
        <w:t>United States Securities Exchange Act</w:t>
      </w:r>
      <w:r>
        <w:rPr>
          <w:rFonts w:ascii="Times New Roman" w:hAnsi="Times New Roman"/>
          <w:sz w:val="24"/>
        </w:rPr>
        <w:t xml:space="preserve"> of 1934 and the rules and regulations promulgated thereunder, as amended. </w:t>
      </w:r>
    </w:p>
    <w:p>
      <w:pPr>
        <w:pStyle w:val="TextBody"/>
        <w:bidi w:val="0"/>
        <w:spacing w:before="240" w:after="0"/>
        <w:jc w:val="both"/>
        <w:rPr/>
      </w:pPr>
      <w:r>
        <w:rPr/>
        <w:t>“</w:t>
      </w:r>
      <w:r>
        <w:rPr>
          <w:rFonts w:ascii="Times New Roman" w:hAnsi="Times New Roman"/>
          <w:b/>
          <w:sz w:val="24"/>
        </w:rPr>
        <w:t>FATCA</w:t>
      </w:r>
      <w:r>
        <w:rPr>
          <w:rFonts w:ascii="Times New Roman" w:hAnsi="Times New Roman"/>
          <w:sz w:val="24"/>
        </w:rPr>
        <w:t xml:space="preserve">” has the meaning set forth in Section 2.03(i) hereof. </w:t>
      </w:r>
    </w:p>
    <w:p>
      <w:pPr>
        <w:pStyle w:val="TextBody"/>
        <w:bidi w:val="0"/>
        <w:spacing w:before="240" w:after="0"/>
        <w:jc w:val="both"/>
        <w:rPr/>
      </w:pPr>
      <w:r>
        <w:rPr/>
        <w:t>“</w:t>
      </w:r>
      <w:r>
        <w:rPr>
          <w:rFonts w:ascii="Times New Roman" w:hAnsi="Times New Roman"/>
          <w:b/>
          <w:sz w:val="24"/>
        </w:rPr>
        <w:t>Fitch</w:t>
      </w:r>
      <w:r>
        <w:rPr>
          <w:rFonts w:ascii="Times New Roman" w:hAnsi="Times New Roman"/>
          <w:sz w:val="24"/>
        </w:rPr>
        <w:t xml:space="preserve">” means Fitch Ratings Ltd. </w:t>
      </w:r>
    </w:p>
    <w:p>
      <w:pPr>
        <w:pStyle w:val="TextBody"/>
        <w:bidi w:val="0"/>
        <w:spacing w:before="240" w:after="0"/>
        <w:jc w:val="both"/>
        <w:rPr/>
      </w:pPr>
      <w:r>
        <w:rPr/>
        <w:t>“</w:t>
      </w:r>
      <w:r>
        <w:rPr>
          <w:rFonts w:ascii="Times New Roman" w:hAnsi="Times New Roman"/>
          <w:b/>
          <w:sz w:val="24"/>
        </w:rPr>
        <w:t>Funded Obligation</w:t>
      </w:r>
      <w:r>
        <w:rPr>
          <w:rFonts w:ascii="Times New Roman" w:hAnsi="Times New Roman"/>
          <w:sz w:val="24"/>
        </w:rPr>
        <w:t xml:space="preserve">” means any Debt, the principal amount of which by its terms is not payable on demand and the due date of payment of which, after giving effect to any right of extension or renewal exercisable unilaterally on the part of the obligor, is more than 18 months from the date of the creation, issue or incurring of the same. </w:t>
      </w:r>
    </w:p>
    <w:p>
      <w:pPr>
        <w:pStyle w:val="TextBody"/>
        <w:bidi w:val="0"/>
        <w:spacing w:before="240" w:after="0"/>
        <w:jc w:val="both"/>
        <w:rPr/>
      </w:pPr>
      <w:r>
        <w:rPr/>
        <w:t>“</w:t>
      </w:r>
      <w:r>
        <w:rPr>
          <w:rFonts w:ascii="Times New Roman" w:hAnsi="Times New Roman"/>
          <w:b/>
          <w:sz w:val="24"/>
        </w:rPr>
        <w:t>Global Note</w:t>
      </w:r>
      <w:r>
        <w:rPr>
          <w:rFonts w:ascii="Times New Roman" w:hAnsi="Times New Roman"/>
          <w:sz w:val="24"/>
        </w:rPr>
        <w:t xml:space="preserve">” has the meaning set forth in Section 2.02 hereof. </w:t>
      </w:r>
    </w:p>
    <w:p>
      <w:pPr>
        <w:pStyle w:val="TextBody"/>
        <w:bidi w:val="0"/>
        <w:spacing w:before="240" w:after="0"/>
        <w:jc w:val="both"/>
        <w:rPr/>
      </w:pPr>
      <w:r>
        <w:rPr/>
        <w:t>“</w:t>
      </w:r>
      <w:r>
        <w:rPr>
          <w:rFonts w:ascii="Times New Roman" w:hAnsi="Times New Roman"/>
          <w:b/>
          <w:sz w:val="24"/>
        </w:rPr>
        <w:t>Guarantee</w:t>
      </w:r>
      <w:r>
        <w:rPr>
          <w:rFonts w:ascii="Times New Roman" w:hAnsi="Times New Roman"/>
          <w:sz w:val="24"/>
        </w:rPr>
        <w:t xml:space="preserve">” means the guarantee obligations of TRC pursuant to Section 1301 of the TR Finance Indenture but solely in respect of the Notes. </w:t>
      </w:r>
    </w:p>
    <w:p>
      <w:pPr>
        <w:pStyle w:val="TextBody"/>
        <w:bidi w:val="0"/>
        <w:spacing w:before="240" w:after="0"/>
        <w:jc w:val="both"/>
        <w:rPr/>
      </w:pPr>
      <w:r>
        <w:rPr/>
        <w:t>“</w:t>
      </w:r>
      <w:r>
        <w:rPr>
          <w:rFonts w:ascii="Times New Roman" w:hAnsi="Times New Roman"/>
          <w:b/>
          <w:sz w:val="24"/>
        </w:rPr>
        <w:t>Guarantors</w:t>
      </w:r>
      <w:r>
        <w:rPr>
          <w:rFonts w:ascii="Times New Roman" w:hAnsi="Times New Roman"/>
          <w:sz w:val="24"/>
        </w:rPr>
        <w:t xml:space="preserve">” has the meaning set forth in the preamble of this Sixth Supplemental Indenture. </w:t>
      </w:r>
    </w:p>
    <w:p>
      <w:pPr>
        <w:pStyle w:val="TextBody"/>
        <w:bidi w:val="0"/>
        <w:spacing w:before="240" w:after="0"/>
        <w:jc w:val="both"/>
        <w:rPr/>
      </w:pPr>
      <w:r>
        <w:rPr/>
        <w:t>“</w:t>
      </w:r>
      <w:r>
        <w:rPr>
          <w:rFonts w:ascii="Times New Roman" w:hAnsi="Times New Roman"/>
          <w:b/>
          <w:sz w:val="24"/>
        </w:rPr>
        <w:t>Investment Grade Rating</w:t>
      </w:r>
      <w:r>
        <w:rPr>
          <w:rFonts w:ascii="Times New Roman" w:hAnsi="Times New Roman"/>
          <w:sz w:val="24"/>
        </w:rPr>
        <w:t xml:space="preserve">” means a rating equal to or higher than Baa3 (or the equivalent) by Moody’s, BBB- (or the equivalent) by S&amp;P or BBB- (or the equivalent) by Fitch,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- 4 -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and the equivalent investment grade credit rating from any replacement Rating Agency or Rating Agencies selected by the Company. </w:t>
      </w:r>
    </w:p>
    <w:p>
      <w:pPr>
        <w:pStyle w:val="TextBody"/>
        <w:bidi w:val="0"/>
        <w:spacing w:before="240" w:after="0"/>
        <w:jc w:val="both"/>
        <w:rPr/>
      </w:pPr>
      <w:r>
        <w:rPr/>
        <w:t>“</w:t>
      </w:r>
      <w:r>
        <w:rPr>
          <w:rFonts w:ascii="Times New Roman" w:hAnsi="Times New Roman"/>
          <w:b/>
          <w:sz w:val="24"/>
        </w:rPr>
        <w:t>Material Subsidiary</w:t>
      </w:r>
      <w:r>
        <w:rPr>
          <w:rFonts w:ascii="Times New Roman" w:hAnsi="Times New Roman"/>
          <w:sz w:val="24"/>
        </w:rPr>
        <w:t xml:space="preserve">” means any Subsidiary of TRC the revenues of which for the 12 months ending at the end of the most recently completed fiscal year of such Subsidiary represent 10% or more of the revenues of TRC and its consolidated subsidiaries taken as a whole for the 12 months ending at the end of the most recently completed fiscal year of TRC, or the gross assets of which as at the end of the most recently completed fiscal year of such Subsidiary represent 10% or more of the gross assets of TRC and its consolidated Subsidiaries taken as a whole as at the end of the most recently completed fiscal year of TRC, calculated in each case in accordance with GAAP. </w:t>
      </w:r>
    </w:p>
    <w:p>
      <w:pPr>
        <w:pStyle w:val="TextBody"/>
        <w:bidi w:val="0"/>
        <w:spacing w:before="240" w:after="0"/>
        <w:jc w:val="both"/>
        <w:rPr/>
      </w:pPr>
      <w:r>
        <w:rPr/>
        <w:t>“</w:t>
      </w:r>
      <w:r>
        <w:rPr>
          <w:rFonts w:ascii="Times New Roman" w:hAnsi="Times New Roman"/>
          <w:b/>
          <w:sz w:val="24"/>
        </w:rPr>
        <w:t>Moody’s</w:t>
      </w:r>
      <w:r>
        <w:rPr>
          <w:rFonts w:ascii="Times New Roman" w:hAnsi="Times New Roman"/>
          <w:sz w:val="24"/>
        </w:rPr>
        <w:t xml:space="preserve">” means Moody’s Investors Service, Inc. </w:t>
      </w:r>
    </w:p>
    <w:p>
      <w:pPr>
        <w:pStyle w:val="TextBody"/>
        <w:bidi w:val="0"/>
        <w:spacing w:before="240" w:after="0"/>
        <w:jc w:val="both"/>
        <w:rPr/>
      </w:pPr>
      <w:r>
        <w:rPr/>
        <w:t>“</w:t>
      </w:r>
      <w:r>
        <w:rPr>
          <w:rFonts w:ascii="Times New Roman" w:hAnsi="Times New Roman"/>
          <w:b/>
          <w:sz w:val="24"/>
        </w:rPr>
        <w:t>Non-U.S. Person</w:t>
      </w:r>
      <w:r>
        <w:rPr>
          <w:rFonts w:ascii="Times New Roman" w:hAnsi="Times New Roman"/>
          <w:sz w:val="24"/>
        </w:rPr>
        <w:t xml:space="preserve">” has the meaning set forth in Section 2.03(k) hereof. </w:t>
      </w:r>
    </w:p>
    <w:p>
      <w:pPr>
        <w:pStyle w:val="TextBody"/>
        <w:bidi w:val="0"/>
        <w:spacing w:before="240" w:after="0"/>
        <w:jc w:val="both"/>
        <w:rPr/>
      </w:pPr>
      <w:r>
        <w:rPr/>
        <w:t>“</w:t>
      </w:r>
      <w:r>
        <w:rPr>
          <w:rFonts w:ascii="Times New Roman" w:hAnsi="Times New Roman"/>
          <w:b/>
          <w:sz w:val="24"/>
        </w:rPr>
        <w:t>Non-U.S. Taxing Jurisdiction</w:t>
      </w:r>
      <w:r>
        <w:rPr>
          <w:rFonts w:ascii="Times New Roman" w:hAnsi="Times New Roman"/>
          <w:sz w:val="24"/>
        </w:rPr>
        <w:t xml:space="preserve">” has the meaning set forth in Section 2.03(k) hereof. </w:t>
      </w:r>
    </w:p>
    <w:p>
      <w:pPr>
        <w:pStyle w:val="TextBody"/>
        <w:bidi w:val="0"/>
        <w:spacing w:before="240" w:after="0"/>
        <w:jc w:val="both"/>
        <w:rPr/>
      </w:pPr>
      <w:r>
        <w:rPr/>
        <w:t>“</w:t>
      </w:r>
      <w:r>
        <w:rPr>
          <w:rFonts w:ascii="Times New Roman" w:hAnsi="Times New Roman"/>
          <w:b/>
          <w:sz w:val="24"/>
        </w:rPr>
        <w:t>Notes</w:t>
      </w:r>
      <w:r>
        <w:rPr>
          <w:rFonts w:ascii="Times New Roman" w:hAnsi="Times New Roman"/>
          <w:sz w:val="24"/>
        </w:rPr>
        <w:t xml:space="preserve">” has the meaning set forth in the recitals of this Sixth Supplemental Indenture. </w:t>
      </w:r>
    </w:p>
    <w:p>
      <w:pPr>
        <w:pStyle w:val="TextBody"/>
        <w:bidi w:val="0"/>
        <w:spacing w:before="240" w:after="0"/>
        <w:jc w:val="both"/>
        <w:rPr/>
      </w:pPr>
      <w:r>
        <w:rPr/>
        <w:t>“</w:t>
      </w:r>
      <w:r>
        <w:rPr>
          <w:rFonts w:ascii="Times New Roman" w:hAnsi="Times New Roman"/>
          <w:b/>
          <w:sz w:val="24"/>
        </w:rPr>
        <w:t>Notes Trustee</w:t>
      </w:r>
      <w:r>
        <w:rPr>
          <w:rFonts w:ascii="Times New Roman" w:hAnsi="Times New Roman"/>
          <w:sz w:val="24"/>
        </w:rPr>
        <w:t xml:space="preserve">” has the meaning set forth in the preamble of this Sixth Supplemental Indenture. </w:t>
      </w:r>
    </w:p>
    <w:p>
      <w:pPr>
        <w:pStyle w:val="TextBody"/>
        <w:bidi w:val="0"/>
        <w:spacing w:before="240" w:after="0"/>
        <w:jc w:val="both"/>
        <w:rPr/>
      </w:pPr>
      <w:r>
        <w:rPr/>
        <w:t>“</w:t>
      </w:r>
      <w:r>
        <w:rPr>
          <w:rFonts w:ascii="Times New Roman" w:hAnsi="Times New Roman"/>
          <w:b/>
          <w:sz w:val="24"/>
        </w:rPr>
        <w:t>Other Additional Amounts</w:t>
      </w:r>
      <w:r>
        <w:rPr>
          <w:rFonts w:ascii="Times New Roman" w:hAnsi="Times New Roman"/>
          <w:sz w:val="24"/>
        </w:rPr>
        <w:t xml:space="preserve">” has the meaning set forth in Section 2.03(k) hereof. </w:t>
      </w:r>
    </w:p>
    <w:p>
      <w:pPr>
        <w:pStyle w:val="TextBody"/>
        <w:bidi w:val="0"/>
        <w:spacing w:before="240" w:after="0"/>
        <w:jc w:val="both"/>
        <w:rPr/>
      </w:pPr>
      <w:r>
        <w:rPr/>
        <w:t>“</w:t>
      </w:r>
      <w:r>
        <w:rPr>
          <w:rFonts w:ascii="Times New Roman" w:hAnsi="Times New Roman"/>
          <w:b/>
          <w:sz w:val="24"/>
        </w:rPr>
        <w:t>Par Call Date</w:t>
      </w:r>
      <w:r>
        <w:rPr>
          <w:rFonts w:ascii="Times New Roman" w:hAnsi="Times New Roman"/>
          <w:sz w:val="24"/>
        </w:rPr>
        <w:t xml:space="preserve">” has the meaning set forth in Section 2.03(e)(B) hereof. </w:t>
      </w:r>
    </w:p>
    <w:p>
      <w:pPr>
        <w:pStyle w:val="TextBody"/>
        <w:bidi w:val="0"/>
        <w:spacing w:before="240" w:after="0"/>
        <w:jc w:val="both"/>
        <w:rPr/>
      </w:pPr>
      <w:r>
        <w:rPr/>
        <w:t>“</w:t>
      </w:r>
      <w:r>
        <w:rPr>
          <w:rFonts w:ascii="Times New Roman" w:hAnsi="Times New Roman"/>
          <w:b/>
          <w:sz w:val="24"/>
        </w:rPr>
        <w:t>Parent Guarantor</w:t>
      </w:r>
      <w:r>
        <w:rPr>
          <w:rFonts w:ascii="Times New Roman" w:hAnsi="Times New Roman"/>
          <w:sz w:val="24"/>
        </w:rPr>
        <w:t xml:space="preserve">” has the meaning set forth in the preamble of this Sixth Supplemental Indenture. </w:t>
      </w:r>
    </w:p>
    <w:p>
      <w:pPr>
        <w:pStyle w:val="TextBody"/>
        <w:bidi w:val="0"/>
        <w:spacing w:before="240" w:after="0"/>
        <w:jc w:val="both"/>
        <w:rPr/>
      </w:pPr>
      <w:r>
        <w:rPr/>
        <w:t>“</w:t>
      </w:r>
      <w:r>
        <w:rPr>
          <w:rFonts w:ascii="Times New Roman" w:hAnsi="Times New Roman"/>
          <w:b/>
          <w:sz w:val="24"/>
        </w:rPr>
        <w:t>Rating Agencies</w:t>
      </w:r>
      <w:r>
        <w:rPr>
          <w:rFonts w:ascii="Times New Roman" w:hAnsi="Times New Roman"/>
          <w:sz w:val="24"/>
        </w:rPr>
        <w:t xml:space="preserve">” means (a) each of Moody’s, S&amp;P and Fitch; and (b) with respect to a series of Notes, if any of the Rating Agencies ceases to rate the Notes of such series or fails to make a rating of the Notes of such series publicly available for reasons outside of TRC’s control, a “nationally recognized statistical rating organization” as defined in Section 3(a)(62) of the Exchange Act selected by the Company (as certified by a resolution of the TRC Board of Directors) as a replacement for Moody’s, S&amp;P or Fitch, or some or all of them, as the case may be. </w:t>
      </w:r>
    </w:p>
    <w:p>
      <w:pPr>
        <w:pStyle w:val="TextBody"/>
        <w:bidi w:val="0"/>
        <w:spacing w:before="240" w:after="0"/>
        <w:jc w:val="both"/>
        <w:rPr/>
      </w:pPr>
      <w:r>
        <w:rPr/>
        <w:t>“</w:t>
      </w:r>
      <w:r>
        <w:rPr>
          <w:rFonts w:ascii="Times New Roman" w:hAnsi="Times New Roman"/>
          <w:b/>
          <w:sz w:val="24"/>
        </w:rPr>
        <w:t>Rating Event</w:t>
      </w:r>
      <w:r>
        <w:rPr>
          <w:rFonts w:ascii="Times New Roman" w:hAnsi="Times New Roman"/>
          <w:sz w:val="24"/>
        </w:rPr>
        <w:t xml:space="preserve">” means, with respect to a series of Notes, the rating of the Notes of such series is lowered by all of the Rating Agencies, and the Notes of such series are rated below an Investment Grade Rating by all of the Rating Agencies on any day within the 60-day period (which 60-day period will be extended so long as the rating of such Notes is under publicly announced consideration for a possible downgrade by such number of Rating Agencies) after the earlier of (1) the occurrence of a Change of Control and (2) public notice of the occurrence of a Change of Control or TRC’s intention to effect a Change of Control; </w:t>
      </w:r>
      <w:r>
        <w:rPr>
          <w:rFonts w:ascii="Times New Roman" w:hAnsi="Times New Roman"/>
          <w:sz w:val="24"/>
          <w:u w:val="single"/>
        </w:rPr>
        <w:t>provided</w:t>
      </w:r>
      <w:r>
        <w:rPr>
          <w:rFonts w:ascii="Times New Roman" w:hAnsi="Times New Roman"/>
          <w:sz w:val="24"/>
        </w:rPr>
        <w:t xml:space="preserve">, </w:t>
      </w:r>
      <w:r>
        <w:rPr>
          <w:rFonts w:ascii="Times New Roman" w:hAnsi="Times New Roman"/>
          <w:sz w:val="24"/>
          <w:u w:val="single"/>
        </w:rPr>
        <w:t>however</w:t>
      </w:r>
      <w:r>
        <w:rPr>
          <w:rFonts w:ascii="Times New Roman" w:hAnsi="Times New Roman"/>
          <w:sz w:val="24"/>
        </w:rPr>
        <w:t xml:space="preserve">, that a rating event otherwise arising by virtue of a particular reduction in rating will be deemed not to have occurred in respect of a particular Change of Control (and thus will not be deemed a rating event for purposes of the definition of Change of Control Triggering Event) if the Rating Agencies making the reduction in rating to which this definition would otherwise apply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- 5 -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do not announce or publicly confirm or inform TRC that the reduction was the result, in whole or in part, of any event or circumstance comprised of or arising as a result of, or in respect of, the applicable Change of Control (whether or not the applicable Change of Control has occurred at the time of the rating event). </w:t>
      </w:r>
    </w:p>
    <w:p>
      <w:pPr>
        <w:pStyle w:val="TextBody"/>
        <w:bidi w:val="0"/>
        <w:spacing w:before="240" w:after="0"/>
        <w:jc w:val="both"/>
        <w:rPr/>
      </w:pPr>
      <w:r>
        <w:rPr/>
        <w:t>“</w:t>
      </w:r>
      <w:r>
        <w:rPr>
          <w:rFonts w:ascii="Times New Roman" w:hAnsi="Times New Roman"/>
          <w:b/>
          <w:sz w:val="24"/>
        </w:rPr>
        <w:t>S&amp;P</w:t>
      </w:r>
      <w:r>
        <w:rPr>
          <w:rFonts w:ascii="Times New Roman" w:hAnsi="Times New Roman"/>
          <w:sz w:val="24"/>
        </w:rPr>
        <w:t xml:space="preserve">” means S&amp;P Global Rating Services, a division of S&amp;P Global Inc. </w:t>
      </w:r>
    </w:p>
    <w:p>
      <w:pPr>
        <w:pStyle w:val="TextBody"/>
        <w:bidi w:val="0"/>
        <w:spacing w:before="240" w:after="0"/>
        <w:jc w:val="both"/>
        <w:rPr/>
      </w:pPr>
      <w:r>
        <w:rPr/>
        <w:t>“</w:t>
      </w:r>
      <w:r>
        <w:rPr>
          <w:rFonts w:ascii="Times New Roman" w:hAnsi="Times New Roman"/>
          <w:b/>
          <w:sz w:val="24"/>
        </w:rPr>
        <w:t>Securities</w:t>
      </w:r>
      <w:r>
        <w:rPr>
          <w:rFonts w:ascii="Times New Roman" w:hAnsi="Times New Roman"/>
          <w:sz w:val="24"/>
        </w:rPr>
        <w:t xml:space="preserve">” has the meaning set forth in the recitals of this Sixth Supplemental Indenture. </w:t>
      </w:r>
    </w:p>
    <w:p>
      <w:pPr>
        <w:pStyle w:val="TextBody"/>
        <w:bidi w:val="0"/>
        <w:spacing w:before="240" w:after="0"/>
        <w:jc w:val="both"/>
        <w:rPr/>
      </w:pPr>
      <w:r>
        <w:rPr/>
        <w:t>“</w:t>
      </w:r>
      <w:r>
        <w:rPr>
          <w:rFonts w:ascii="Times New Roman" w:hAnsi="Times New Roman"/>
          <w:b/>
          <w:sz w:val="24"/>
        </w:rPr>
        <w:t>Subsidiary Guarantors</w:t>
      </w:r>
      <w:r>
        <w:rPr>
          <w:rFonts w:ascii="Times New Roman" w:hAnsi="Times New Roman"/>
          <w:sz w:val="24"/>
        </w:rPr>
        <w:t xml:space="preserve">” has the meaning set forth in the preamble of this Sixth Supplemental Indenture. </w:t>
      </w:r>
    </w:p>
    <w:p>
      <w:pPr>
        <w:pStyle w:val="TextBody"/>
        <w:bidi w:val="0"/>
        <w:spacing w:before="240" w:after="0"/>
        <w:jc w:val="both"/>
        <w:rPr/>
      </w:pPr>
      <w:r>
        <w:rPr/>
        <w:t>“</w:t>
      </w:r>
      <w:r>
        <w:rPr>
          <w:rFonts w:ascii="Times New Roman" w:hAnsi="Times New Roman"/>
          <w:b/>
          <w:sz w:val="24"/>
        </w:rPr>
        <w:t>Tax Act</w:t>
      </w:r>
      <w:r>
        <w:rPr>
          <w:rFonts w:ascii="Times New Roman" w:hAnsi="Times New Roman"/>
          <w:sz w:val="24"/>
        </w:rPr>
        <w:t xml:space="preserve">” has the meaning set forth in Section 2.03(i) hereof. </w:t>
      </w:r>
    </w:p>
    <w:p>
      <w:pPr>
        <w:pStyle w:val="TextBody"/>
        <w:bidi w:val="0"/>
        <w:spacing w:before="240" w:after="0"/>
        <w:jc w:val="both"/>
        <w:rPr/>
      </w:pPr>
      <w:r>
        <w:rPr/>
        <w:t>“</w:t>
      </w:r>
      <w:r>
        <w:rPr>
          <w:rFonts w:ascii="Times New Roman" w:hAnsi="Times New Roman"/>
          <w:b/>
          <w:sz w:val="24"/>
        </w:rPr>
        <w:t>Taxes</w:t>
      </w:r>
      <w:r>
        <w:rPr>
          <w:rFonts w:ascii="Times New Roman" w:hAnsi="Times New Roman"/>
          <w:sz w:val="24"/>
        </w:rPr>
        <w:t xml:space="preserve">” has the meaning set forth in Section 2.03(i) hereof. </w:t>
      </w:r>
    </w:p>
    <w:p>
      <w:pPr>
        <w:pStyle w:val="TextBody"/>
        <w:bidi w:val="0"/>
        <w:spacing w:before="240" w:after="0"/>
        <w:jc w:val="both"/>
        <w:rPr/>
      </w:pPr>
      <w:r>
        <w:rPr/>
        <w:t>“</w:t>
      </w:r>
      <w:r>
        <w:rPr>
          <w:rFonts w:ascii="Times New Roman" w:hAnsi="Times New Roman"/>
          <w:b/>
          <w:sz w:val="24"/>
        </w:rPr>
        <w:t>Thomson Reuters</w:t>
      </w:r>
      <w:r>
        <w:rPr>
          <w:rFonts w:ascii="Times New Roman" w:hAnsi="Times New Roman"/>
          <w:sz w:val="24"/>
        </w:rPr>
        <w:t>” means Thomson Reuters Corporation and its consolidated subsidiaries from time to time, and “</w:t>
      </w:r>
      <w:r>
        <w:rPr>
          <w:rFonts w:ascii="Times New Roman" w:hAnsi="Times New Roman"/>
          <w:b/>
          <w:sz w:val="24"/>
        </w:rPr>
        <w:t>Thomson Reuters Entity</w:t>
      </w:r>
      <w:r>
        <w:rPr>
          <w:rFonts w:ascii="Times New Roman" w:hAnsi="Times New Roman"/>
          <w:sz w:val="24"/>
        </w:rPr>
        <w:t xml:space="preserve">” means any one of them. </w:t>
      </w:r>
    </w:p>
    <w:p>
      <w:pPr>
        <w:pStyle w:val="TextBody"/>
        <w:bidi w:val="0"/>
        <w:spacing w:before="240" w:after="0"/>
        <w:jc w:val="both"/>
        <w:rPr/>
      </w:pPr>
      <w:r>
        <w:rPr/>
        <w:t>“</w:t>
      </w:r>
      <w:r>
        <w:rPr>
          <w:rFonts w:ascii="Times New Roman" w:hAnsi="Times New Roman"/>
          <w:b/>
          <w:sz w:val="24"/>
        </w:rPr>
        <w:t>Thomson</w:t>
      </w:r>
      <w:r>
        <w:rPr>
          <w:rFonts w:ascii="Times New Roman" w:hAnsi="Times New Roman"/>
          <w:sz w:val="24"/>
        </w:rPr>
        <w:t xml:space="preserve"> </w:t>
      </w:r>
      <w:r>
        <w:rPr>
          <w:rFonts w:ascii="Times New Roman" w:hAnsi="Times New Roman"/>
          <w:b/>
          <w:sz w:val="24"/>
        </w:rPr>
        <w:t>Reuters (Tax</w:t>
      </w:r>
      <w:r>
        <w:rPr>
          <w:rFonts w:ascii="Times New Roman" w:hAnsi="Times New Roman"/>
          <w:sz w:val="24"/>
        </w:rPr>
        <w:t> </w:t>
      </w:r>
      <w:r>
        <w:rPr>
          <w:rFonts w:ascii="Times New Roman" w:hAnsi="Times New Roman"/>
          <w:b/>
          <w:sz w:val="24"/>
        </w:rPr>
        <w:t>&amp; Accounting)</w:t>
      </w:r>
      <w:r>
        <w:rPr>
          <w:rFonts w:ascii="Times New Roman" w:hAnsi="Times New Roman"/>
          <w:sz w:val="24"/>
        </w:rPr>
        <w:t xml:space="preserve">” has the meaning set forth in the preamble of this Sixth Supplemental Indenture. </w:t>
      </w:r>
    </w:p>
    <w:p>
      <w:pPr>
        <w:pStyle w:val="TextBody"/>
        <w:bidi w:val="0"/>
        <w:spacing w:before="240" w:after="0"/>
        <w:jc w:val="both"/>
        <w:rPr/>
      </w:pPr>
      <w:r>
        <w:rPr/>
        <w:t>“</w:t>
      </w:r>
      <w:r>
        <w:rPr>
          <w:rFonts w:ascii="Times New Roman" w:hAnsi="Times New Roman"/>
          <w:b/>
          <w:sz w:val="24"/>
        </w:rPr>
        <w:t>Thomson</w:t>
      </w:r>
      <w:r>
        <w:rPr>
          <w:rFonts w:ascii="Times New Roman" w:hAnsi="Times New Roman"/>
          <w:sz w:val="24"/>
        </w:rPr>
        <w:t xml:space="preserve"> </w:t>
      </w:r>
      <w:r>
        <w:rPr>
          <w:rFonts w:ascii="Times New Roman" w:hAnsi="Times New Roman"/>
          <w:b/>
          <w:sz w:val="24"/>
        </w:rPr>
        <w:t>Reuters</w:t>
      </w:r>
      <w:r>
        <w:rPr>
          <w:rFonts w:ascii="Times New Roman" w:hAnsi="Times New Roman"/>
          <w:sz w:val="24"/>
        </w:rPr>
        <w:t xml:space="preserve"> </w:t>
      </w:r>
      <w:r>
        <w:rPr>
          <w:rFonts w:ascii="Times New Roman" w:hAnsi="Times New Roman"/>
          <w:b/>
          <w:sz w:val="24"/>
        </w:rPr>
        <w:t>Applications</w:t>
      </w:r>
      <w:r>
        <w:rPr>
          <w:rFonts w:ascii="Times New Roman" w:hAnsi="Times New Roman"/>
          <w:sz w:val="24"/>
        </w:rPr>
        <w:t xml:space="preserve">” has the meaning set forth in the preamble of this Sixth Supplemental Indenture. </w:t>
      </w:r>
    </w:p>
    <w:p>
      <w:pPr>
        <w:pStyle w:val="TextBody"/>
        <w:bidi w:val="0"/>
        <w:spacing w:before="240" w:after="0"/>
        <w:jc w:val="both"/>
        <w:rPr/>
      </w:pPr>
      <w:r>
        <w:rPr/>
        <w:t>“</w:t>
      </w:r>
      <w:r>
        <w:rPr>
          <w:rFonts w:ascii="Times New Roman" w:hAnsi="Times New Roman"/>
          <w:b/>
          <w:sz w:val="24"/>
        </w:rPr>
        <w:t>Thomson Reuters Founders Share</w:t>
      </w:r>
      <w:r>
        <w:rPr>
          <w:rFonts w:ascii="Times New Roman" w:hAnsi="Times New Roman"/>
          <w:sz w:val="24"/>
        </w:rPr>
        <w:t xml:space="preserve">” means the Thomson Reuters Founders Share in the capital of TRC. </w:t>
      </w:r>
    </w:p>
    <w:p>
      <w:pPr>
        <w:pStyle w:val="TextBody"/>
        <w:bidi w:val="0"/>
        <w:spacing w:before="240" w:after="0"/>
        <w:jc w:val="both"/>
        <w:rPr/>
      </w:pPr>
      <w:r>
        <w:rPr/>
        <w:t>“</w:t>
      </w:r>
      <w:r>
        <w:rPr>
          <w:rFonts w:ascii="Times New Roman" w:hAnsi="Times New Roman"/>
          <w:b/>
          <w:sz w:val="24"/>
        </w:rPr>
        <w:t>Thomson Reuters Founders Share Company</w:t>
      </w:r>
      <w:r>
        <w:rPr>
          <w:rFonts w:ascii="Times New Roman" w:hAnsi="Times New Roman"/>
          <w:sz w:val="24"/>
        </w:rPr>
        <w:t xml:space="preserve">” means Thomson Reuters Founders Share Company Limited, a corporation incorporated and existing in accordance with the laws of England and Wales. </w:t>
      </w:r>
    </w:p>
    <w:p>
      <w:pPr>
        <w:pStyle w:val="TextBody"/>
        <w:bidi w:val="0"/>
        <w:spacing w:before="240" w:after="0"/>
        <w:jc w:val="both"/>
        <w:rPr/>
      </w:pPr>
      <w:r>
        <w:rPr/>
        <w:t>“</w:t>
      </w:r>
      <w:r>
        <w:rPr>
          <w:rFonts w:ascii="Times New Roman" w:hAnsi="Times New Roman"/>
          <w:b/>
          <w:sz w:val="24"/>
        </w:rPr>
        <w:t>TR Finance Indenture</w:t>
      </w:r>
      <w:r>
        <w:rPr>
          <w:rFonts w:ascii="Times New Roman" w:hAnsi="Times New Roman"/>
          <w:sz w:val="24"/>
        </w:rPr>
        <w:t xml:space="preserve">” has the meaning set forth in the recitals of this Sixth Supplemental Indenture. </w:t>
      </w:r>
    </w:p>
    <w:p>
      <w:pPr>
        <w:pStyle w:val="TextBody"/>
        <w:bidi w:val="0"/>
        <w:spacing w:before="240" w:after="0"/>
        <w:jc w:val="both"/>
        <w:rPr/>
      </w:pPr>
      <w:r>
        <w:rPr/>
        <w:t>“</w:t>
      </w:r>
      <w:r>
        <w:rPr>
          <w:rFonts w:ascii="Times New Roman" w:hAnsi="Times New Roman"/>
          <w:b/>
          <w:sz w:val="24"/>
        </w:rPr>
        <w:t>TRC</w:t>
      </w:r>
      <w:r>
        <w:rPr>
          <w:rFonts w:ascii="Times New Roman" w:hAnsi="Times New Roman"/>
          <w:sz w:val="24"/>
        </w:rPr>
        <w:t xml:space="preserve">” has the meaning set forth in the preamble of this Sixth Supplemental Indenture. </w:t>
      </w:r>
    </w:p>
    <w:p>
      <w:pPr>
        <w:pStyle w:val="TextBody"/>
        <w:bidi w:val="0"/>
        <w:spacing w:before="240" w:after="0"/>
        <w:jc w:val="both"/>
        <w:rPr/>
      </w:pPr>
      <w:r>
        <w:rPr/>
        <w:t>“</w:t>
      </w:r>
      <w:r>
        <w:rPr>
          <w:rFonts w:ascii="Times New Roman" w:hAnsi="Times New Roman"/>
          <w:b/>
          <w:sz w:val="24"/>
        </w:rPr>
        <w:t>TRC Board of Directors</w:t>
      </w:r>
      <w:r>
        <w:rPr>
          <w:rFonts w:ascii="Times New Roman" w:hAnsi="Times New Roman"/>
          <w:sz w:val="24"/>
        </w:rPr>
        <w:t xml:space="preserve">” means either the board of directors of TRC or any duly authorized committee of that board. </w:t>
      </w:r>
    </w:p>
    <w:p>
      <w:pPr>
        <w:pStyle w:val="TextBody"/>
        <w:bidi w:val="0"/>
        <w:spacing w:before="240" w:after="0"/>
        <w:jc w:val="both"/>
        <w:rPr/>
      </w:pPr>
      <w:r>
        <w:rPr/>
        <w:t>“</w:t>
      </w:r>
      <w:r>
        <w:rPr>
          <w:rFonts w:ascii="Times New Roman" w:hAnsi="Times New Roman"/>
          <w:b/>
          <w:sz w:val="24"/>
        </w:rPr>
        <w:t>TRC Voting Stock</w:t>
      </w:r>
      <w:r>
        <w:rPr>
          <w:rFonts w:ascii="Times New Roman" w:hAnsi="Times New Roman"/>
          <w:sz w:val="24"/>
        </w:rPr>
        <w:t xml:space="preserve">” means, collectively, stock of the class or classes of TRC having general voting power under ordinary circumstances to elect at least a majority of the TRC Board of Directors (irrespective of whether or not at the time stock of any other class or classes shall have or might have voting power by reason of the happening of any contingency) and, at any particular time, any other securities of TRC (excluding debt securities and the Thomson Reuters Founders Share in TRC held by the Thomson Reuters Founders Share Company) carrying at that time a voting right ordinarily exercisable at meetings of shareholders either under all circumstances or under some circumstances that have occurred and are continuing.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- 6 - </w:t>
      </w:r>
    </w:p>
    <w:p>
      <w:pPr>
        <w:pStyle w:val="TextBody"/>
        <w:bidi w:val="0"/>
        <w:spacing w:before="0" w:after="0"/>
        <w:jc w:val="left"/>
        <w:rPr/>
      </w:pPr>
      <w:r>
        <w:rPr/>
        <w:t> </w:t>
      </w:r>
    </w:p>
    <w:p>
      <w:pPr>
        <w:pStyle w:val="TextBody"/>
        <w:bidi w:val="0"/>
        <w:spacing w:before="0" w:after="0"/>
        <w:jc w:val="both"/>
        <w:rPr/>
      </w:pPr>
      <w:r>
        <w:rPr/>
        <w:t>“</w:t>
      </w:r>
      <w:r>
        <w:rPr>
          <w:rFonts w:ascii="Times New Roman" w:hAnsi="Times New Roman"/>
          <w:b/>
          <w:sz w:val="24"/>
        </w:rPr>
        <w:t>Treasury Rate</w:t>
      </w:r>
      <w:r>
        <w:rPr>
          <w:rFonts w:ascii="Times New Roman" w:hAnsi="Times New Roman"/>
          <w:sz w:val="24"/>
        </w:rPr>
        <w:t xml:space="preserve">” means, with respect to any Redemption Date, the yield determined by the Company in accordance with the following two paragraphs. </w:t>
      </w:r>
    </w:p>
    <w:p>
      <w:pPr>
        <w:pStyle w:val="TextBody"/>
        <w:bidi w:val="0"/>
        <w:spacing w:before="240" w:after="0"/>
        <w:jc w:val="both"/>
        <w:rPr>
          <w:rFonts w:ascii="Times New Roman" w:hAnsi="Times New Roman"/>
          <w:sz w:val="24"/>
        </w:rPr>
      </w:pPr>
      <w:r>
        <w:rPr>
          <w:rFonts w:ascii="Times New Roman" w:hAnsi="Times New Roman"/>
          <w:sz w:val="24"/>
        </w:rPr>
        <w:t>(1) The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w:t>
      </w:r>
      <w:r>
        <w:rPr>
          <w:rFonts w:ascii="Times New Roman" w:hAnsi="Times New Roman"/>
          <w:b/>
          <w:sz w:val="24"/>
        </w:rPr>
        <w:t>H.15</w:t>
      </w:r>
      <w:r>
        <w:rPr>
          <w:rFonts w:ascii="Times New Roman" w:hAnsi="Times New Roman"/>
          <w:sz w:val="24"/>
        </w:rPr>
        <w:t>”) under the caption “U.S. government securities–Treasury constant maturities–Nominal” (or any successor caption or heading) (“</w:t>
      </w:r>
      <w:r>
        <w:rPr>
          <w:rFonts w:ascii="Times New Roman" w:hAnsi="Times New Roman"/>
          <w:b/>
          <w:sz w:val="24"/>
        </w:rPr>
        <w:t>H.15 TCM</w:t>
      </w:r>
      <w:r>
        <w:rPr>
          <w:rFonts w:ascii="Times New Roman" w:hAnsi="Times New Roman"/>
          <w:sz w:val="24"/>
        </w:rPr>
        <w:t>”). In determining the Treasury Rate, the Company shall select, as applicable: (1) the yield for the Treasury constant maturity on H.15 exactly equal to the period from the redemption date to, in the case of the 2028 Notes, the maturity date or, in the case of the 2033 Notes, the Par Call Date (the “</w:t>
      </w:r>
      <w:r>
        <w:rPr>
          <w:rFonts w:ascii="Times New Roman" w:hAnsi="Times New Roman"/>
          <w:b/>
          <w:sz w:val="24"/>
        </w:rPr>
        <w:t>Remaining Life</w:t>
      </w:r>
      <w:r>
        <w:rPr>
          <w:rFonts w:ascii="Times New Roman" w:hAnsi="Times New Roman"/>
          <w:sz w:val="24"/>
        </w:rPr>
        <w:t xml:space="preserv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in the case of the 2028 Notes, the maturity date or, in the case of the 2033 Notes,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before="240" w:after="0"/>
        <w:jc w:val="both"/>
        <w:rPr>
          <w:rFonts w:ascii="Times New Roman" w:hAnsi="Times New Roman"/>
          <w:sz w:val="24"/>
        </w:rPr>
      </w:pPr>
      <w:r>
        <w:rPr>
          <w:rFonts w:ascii="Times New Roman" w:hAnsi="Times New Roman"/>
          <w:sz w:val="24"/>
        </w:rPr>
        <w:t xml:space="preserve">(2) If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in the case of the 2028 Notes, the maturity date or, in the case of the 2033 Notes, the Par Call Date, as applicable. If there is no United States Treasury security maturing on, in the case of the 2028 Notes, the maturity date or, in the case of the 2033 Notes, the Par Call Date, but there are two or more United States Treasury securities with a maturity date equally distant from, in the case of the 2028 Notes, the maturity date or, in the case of the 2033 Notes, the Par Call Date, one with a maturity date preceding, in the case of the 2028 Notes, the maturity date or, in the case of the 2033 Notes, the Par Call Date, and one with a maturity date following, in the case of the 2028 Notes, the maturity date or, in the case of the 2033 Notes, the Par Call Date, the Company shall select the United States Treasury security with a maturity date preceding, in the case of the 2028 Notes, the maturity date or, in case of the 2033 Notes, the Par Call Date. If there are two or more United States Treasury securities maturing on, in the case of the 2028 Notes, the maturity date or, in the case of the 2033 Notes,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- 7 -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before="240" w:after="0"/>
        <w:jc w:val="both"/>
        <w:rPr/>
      </w:pPr>
      <w:r>
        <w:rPr/>
        <w:t>“</w:t>
      </w:r>
      <w:r>
        <w:rPr>
          <w:rFonts w:ascii="Times New Roman" w:hAnsi="Times New Roman"/>
          <w:b/>
          <w:sz w:val="24"/>
        </w:rPr>
        <w:t>West Publishing</w:t>
      </w:r>
      <w:r>
        <w:rPr>
          <w:rFonts w:ascii="Times New Roman" w:hAnsi="Times New Roman"/>
          <w:sz w:val="24"/>
        </w:rPr>
        <w:t xml:space="preserve">” has the meaning set forth in the preamble of this Sixth Supplemental Indenture. </w:t>
      </w:r>
    </w:p>
    <w:p>
      <w:pPr>
        <w:pStyle w:val="TextBody"/>
        <w:bidi w:val="0"/>
        <w:spacing w:before="240" w:after="0"/>
        <w:jc w:val="both"/>
        <w:rPr/>
      </w:pPr>
      <w:r>
        <w:rPr/>
        <w:t>“</w:t>
      </w:r>
      <w:r>
        <w:rPr>
          <w:rFonts w:ascii="Times New Roman" w:hAnsi="Times New Roman"/>
          <w:b/>
          <w:sz w:val="24"/>
        </w:rPr>
        <w:t>Wholly-Owned Subsidiary</w:t>
      </w:r>
      <w:r>
        <w:rPr>
          <w:rFonts w:ascii="Times New Roman" w:hAnsi="Times New Roman"/>
          <w:sz w:val="24"/>
        </w:rPr>
        <w:t xml:space="preserve">” means any Subsidiary of which the Company, at the time of determination, directly and/or indirectly, through one or more other Subsidiaries, owns 100% of the shares of Voting Stock/Interests of such Subsidiary. </w:t>
      </w:r>
    </w:p>
    <w:p>
      <w:pPr>
        <w:pStyle w:val="TextBody"/>
        <w:bidi w:val="0"/>
        <w:spacing w:before="240" w:after="0"/>
        <w:jc w:val="both"/>
        <w:rPr/>
      </w:pPr>
      <w:r>
        <w:rPr/>
        <w:t>“</w:t>
      </w:r>
      <w:r>
        <w:rPr>
          <w:rFonts w:ascii="Times New Roman" w:hAnsi="Times New Roman"/>
          <w:b/>
          <w:sz w:val="24"/>
        </w:rPr>
        <w:t>Woodbridge</w:t>
      </w:r>
      <w:r>
        <w:rPr>
          <w:rFonts w:ascii="Times New Roman" w:hAnsi="Times New Roman"/>
          <w:sz w:val="24"/>
        </w:rPr>
        <w:t xml:space="preserve">” means The Woodbridge Company Limited, a corporation incorporated under the laws of the Province of Ontario. </w:t>
      </w:r>
    </w:p>
    <w:p>
      <w:pPr>
        <w:pStyle w:val="TextBody"/>
        <w:bidi w:val="0"/>
        <w:spacing w:before="240" w:after="0"/>
        <w:jc w:val="both"/>
        <w:rPr/>
      </w:pPr>
      <w:r>
        <w:rPr/>
        <w:t>“</w:t>
      </w:r>
      <w:r>
        <w:rPr>
          <w:rFonts w:ascii="Times New Roman" w:hAnsi="Times New Roman"/>
          <w:b/>
          <w:sz w:val="24"/>
        </w:rPr>
        <w:t>Woodbridge Group</w:t>
      </w:r>
      <w:r>
        <w:rPr>
          <w:rFonts w:ascii="Times New Roman" w:hAnsi="Times New Roman"/>
          <w:sz w:val="24"/>
        </w:rPr>
        <w:t xml:space="preserve">” means at any particular time such of (a) Woodbridge, (b) the Affiliates of Woodbridge, and (c) the respective successors and assigns of Woodbridge or any such Affiliate, as, at such time, are controlled directly or indirectly by one or more corporations all of the shares of which are held by one or more individuals who are members of the family of the late first Lord Thomson of Fleet or trusts for their benefit. </w:t>
      </w:r>
    </w:p>
    <w:p>
      <w:pPr>
        <w:pStyle w:val="TextBody"/>
        <w:bidi w:val="0"/>
        <w:spacing w:before="240" w:after="0"/>
        <w:jc w:val="center"/>
        <w:rPr>
          <w:rFonts w:ascii="Times New Roman" w:hAnsi="Times New Roman"/>
          <w:b/>
          <w:sz w:val="24"/>
        </w:rPr>
      </w:pPr>
      <w:r>
        <w:rPr>
          <w:rFonts w:ascii="Times New Roman" w:hAnsi="Times New Roman"/>
          <w:b/>
          <w:sz w:val="24"/>
        </w:rPr>
        <w:t xml:space="preserve">ARTICLE II </w:t>
      </w:r>
    </w:p>
    <w:p>
      <w:pPr>
        <w:pStyle w:val="TextBody"/>
        <w:bidi w:val="0"/>
        <w:spacing w:before="240" w:after="0"/>
        <w:jc w:val="center"/>
        <w:rPr>
          <w:rFonts w:ascii="Times New Roman" w:hAnsi="Times New Roman"/>
          <w:b/>
          <w:sz w:val="24"/>
        </w:rPr>
      </w:pPr>
      <w:r>
        <w:rPr>
          <w:rFonts w:ascii="Times New Roman" w:hAnsi="Times New Roman"/>
          <w:b/>
          <w:sz w:val="24"/>
        </w:rPr>
        <w:t xml:space="preserve">STANDARD PROVISIONS; THE NOTES </w:t>
      </w:r>
    </w:p>
    <w:p>
      <w:pPr>
        <w:pStyle w:val="TextBody"/>
        <w:bidi w:val="0"/>
        <w:spacing w:before="240" w:after="0"/>
        <w:jc w:val="both"/>
        <w:rPr>
          <w:rFonts w:ascii="Times New Roman" w:hAnsi="Times New Roman"/>
          <w:b/>
          <w:sz w:val="24"/>
        </w:rPr>
      </w:pPr>
      <w:r>
        <w:rPr>
          <w:rFonts w:ascii="Times New Roman" w:hAnsi="Times New Roman"/>
          <w:b/>
          <w:sz w:val="24"/>
        </w:rPr>
        <w:t xml:space="preserve">SECTION 2.01  Creation of the Notes; Designation. </w:t>
      </w:r>
    </w:p>
    <w:p>
      <w:pPr>
        <w:pStyle w:val="TextBody"/>
        <w:bidi w:val="0"/>
        <w:spacing w:before="240" w:after="0"/>
        <w:jc w:val="both"/>
        <w:rPr>
          <w:rFonts w:ascii="Times New Roman" w:hAnsi="Times New Roman"/>
          <w:sz w:val="24"/>
        </w:rPr>
      </w:pPr>
      <w:r>
        <w:rPr>
          <w:rFonts w:ascii="Times New Roman" w:hAnsi="Times New Roman"/>
          <w:sz w:val="24"/>
        </w:rPr>
        <w:t xml:space="preserve">In accordance with Section 301 of the TR Finance Indenture, the Company, as principal, hereby creates, pursuant to the Indenture: (i) a separate series of Securities designated as the “5.100% Notes due 2028” and (ii) a separate series of Securities designated as the “5.750% Notes due 2033”. </w:t>
      </w:r>
    </w:p>
    <w:p>
      <w:pPr>
        <w:pStyle w:val="TextBody"/>
        <w:bidi w:val="0"/>
        <w:spacing w:before="240" w:after="0"/>
        <w:jc w:val="both"/>
        <w:rPr>
          <w:rFonts w:ascii="Times New Roman" w:hAnsi="Times New Roman"/>
          <w:b/>
          <w:sz w:val="24"/>
        </w:rPr>
      </w:pPr>
      <w:r>
        <w:rPr>
          <w:rFonts w:ascii="Times New Roman" w:hAnsi="Times New Roman"/>
          <w:b/>
          <w:sz w:val="24"/>
        </w:rPr>
        <w:t xml:space="preserve">SECTION 2.02  Form of the Notes. </w:t>
      </w:r>
    </w:p>
    <w:p>
      <w:pPr>
        <w:pStyle w:val="TextBody"/>
        <w:bidi w:val="0"/>
        <w:spacing w:before="240" w:after="0"/>
        <w:jc w:val="both"/>
        <w:rPr>
          <w:rFonts w:ascii="Times New Roman" w:hAnsi="Times New Roman"/>
          <w:sz w:val="24"/>
        </w:rPr>
      </w:pPr>
      <w:r>
        <w:rPr>
          <w:rFonts w:ascii="Times New Roman" w:hAnsi="Times New Roman"/>
          <w:sz w:val="24"/>
        </w:rPr>
        <w:t>The Notes of each series shall be represented by one or more fully-registered global notes in book-entry form (each, a “</w:t>
      </w:r>
      <w:r>
        <w:rPr>
          <w:rFonts w:ascii="Times New Roman" w:hAnsi="Times New Roman"/>
          <w:b/>
          <w:sz w:val="24"/>
        </w:rPr>
        <w:t>Global Note</w:t>
      </w:r>
      <w:r>
        <w:rPr>
          <w:rFonts w:ascii="Times New Roman" w:hAnsi="Times New Roman"/>
          <w:sz w:val="24"/>
        </w:rPr>
        <w:t>”) which shall each be deposited with, or on behalf of, The Depository Trust Company, New York, New York (“</w:t>
      </w:r>
      <w:r>
        <w:rPr>
          <w:rFonts w:ascii="Times New Roman" w:hAnsi="Times New Roman"/>
          <w:b/>
          <w:sz w:val="24"/>
        </w:rPr>
        <w:t>DTC</w:t>
      </w:r>
      <w:r>
        <w:rPr>
          <w:rFonts w:ascii="Times New Roman" w:hAnsi="Times New Roman"/>
          <w:sz w:val="24"/>
        </w:rPr>
        <w:t xml:space="preserve">”) and registered in the name of the nominee of DTC. The Global Note in respect of the 2028 Notes shall be in the form of Exhibit I attached hereto and the Global Note in respect of the 2033 Notes shall be in the form of Exhibit II attached hereto. So long as DTC, or its nominee, is the registered owner of a Global Note, DTC or its nominee, as the case may be, shall be considered the sole owner or Holder of the Notes represented by a Global Note for all purposes under the Indenture. Ownership of beneficial interests in a Global Note shall be shown on, and transfers thereof shall be effected only through, records maintained by DTC (with respect to beneficial interests of participants or persons that hold interests through participants) or by participants or persons that hold interest through participants (with respect to beneficial interests of beneficial owners). Beneficial interests in a Global Note will be held in denominations of US$2,000 and integral multiples of US$1,000 in excess thereof. A Global Note may be transferred, in whole and not in part, only to another nominee of DTC or to a successor of DTC or its nominee.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- 8 - </w:t>
      </w:r>
    </w:p>
    <w:p>
      <w:pPr>
        <w:pStyle w:val="TextBody"/>
        <w:bidi w:val="0"/>
        <w:spacing w:before="0" w:after="0"/>
        <w:jc w:val="left"/>
        <w:rPr/>
      </w:pPr>
      <w:r>
        <w:rPr/>
        <w:t> </w:t>
      </w:r>
    </w:p>
    <w:p>
      <w:pPr>
        <w:pStyle w:val="TextBody"/>
        <w:bidi w:val="0"/>
        <w:spacing w:before="0" w:after="0"/>
        <w:jc w:val="both"/>
        <w:rPr>
          <w:rFonts w:ascii="Times New Roman" w:hAnsi="Times New Roman"/>
          <w:b/>
          <w:sz w:val="24"/>
        </w:rPr>
      </w:pPr>
      <w:r>
        <w:rPr>
          <w:rFonts w:ascii="Times New Roman" w:hAnsi="Times New Roman"/>
          <w:b/>
          <w:sz w:val="24"/>
        </w:rPr>
        <w:t xml:space="preserve">SECTION 2.03 Terms and Conditions of the Notes. </w:t>
      </w:r>
    </w:p>
    <w:p>
      <w:pPr>
        <w:pStyle w:val="TextBody"/>
        <w:bidi w:val="0"/>
        <w:spacing w:before="240" w:after="0"/>
        <w:jc w:val="both"/>
        <w:rPr>
          <w:rFonts w:ascii="Times New Roman" w:hAnsi="Times New Roman"/>
          <w:sz w:val="24"/>
        </w:rPr>
      </w:pPr>
      <w:r>
        <w:rPr>
          <w:rFonts w:ascii="Times New Roman" w:hAnsi="Times New Roman"/>
          <w:sz w:val="24"/>
        </w:rPr>
        <w:t xml:space="preserve">The Notes shall be governed by all the terms and conditions of the Indenture, as supplemented by this Sixth Supplemental Indenture, and in particular, the following provisions shall be terms of the Notes: </w:t>
      </w:r>
    </w:p>
    <w:p>
      <w:pPr>
        <w:pStyle w:val="TextBody"/>
        <w:bidi w:val="0"/>
        <w:spacing w:before="240" w:after="0"/>
        <w:jc w:val="both"/>
        <w:rPr>
          <w:rFonts w:ascii="Times New Roman" w:hAnsi="Times New Roman"/>
          <w:sz w:val="24"/>
        </w:rPr>
      </w:pPr>
      <w:r>
        <w:rPr>
          <w:rFonts w:ascii="Times New Roman" w:hAnsi="Times New Roman"/>
          <w:sz w:val="24"/>
        </w:rPr>
        <w:t>(a)   </w:t>
      </w:r>
      <w:r>
        <w:rPr>
          <w:rFonts w:ascii="Times New Roman" w:hAnsi="Times New Roman"/>
          <w:b/>
          <w:sz w:val="24"/>
        </w:rPr>
        <w:t>Date of Payment of Principal</w:t>
      </w:r>
      <w:r>
        <w:rPr>
          <w:rFonts w:ascii="Times New Roman" w:hAnsi="Times New Roman"/>
          <w:sz w:val="24"/>
        </w:rPr>
        <w:t xml:space="preserve">. The principal of the 2028 Notes shall be payable on September 15, 2028. The principal of the 2033 Notes shall be payable on September 15, 2033. </w:t>
      </w:r>
    </w:p>
    <w:p>
      <w:pPr>
        <w:pStyle w:val="TextBody"/>
        <w:bidi w:val="0"/>
        <w:spacing w:before="240" w:after="0"/>
        <w:jc w:val="both"/>
        <w:rPr>
          <w:rFonts w:ascii="Times New Roman" w:hAnsi="Times New Roman"/>
          <w:sz w:val="24"/>
        </w:rPr>
      </w:pPr>
      <w:r>
        <w:rPr>
          <w:rFonts w:ascii="Times New Roman" w:hAnsi="Times New Roman"/>
          <w:sz w:val="24"/>
        </w:rPr>
        <w:t>(b)   </w:t>
      </w:r>
      <w:r>
        <w:rPr>
          <w:rFonts w:ascii="Times New Roman" w:hAnsi="Times New Roman"/>
          <w:b/>
          <w:sz w:val="24"/>
        </w:rPr>
        <w:t>Issue Price</w:t>
      </w:r>
      <w:r>
        <w:rPr>
          <w:rFonts w:ascii="Times New Roman" w:hAnsi="Times New Roman"/>
          <w:sz w:val="24"/>
        </w:rPr>
        <w:t xml:space="preserve">. On the date hereof, the 2028 Notes shall be issued at 99.989% of the principal amount thereof and the 2033 Notes shall be issued at 99.756% of the principal amount thereof. </w:t>
      </w:r>
    </w:p>
    <w:p>
      <w:pPr>
        <w:pStyle w:val="TextBody"/>
        <w:bidi w:val="0"/>
        <w:spacing w:before="240" w:after="0"/>
        <w:jc w:val="both"/>
        <w:rPr>
          <w:rFonts w:ascii="Times New Roman" w:hAnsi="Times New Roman"/>
          <w:sz w:val="24"/>
        </w:rPr>
      </w:pPr>
      <w:r>
        <w:rPr>
          <w:rFonts w:ascii="Times New Roman" w:hAnsi="Times New Roman"/>
          <w:sz w:val="24"/>
        </w:rPr>
        <w:t>(c)   </w:t>
      </w:r>
      <w:r>
        <w:rPr>
          <w:rFonts w:ascii="Times New Roman" w:hAnsi="Times New Roman"/>
          <w:b/>
          <w:sz w:val="24"/>
        </w:rPr>
        <w:t>Interest</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(A) The 2028 Notes shall bear interest at the rate of 5.100% per annum; the 2033 Notes shall bear interest at the rate of 5.750% per annum; </w:t>
      </w:r>
      <w:r>
        <w:rPr>
          <w:rFonts w:ascii="Times New Roman" w:hAnsi="Times New Roman"/>
          <w:sz w:val="24"/>
          <w:u w:val="single"/>
        </w:rPr>
        <w:t>provided</w:t>
      </w:r>
      <w:r>
        <w:rPr>
          <w:rFonts w:ascii="Times New Roman" w:hAnsi="Times New Roman"/>
          <w:sz w:val="24"/>
        </w:rPr>
        <w:t xml:space="preserve">, that in each case, any principal and premium and any installment of interest which is overdue shall bear interest at the same rate (to the extent that the payment of such interest shall be legally enforceable). The interest for each series of Notes will be calculated on the basis of a 360-day year consisting of twelve 30-day months. </w:t>
      </w:r>
    </w:p>
    <w:p>
      <w:pPr>
        <w:pStyle w:val="TextBody"/>
        <w:bidi w:val="0"/>
        <w:spacing w:before="240" w:after="0"/>
        <w:jc w:val="both"/>
        <w:rPr>
          <w:rFonts w:ascii="Times New Roman" w:hAnsi="Times New Roman"/>
          <w:sz w:val="24"/>
        </w:rPr>
      </w:pPr>
      <w:r>
        <w:rPr>
          <w:rFonts w:ascii="Times New Roman" w:hAnsi="Times New Roman"/>
          <w:sz w:val="24"/>
        </w:rPr>
        <w:t xml:space="preserve">(B) Interest in respect of each series of Notes shall accrue from and including September 17, 2026 or from and including the most recent Interest Payment Date to which interest has been paid or duly provided for. </w:t>
      </w:r>
    </w:p>
    <w:p>
      <w:pPr>
        <w:pStyle w:val="TextBody"/>
        <w:bidi w:val="0"/>
        <w:spacing w:before="240" w:after="0"/>
        <w:jc w:val="both"/>
        <w:rPr>
          <w:rFonts w:ascii="Times New Roman" w:hAnsi="Times New Roman"/>
          <w:sz w:val="24"/>
        </w:rPr>
      </w:pPr>
      <w:r>
        <w:rPr>
          <w:rFonts w:ascii="Times New Roman" w:hAnsi="Times New Roman"/>
          <w:sz w:val="24"/>
        </w:rPr>
        <w:t xml:space="preserve">(C) The Interest Payment Dates on which interest shall be payable in respect of each series of Notes shall be March 15 and September 15 in each year, commencing March 15, 2027. </w:t>
      </w:r>
    </w:p>
    <w:p>
      <w:pPr>
        <w:pStyle w:val="TextBody"/>
        <w:bidi w:val="0"/>
        <w:spacing w:before="240" w:after="0"/>
        <w:jc w:val="both"/>
        <w:rPr>
          <w:rFonts w:ascii="Times New Roman" w:hAnsi="Times New Roman"/>
          <w:sz w:val="24"/>
        </w:rPr>
      </w:pPr>
      <w:r>
        <w:rPr>
          <w:rFonts w:ascii="Times New Roman" w:hAnsi="Times New Roman"/>
          <w:sz w:val="24"/>
        </w:rPr>
        <w:t xml:space="preserve">(D) The Regular Record Dates for interest in respect of each series of Notes shall be March 1 and September 1 (whether or not a Business Day) in respect of the interest payable on March 15 and September 15, respectively. </w:t>
      </w:r>
    </w:p>
    <w:p>
      <w:pPr>
        <w:pStyle w:val="TextBody"/>
        <w:bidi w:val="0"/>
        <w:spacing w:before="240" w:after="0"/>
        <w:jc w:val="both"/>
        <w:rPr>
          <w:rFonts w:ascii="Times New Roman" w:hAnsi="Times New Roman"/>
          <w:sz w:val="24"/>
        </w:rPr>
      </w:pPr>
      <w:r>
        <w:rPr>
          <w:rFonts w:ascii="Times New Roman" w:hAnsi="Times New Roman"/>
          <w:sz w:val="24"/>
        </w:rPr>
        <w:t>(d)   </w:t>
      </w:r>
      <w:r>
        <w:rPr>
          <w:rFonts w:ascii="Times New Roman" w:hAnsi="Times New Roman"/>
          <w:b/>
          <w:sz w:val="24"/>
        </w:rPr>
        <w:t>Payment of Principal and Interest</w:t>
      </w:r>
      <w:r>
        <w:rPr>
          <w:rFonts w:ascii="Times New Roman" w:hAnsi="Times New Roman"/>
          <w:sz w:val="24"/>
        </w:rPr>
        <w:t xml:space="preserve">. Settlement for the Notes shall be made in immediately available funds. All payments of principal and interest shall be made by the Company in immediately available funds. The Notes shall trade in the Same-Day Funds Settlement System of DTC until Maturity, and secondary market trading activity for the Notes shall settle in immediately available funds. </w:t>
      </w:r>
    </w:p>
    <w:p>
      <w:pPr>
        <w:pStyle w:val="TextBody"/>
        <w:bidi w:val="0"/>
        <w:spacing w:before="240" w:after="0"/>
        <w:jc w:val="both"/>
        <w:rPr>
          <w:rFonts w:ascii="Times New Roman" w:hAnsi="Times New Roman"/>
          <w:sz w:val="24"/>
        </w:rPr>
      </w:pPr>
      <w:r>
        <w:rPr>
          <w:rFonts w:ascii="Times New Roman" w:hAnsi="Times New Roman"/>
          <w:sz w:val="24"/>
        </w:rPr>
        <w:t>(e)   </w:t>
      </w:r>
      <w:r>
        <w:rPr>
          <w:rFonts w:ascii="Times New Roman" w:hAnsi="Times New Roman"/>
          <w:b/>
          <w:sz w:val="24"/>
        </w:rPr>
        <w:t>Optional Redemption</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(A) Prior to the maturity date, the Company may redeem the 2028 Notes at its option, in whole or in part, at any time and from time to time, at a Redemption Price (expressed as a percentage of principal amount and rounded to three decimal places) equal to the greater of: </w:t>
      </w:r>
    </w:p>
    <w:p>
      <w:pPr>
        <w:pStyle w:val="TextBody"/>
        <w:bidi w:val="0"/>
        <w:spacing w:before="240" w:after="0"/>
        <w:jc w:val="both"/>
        <w:rPr>
          <w:rFonts w:ascii="Times New Roman" w:hAnsi="Times New Roman"/>
          <w:sz w:val="24"/>
        </w:rPr>
      </w:pPr>
      <w:r>
        <w:rPr>
          <w:rFonts w:ascii="Times New Roman" w:hAnsi="Times New Roman"/>
          <w:sz w:val="24"/>
        </w:rPr>
        <w:t xml:space="preserve">(I) (a) the sum of the present values, as calculated by the Company, of the remaining scheduled payments of principal and interest thereon discounted to the Redemption Date on a semi-annual basis (assuming a 360-day year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- 9 -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consisting of twelve 30-day months) at the Treasury Rate </w:t>
      </w:r>
      <w:r>
        <w:rPr>
          <w:rFonts w:ascii="Times New Roman" w:hAnsi="Times New Roman"/>
          <w:i/>
          <w:sz w:val="24"/>
        </w:rPr>
        <w:t>plus</w:t>
      </w:r>
      <w:r>
        <w:rPr>
          <w:rFonts w:ascii="Times New Roman" w:hAnsi="Times New Roman"/>
          <w:sz w:val="24"/>
        </w:rPr>
        <w:t xml:space="preserve"> 10 basis points </w:t>
      </w:r>
      <w:r>
        <w:rPr>
          <w:rFonts w:ascii="Times New Roman" w:hAnsi="Times New Roman"/>
          <w:i/>
          <w:sz w:val="24"/>
        </w:rPr>
        <w:t>less</w:t>
      </w:r>
      <w:r>
        <w:rPr>
          <w:rFonts w:ascii="Times New Roman" w:hAnsi="Times New Roman"/>
          <w:sz w:val="24"/>
        </w:rPr>
        <w:t xml:space="preserve"> (b) interest accrued to the Redemption Date; and </w:t>
      </w:r>
    </w:p>
    <w:p>
      <w:pPr>
        <w:pStyle w:val="TextBody"/>
        <w:bidi w:val="0"/>
        <w:spacing w:before="240" w:after="0"/>
        <w:jc w:val="both"/>
        <w:rPr>
          <w:rFonts w:ascii="Times New Roman" w:hAnsi="Times New Roman"/>
          <w:sz w:val="24"/>
        </w:rPr>
      </w:pPr>
      <w:r>
        <w:rPr>
          <w:rFonts w:ascii="Times New Roman" w:hAnsi="Times New Roman"/>
          <w:sz w:val="24"/>
        </w:rPr>
        <w:t xml:space="preserve">(II) 100% of the principal amount of the 2028 Notes to be redeemed, </w:t>
      </w:r>
    </w:p>
    <w:p>
      <w:pPr>
        <w:pStyle w:val="TextBody"/>
        <w:bidi w:val="0"/>
        <w:spacing w:before="240" w:after="0"/>
        <w:jc w:val="both"/>
        <w:rPr>
          <w:rFonts w:ascii="Times New Roman" w:hAnsi="Times New Roman"/>
          <w:sz w:val="24"/>
        </w:rPr>
      </w:pPr>
      <w:r>
        <w:rPr>
          <w:rFonts w:ascii="Times New Roman" w:hAnsi="Times New Roman"/>
          <w:i/>
          <w:sz w:val="24"/>
        </w:rPr>
        <w:t>plus</w:t>
      </w:r>
      <w:r>
        <w:rPr>
          <w:rFonts w:ascii="Times New Roman" w:hAnsi="Times New Roman"/>
          <w:sz w:val="24"/>
        </w:rPr>
        <w:t xml:space="preserve">, in either case, accrued and unpaid interest thereon to the Redemption Date. </w:t>
      </w:r>
    </w:p>
    <w:p>
      <w:pPr>
        <w:pStyle w:val="TextBody"/>
        <w:bidi w:val="0"/>
        <w:spacing w:before="240" w:after="0"/>
        <w:jc w:val="both"/>
        <w:rPr>
          <w:rFonts w:ascii="Times New Roman" w:hAnsi="Times New Roman"/>
          <w:sz w:val="24"/>
        </w:rPr>
      </w:pPr>
      <w:r>
        <w:rPr>
          <w:rFonts w:ascii="Times New Roman" w:hAnsi="Times New Roman"/>
          <w:sz w:val="24"/>
        </w:rPr>
        <w:t>(B) Prior to July 15, 2033 (the “</w:t>
      </w:r>
      <w:r>
        <w:rPr>
          <w:rFonts w:ascii="Times New Roman" w:hAnsi="Times New Roman"/>
          <w:b/>
          <w:sz w:val="24"/>
        </w:rPr>
        <w:t>Par Call Date</w:t>
      </w:r>
      <w:r>
        <w:rPr>
          <w:rFonts w:ascii="Times New Roman" w:hAnsi="Times New Roman"/>
          <w:sz w:val="24"/>
        </w:rPr>
        <w:t xml:space="preserve">”), the Company may redeem the 2033 Notes at its option, in whole or in part, at any time and from time to time, at a Redemption Price (expressed as a percentage of principal amount and rounded to three decimal places) equal to the greater of: </w:t>
      </w:r>
    </w:p>
    <w:p>
      <w:pPr>
        <w:pStyle w:val="TextBody"/>
        <w:bidi w:val="0"/>
        <w:spacing w:before="240" w:after="0"/>
        <w:jc w:val="both"/>
        <w:rPr>
          <w:rFonts w:ascii="Times New Roman" w:hAnsi="Times New Roman"/>
          <w:sz w:val="24"/>
        </w:rPr>
      </w:pPr>
      <w:r>
        <w:rPr>
          <w:rFonts w:ascii="Times New Roman" w:hAnsi="Times New Roman"/>
          <w:sz w:val="24"/>
        </w:rPr>
        <w:t xml:space="preserve">(I) (a) the sum of the present values, as calculated by the Company, of the remaining scheduled payments of principal and interest thereon discounted to the Redemption Date (assuming the 2033 Notes matured on the Par Call Date) on a semi-annual basis (assuming a 360-day year consisting of twelve 30-day months) at the Treasury Rate </w:t>
      </w:r>
      <w:r>
        <w:rPr>
          <w:rFonts w:ascii="Times New Roman" w:hAnsi="Times New Roman"/>
          <w:i/>
          <w:sz w:val="24"/>
        </w:rPr>
        <w:t>plus</w:t>
      </w:r>
      <w:r>
        <w:rPr>
          <w:rFonts w:ascii="Times New Roman" w:hAnsi="Times New Roman"/>
          <w:sz w:val="24"/>
        </w:rPr>
        <w:t xml:space="preserve"> 15 basis points </w:t>
      </w:r>
      <w:r>
        <w:rPr>
          <w:rFonts w:ascii="Times New Roman" w:hAnsi="Times New Roman"/>
          <w:i/>
          <w:sz w:val="24"/>
        </w:rPr>
        <w:t>less</w:t>
      </w:r>
      <w:r>
        <w:rPr>
          <w:rFonts w:ascii="Times New Roman" w:hAnsi="Times New Roman"/>
          <w:sz w:val="24"/>
        </w:rPr>
        <w:t xml:space="preserve"> (b) interest accrued to the Redemption Date; and </w:t>
      </w:r>
    </w:p>
    <w:p>
      <w:pPr>
        <w:pStyle w:val="TextBody"/>
        <w:bidi w:val="0"/>
        <w:spacing w:before="240" w:after="0"/>
        <w:jc w:val="both"/>
        <w:rPr>
          <w:rFonts w:ascii="Times New Roman" w:hAnsi="Times New Roman"/>
          <w:sz w:val="24"/>
        </w:rPr>
      </w:pPr>
      <w:r>
        <w:rPr>
          <w:rFonts w:ascii="Times New Roman" w:hAnsi="Times New Roman"/>
          <w:sz w:val="24"/>
        </w:rPr>
        <w:t xml:space="preserve">(II) 100% of the principal amount of the 2033 Notes to be redeemed, </w:t>
      </w:r>
    </w:p>
    <w:p>
      <w:pPr>
        <w:pStyle w:val="TextBody"/>
        <w:bidi w:val="0"/>
        <w:spacing w:before="240" w:after="0"/>
        <w:jc w:val="both"/>
        <w:rPr>
          <w:rFonts w:ascii="Times New Roman" w:hAnsi="Times New Roman"/>
          <w:sz w:val="24"/>
        </w:rPr>
      </w:pPr>
      <w:r>
        <w:rPr>
          <w:rFonts w:ascii="Times New Roman" w:hAnsi="Times New Roman"/>
          <w:i/>
          <w:sz w:val="24"/>
        </w:rPr>
        <w:t>plus</w:t>
      </w:r>
      <w:r>
        <w:rPr>
          <w:rFonts w:ascii="Times New Roman" w:hAnsi="Times New Roman"/>
          <w:sz w:val="24"/>
        </w:rPr>
        <w:t xml:space="preserve">, in either case, accrued and unpaid interest thereon to the Redemption Date. </w:t>
      </w:r>
    </w:p>
    <w:p>
      <w:pPr>
        <w:pStyle w:val="TextBody"/>
        <w:bidi w:val="0"/>
        <w:spacing w:before="240" w:after="0"/>
        <w:jc w:val="both"/>
        <w:rPr>
          <w:rFonts w:ascii="Times New Roman" w:hAnsi="Times New Roman"/>
          <w:sz w:val="24"/>
        </w:rPr>
      </w:pPr>
      <w:r>
        <w:rPr>
          <w:rFonts w:ascii="Times New Roman" w:hAnsi="Times New Roman"/>
          <w:sz w:val="24"/>
        </w:rPr>
        <w:t xml:space="preserve">On or after the Par Call Date, the Company may redeem the 2033 Notes, in whole or in part, at any time and from time to time, at a Redemption Price equal to 100% of the principal amount of the 2033 Notes being redeemed plus accrued and unpaid interest thereon to the Redemption Date. </w:t>
      </w:r>
    </w:p>
    <w:p>
      <w:pPr>
        <w:pStyle w:val="TextBody"/>
        <w:bidi w:val="0"/>
        <w:spacing w:before="240" w:after="0"/>
        <w:jc w:val="both"/>
        <w:rPr>
          <w:rFonts w:ascii="Times New Roman" w:hAnsi="Times New Roman"/>
          <w:sz w:val="24"/>
        </w:rPr>
      </w:pPr>
      <w:r>
        <w:rPr>
          <w:rFonts w:ascii="Times New Roman" w:hAnsi="Times New Roman"/>
          <w:sz w:val="24"/>
        </w:rPr>
        <w:t xml:space="preserve">(C) Unless the Company defaults in the payment of the Redemption Price, on or after the Redemption Date, interest will cease to accrue on the Notes of the series to be redeemed or the portions thereof called for redemption. </w:t>
      </w:r>
    </w:p>
    <w:p>
      <w:pPr>
        <w:pStyle w:val="TextBody"/>
        <w:bidi w:val="0"/>
        <w:spacing w:before="240" w:after="0"/>
        <w:jc w:val="both"/>
        <w:rPr>
          <w:rFonts w:ascii="Times New Roman" w:hAnsi="Times New Roman"/>
          <w:sz w:val="24"/>
        </w:rPr>
      </w:pPr>
      <w:r>
        <w:rPr>
          <w:rFonts w:ascii="Times New Roman" w:hAnsi="Times New Roman"/>
          <w:sz w:val="24"/>
        </w:rPr>
        <w:t xml:space="preserve">(D) The Company’s actions and determinations in determining the Redemption Price shall be conclusive evidence and binding for all purposes, absent manifest error. </w:t>
      </w:r>
    </w:p>
    <w:p>
      <w:pPr>
        <w:pStyle w:val="TextBody"/>
        <w:bidi w:val="0"/>
        <w:spacing w:before="240" w:after="0"/>
        <w:jc w:val="both"/>
        <w:rPr>
          <w:rFonts w:ascii="Times New Roman" w:hAnsi="Times New Roman"/>
          <w:sz w:val="24"/>
        </w:rPr>
      </w:pPr>
      <w:r>
        <w:rPr>
          <w:rFonts w:ascii="Times New Roman" w:hAnsi="Times New Roman"/>
          <w:sz w:val="24"/>
        </w:rPr>
        <w:t xml:space="preserve">(E) Notice of any redemption shall be mailed or electronically delivered (or otherwise transmitted in accordance with the Depositary’s procedures) at least 10 days but not more than 60 days before the Redemption Date to each Holder of the series of Notes to be redeemed. </w:t>
      </w:r>
    </w:p>
    <w:p>
      <w:pPr>
        <w:pStyle w:val="TextBody"/>
        <w:bidi w:val="0"/>
        <w:spacing w:before="240" w:after="0"/>
        <w:jc w:val="both"/>
        <w:rPr>
          <w:rFonts w:ascii="Times New Roman" w:hAnsi="Times New Roman"/>
          <w:sz w:val="24"/>
        </w:rPr>
      </w:pPr>
      <w:r>
        <w:rPr>
          <w:rFonts w:ascii="Times New Roman" w:hAnsi="Times New Roman"/>
          <w:sz w:val="24"/>
        </w:rPr>
        <w:t>(f)   </w:t>
      </w:r>
      <w:r>
        <w:rPr>
          <w:rFonts w:ascii="Times New Roman" w:hAnsi="Times New Roman"/>
          <w:b/>
          <w:sz w:val="24"/>
        </w:rPr>
        <w:t>Negative Pledge</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So long as any of the Notes are Outstanding: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- 10 -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(A) neither TRC nor the Company will create or permit to subsist after knowledge of the existence thereof any Security Interest upon any part of its undertaking or assets to secure any Debt of TRC or the Company, respectively; or </w:t>
      </w:r>
    </w:p>
    <w:p>
      <w:pPr>
        <w:pStyle w:val="TextBody"/>
        <w:bidi w:val="0"/>
        <w:spacing w:before="240" w:after="0"/>
        <w:jc w:val="both"/>
        <w:rPr>
          <w:rFonts w:ascii="Times New Roman" w:hAnsi="Times New Roman"/>
          <w:sz w:val="24"/>
        </w:rPr>
      </w:pPr>
      <w:r>
        <w:rPr>
          <w:rFonts w:ascii="Times New Roman" w:hAnsi="Times New Roman"/>
          <w:sz w:val="24"/>
        </w:rPr>
        <w:t xml:space="preserve">(B) TRC will not permit any Material Subsidiary to give any Guarantee to secure any Debt of TRC or the Company, </w:t>
      </w:r>
    </w:p>
    <w:p>
      <w:pPr>
        <w:pStyle w:val="TextBody"/>
        <w:bidi w:val="0"/>
        <w:spacing w:before="240" w:after="0"/>
        <w:jc w:val="both"/>
        <w:rPr>
          <w:rFonts w:ascii="Times New Roman" w:hAnsi="Times New Roman"/>
          <w:sz w:val="24"/>
        </w:rPr>
      </w:pPr>
      <w:r>
        <w:rPr>
          <w:rFonts w:ascii="Times New Roman" w:hAnsi="Times New Roman"/>
          <w:sz w:val="24"/>
        </w:rPr>
        <w:t xml:space="preserve">without at the same time or as soon as reasonably practicable thereafter offering to the Holders of Notes a ratable and </w:t>
      </w:r>
      <w:r>
        <w:rPr>
          <w:rFonts w:ascii="Times New Roman" w:hAnsi="Times New Roman"/>
          <w:i/>
          <w:sz w:val="24"/>
        </w:rPr>
        <w:t xml:space="preserve">pari passu </w:t>
      </w:r>
      <w:r>
        <w:rPr>
          <w:rFonts w:ascii="Times New Roman" w:hAnsi="Times New Roman"/>
          <w:sz w:val="24"/>
        </w:rPr>
        <w:t xml:space="preserve">interest in the same Security Interest or Guarantee, as applicable, but the covenant in this Section 2.03(f) will not apply to, or operate to prevent: </w:t>
      </w:r>
    </w:p>
    <w:p>
      <w:pPr>
        <w:pStyle w:val="TextBody"/>
        <w:bidi w:val="0"/>
        <w:spacing w:before="240" w:after="0"/>
        <w:jc w:val="both"/>
        <w:rPr>
          <w:rFonts w:ascii="Times New Roman" w:hAnsi="Times New Roman"/>
          <w:sz w:val="24"/>
        </w:rPr>
      </w:pPr>
      <w:r>
        <w:rPr>
          <w:rFonts w:ascii="Times New Roman" w:hAnsi="Times New Roman"/>
          <w:sz w:val="24"/>
        </w:rPr>
        <w:t xml:space="preserve">(I) any Security Interest for, or any Guarantee by a Material Subsidiary of, any Debt of TRC or the Company, as applicable, the amount of which, when aggregated with the amount of all other Debt of TRC and the Company then outstanding in respect of which Security Interest or a Guarantee by a Material Subsidiary has been given, excluding any Security Interest or Guarantee given pursuant to the exceptions in subparagraphs (II) to (IV) below, would not exceed 10% of Consolidated Shareholders’ Equity; </w:t>
      </w:r>
    </w:p>
    <w:p>
      <w:pPr>
        <w:pStyle w:val="TextBody"/>
        <w:bidi w:val="0"/>
        <w:spacing w:before="240" w:after="0"/>
        <w:jc w:val="both"/>
        <w:rPr>
          <w:rFonts w:ascii="Times New Roman" w:hAnsi="Times New Roman"/>
          <w:sz w:val="24"/>
        </w:rPr>
      </w:pPr>
      <w:r>
        <w:rPr>
          <w:rFonts w:ascii="Times New Roman" w:hAnsi="Times New Roman"/>
          <w:sz w:val="24"/>
        </w:rPr>
        <w:t xml:space="preserve">(II) any Security Interest on (a) any asset (including shares) acquired or held by TRC or the Company to secure Debt of TRC or the Company, respectively, incurred solely for the purpose of financing the acquisition, construction, research, development or improvement of such asset, or (b) shares of a Subsidiary organized solely to acquire any such asset; </w:t>
      </w:r>
    </w:p>
    <w:p>
      <w:pPr>
        <w:pStyle w:val="TextBody"/>
        <w:bidi w:val="0"/>
        <w:spacing w:before="240" w:after="0"/>
        <w:jc w:val="both"/>
        <w:rPr>
          <w:rFonts w:ascii="Times New Roman" w:hAnsi="Times New Roman"/>
          <w:sz w:val="24"/>
        </w:rPr>
      </w:pPr>
      <w:r>
        <w:rPr>
          <w:rFonts w:ascii="Times New Roman" w:hAnsi="Times New Roman"/>
          <w:sz w:val="24"/>
        </w:rPr>
        <w:t xml:space="preserve">(III) the assumption by TRC or the Company of any Security Interest in existence on any asset at the time of acquisition thereof, including any such assumption consequent upon any amalgamation, merger, arrangement or other corporate reorganization; </w:t>
      </w:r>
    </w:p>
    <w:p>
      <w:pPr>
        <w:pStyle w:val="TextBody"/>
        <w:bidi w:val="0"/>
        <w:spacing w:before="240" w:after="0"/>
        <w:jc w:val="both"/>
        <w:rPr>
          <w:rFonts w:ascii="Times New Roman" w:hAnsi="Times New Roman"/>
          <w:sz w:val="24"/>
        </w:rPr>
      </w:pPr>
      <w:r>
        <w:rPr>
          <w:rFonts w:ascii="Times New Roman" w:hAnsi="Times New Roman"/>
          <w:sz w:val="24"/>
        </w:rPr>
        <w:t xml:space="preserve">(IV) TRC or the Company giving any Security Interest (other than on shares or fixed assets) in the ordinary course of the Company’s or a Guarantor’s business to any bank or banks or others to secure any Debt of TRC or the Company that is not a Funded Obligation; or </w:t>
      </w:r>
    </w:p>
    <w:p>
      <w:pPr>
        <w:pStyle w:val="TextBody"/>
        <w:bidi w:val="0"/>
        <w:spacing w:before="240" w:after="0"/>
        <w:jc w:val="both"/>
        <w:rPr>
          <w:rFonts w:ascii="Times New Roman" w:hAnsi="Times New Roman"/>
          <w:sz w:val="24"/>
        </w:rPr>
      </w:pPr>
      <w:r>
        <w:rPr>
          <w:rFonts w:ascii="Times New Roman" w:hAnsi="Times New Roman"/>
          <w:sz w:val="24"/>
        </w:rPr>
        <w:t xml:space="preserve">(V) the extension, renewal or refunding of any Security Interest permitted under subparagraphs (II) to (IV) above to the extent of the principal amount of Debt of TRC or the Company, as applicable, secured by and owing under any such Security Interest at the time of such extension, renewal or refunding. </w:t>
      </w:r>
    </w:p>
    <w:p>
      <w:pPr>
        <w:pStyle w:val="TextBody"/>
        <w:bidi w:val="0"/>
        <w:spacing w:before="240" w:after="0"/>
        <w:jc w:val="both"/>
        <w:rPr>
          <w:rFonts w:ascii="Times New Roman" w:hAnsi="Times New Roman"/>
          <w:sz w:val="24"/>
        </w:rPr>
      </w:pPr>
      <w:r>
        <w:rPr>
          <w:rFonts w:ascii="Times New Roman" w:hAnsi="Times New Roman"/>
          <w:sz w:val="24"/>
        </w:rPr>
        <w:t>(g)   </w:t>
      </w:r>
      <w:r>
        <w:rPr>
          <w:rFonts w:ascii="Times New Roman" w:hAnsi="Times New Roman"/>
          <w:b/>
          <w:sz w:val="24"/>
        </w:rPr>
        <w:t>Merger, Consolidation or Amalgamation.</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For purposes of the Notes, Section 801 of the TR Finance Indenture shall not apply in respect of (i) any consolidation, amalgamation or merger involving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- 11 -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TRC and/or the Company, respectively, any of their respective Subsidiaries; (ii) any conveyance, transfer, or sale of lease of TRC’s and/or the Company’s respective properties or assets to any of their Subsidiaries; or (iii) any other transaction between TRC, the Company and/or any one or more of their Subsidiaries. </w:t>
      </w:r>
    </w:p>
    <w:p>
      <w:pPr>
        <w:pStyle w:val="TextBody"/>
        <w:bidi w:val="0"/>
        <w:spacing w:before="240" w:after="0"/>
        <w:jc w:val="both"/>
        <w:rPr>
          <w:rFonts w:ascii="Times New Roman" w:hAnsi="Times New Roman"/>
          <w:sz w:val="24"/>
        </w:rPr>
      </w:pPr>
      <w:r>
        <w:rPr>
          <w:rFonts w:ascii="Times New Roman" w:hAnsi="Times New Roman"/>
          <w:sz w:val="24"/>
        </w:rPr>
        <w:t>(h)   </w:t>
      </w:r>
      <w:r>
        <w:rPr>
          <w:rFonts w:ascii="Times New Roman" w:hAnsi="Times New Roman"/>
          <w:b/>
          <w:sz w:val="24"/>
        </w:rPr>
        <w:t>Applicability of Defeasance or Covenant Defeasance</w:t>
      </w:r>
      <w:r>
        <w:rPr>
          <w:rFonts w:ascii="Times New Roman" w:hAnsi="Times New Roman"/>
          <w:sz w:val="24"/>
        </w:rPr>
        <w:t xml:space="preserve">. The provisions of Article Twelve of the TR Finance Indenture shall apply to the Notes. </w:t>
      </w:r>
    </w:p>
    <w:p>
      <w:pPr>
        <w:pStyle w:val="TextBody"/>
        <w:bidi w:val="0"/>
        <w:spacing w:before="240" w:after="0"/>
        <w:jc w:val="both"/>
        <w:rPr>
          <w:rFonts w:ascii="Times New Roman" w:hAnsi="Times New Roman"/>
          <w:sz w:val="24"/>
        </w:rPr>
      </w:pPr>
      <w:r>
        <w:rPr>
          <w:rFonts w:ascii="Times New Roman" w:hAnsi="Times New Roman"/>
          <w:sz w:val="24"/>
        </w:rPr>
        <w:t>(i)   </w:t>
      </w:r>
      <w:r>
        <w:rPr>
          <w:rFonts w:ascii="Times New Roman" w:hAnsi="Times New Roman"/>
          <w:b/>
          <w:sz w:val="24"/>
        </w:rPr>
        <w:t>Additional Amounts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All payments made by TRC under the Guarantee will be made free and clear of, and without withholding or deduction for or on account of, any present or future tax, duty, levy, impost, assessment or other governmental charge imposed or levied by or on behalf of the Government of Canada or of any province or territory thereof or therein or by any authority or agency therein or thereof having power to tax (hereinafter “</w:t>
      </w:r>
      <w:r>
        <w:rPr>
          <w:rFonts w:ascii="Times New Roman" w:hAnsi="Times New Roman"/>
          <w:b/>
          <w:sz w:val="24"/>
        </w:rPr>
        <w:t>Taxes</w:t>
      </w:r>
      <w:r>
        <w:rPr>
          <w:rFonts w:ascii="Times New Roman" w:hAnsi="Times New Roman"/>
          <w:sz w:val="24"/>
        </w:rPr>
        <w:t>”), unless TRC is required to withhold or deduct Taxes by applicable law or by the interpretation or administration thereof. If TRC is so required to withhold or deduct any amount for or on account of Taxes from any payment made by it under the Guarantee, TRC will pay such additional amounts (“</w:t>
      </w:r>
      <w:r>
        <w:rPr>
          <w:rFonts w:ascii="Times New Roman" w:hAnsi="Times New Roman"/>
          <w:b/>
          <w:sz w:val="24"/>
        </w:rPr>
        <w:t>Additional</w:t>
      </w:r>
      <w:r>
        <w:rPr>
          <w:rFonts w:ascii="Times New Roman" w:hAnsi="Times New Roman"/>
          <w:sz w:val="24"/>
        </w:rPr>
        <w:t xml:space="preserve"> </w:t>
      </w:r>
      <w:r>
        <w:rPr>
          <w:rFonts w:ascii="Times New Roman" w:hAnsi="Times New Roman"/>
          <w:b/>
          <w:sz w:val="24"/>
        </w:rPr>
        <w:t>Amounts</w:t>
      </w:r>
      <w:r>
        <w:rPr>
          <w:rFonts w:ascii="Times New Roman" w:hAnsi="Times New Roman"/>
          <w:sz w:val="24"/>
        </w:rPr>
        <w:t>”) as may be necessary so that the net amount received by each Holder of the Notes (including, as applicable, the beneficial owners in respect of any such Holder) after such withholding or deduction (including such deductions and withholdings applicable to Additional Amounts) will not be less than the amount the Holder (including, as applicable, the beneficial owners in respect of any such Holder) would have received if such Taxes had not been withheld or deducted; provided that no Additional Amounts will be payable with respect to: (a) any Tax that is payable, imposed, levied, collected or assessed other than by withholding from payments made under the Guarantee; (b) any Note presented for payment (where presentation is required) more than 30 days after the later of (i) the date on which such payment first becomes due or (ii) if the full amount of the monies payable has not been paid to the Holders or beneficial owners of the Notes on or prior to such date, the date on which the full amount of such monies has been paid to the Holders or beneficial owners of the Notes, except to the extent that the Holder or beneficial owner of the Notes would have been entitled to such Additional Amounts on presentation of the same for payment on the last day of such period of 30 days; (c) any estate, inheritance, gift, sales, transfer, excise or personal property Tax or any similar Tax; (d) any Taxes that are imposed or withheld by reason of the failure of the Holder or beneficial owner of the Notes to comply with any certification, identification, information, documentation or other reporting requirement if compliance is required by law, regulation, or administrative practice of Canada or an applicable treaty as a precondition to exemption from, or a reduction in the rate of deduction or withholding of, such Taxes or is otherwise reasonably requested by the Company or TRC to support a claim for relief or exemption from such Taxes; (e) any (i) tax, assessment, withholding or deduction required pursuant to Sections 1471 to 1474 of the U.S. Internal Revenue Code of 1986, as amended (“</w:t>
      </w:r>
      <w:r>
        <w:rPr>
          <w:rFonts w:ascii="Times New Roman" w:hAnsi="Times New Roman"/>
          <w:b/>
          <w:sz w:val="24"/>
        </w:rPr>
        <w:t>FATCA</w:t>
      </w:r>
      <w:r>
        <w:rPr>
          <w:rFonts w:ascii="Times New Roman" w:hAnsi="Times New Roman"/>
          <w:sz w:val="24"/>
        </w:rPr>
        <w:t xml:space="preserve">”), or any successor version thereof, or any similar legislation imposed by any other governmental authority, or (ii) Tax or penalty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- 12 -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arising from the Holder’s or beneficial owner’s failure to properly comply with the Holder’s or beneficial owner’s obligations imposed under the Canada-United States Enhanced Tax Information Exchange Agreement Implementation Act (Canada) or any treaty, law or regulation or other official guidance enacted by Canada implementing FATCA or an intergovernmental agreement with respect to FATCA or any similar legislation imposed by any other governmental authority, including, for greater certainty, Part XVIII and Part XIX of the </w:t>
      </w:r>
      <w:r>
        <w:rPr>
          <w:rFonts w:ascii="Times New Roman" w:hAnsi="Times New Roman"/>
          <w:i/>
          <w:sz w:val="24"/>
        </w:rPr>
        <w:t>Income Tax Act</w:t>
      </w:r>
      <w:r>
        <w:rPr>
          <w:rFonts w:ascii="Times New Roman" w:hAnsi="Times New Roman"/>
          <w:sz w:val="24"/>
        </w:rPr>
        <w:t xml:space="preserve"> (Canada) (the “</w:t>
      </w:r>
      <w:r>
        <w:rPr>
          <w:rFonts w:ascii="Times New Roman" w:hAnsi="Times New Roman"/>
          <w:b/>
          <w:sz w:val="24"/>
        </w:rPr>
        <w:t>Tax Act</w:t>
      </w:r>
      <w:r>
        <w:rPr>
          <w:rFonts w:ascii="Times New Roman" w:hAnsi="Times New Roman"/>
          <w:sz w:val="24"/>
        </w:rPr>
        <w:t xml:space="preserve">”); or (f) any combination of the foregoing clauses (a) to (e). </w:t>
      </w:r>
    </w:p>
    <w:p>
      <w:pPr>
        <w:pStyle w:val="TextBody"/>
        <w:bidi w:val="0"/>
        <w:spacing w:before="240" w:after="0"/>
        <w:jc w:val="both"/>
        <w:rPr>
          <w:rFonts w:ascii="Times New Roman" w:hAnsi="Times New Roman"/>
          <w:sz w:val="24"/>
        </w:rPr>
      </w:pPr>
      <w:r>
        <w:rPr>
          <w:rFonts w:ascii="Times New Roman" w:hAnsi="Times New Roman"/>
          <w:sz w:val="24"/>
        </w:rPr>
        <w:t xml:space="preserve">TRC will also (1) make such withholding or deduction and (2) remit the full amount deducted or withheld by it to the relevant authority in accordance with applicable law. TRC will take reasonable efforts to furnish to the Notes Trustee or applicable Holders of the Notes, within a reasonable time after the date the payment of any Taxes by it is due pursuant to applicable law, certified copies of tax receipts or other evidence of such remittance. TRC will indemnify and hold harmless each Holder (including, as applicable, the beneficial owners in respect of any such Holder) and, upon written request, will reimburse each such Holder (including, as applicable, the beneficial owners in respect of any such Holder) for the amount of (i) any Taxes (other than any Taxes for which Additional Amounts would not be payable pursuant to clauses (a) through (f) above) levied or imposed and paid by such Holder (including, as applicable, the beneficial owners in respect of any such Holder) as a result of payments made under the Guarantee which have not been withheld or deducted and remitted by TRC in accordance with applicable law, (ii) any liability (including penalties, interest and expenses) arising therefrom or with respect thereto, and (iii) any Taxes (other than any Taxes for which Additional Amounts would not be payable pursuant to clauses (a) through (f) above) imposed with respect to any reimbursement under clause (i) or (ii) above, but excluding any such Taxes on such Holder’s (including, as applicable, the beneficial owners in respect of any such Holder’s) net income. </w:t>
      </w:r>
    </w:p>
    <w:p>
      <w:pPr>
        <w:pStyle w:val="TextBody"/>
        <w:bidi w:val="0"/>
        <w:spacing w:before="240" w:after="0"/>
        <w:jc w:val="both"/>
        <w:rPr>
          <w:rFonts w:ascii="Times New Roman" w:hAnsi="Times New Roman"/>
          <w:sz w:val="24"/>
        </w:rPr>
      </w:pPr>
      <w:r>
        <w:rPr>
          <w:rFonts w:ascii="Times New Roman" w:hAnsi="Times New Roman"/>
          <w:sz w:val="24"/>
        </w:rPr>
        <w:t xml:space="preserve">Whenever in the Indenture there is mentioned, in any context, the payment of principal (and premium, if any), Redemption Price, Change of Control Payment, interest or any other amount payable, such mention shall be deemed to include mention of the payment of Additional Amounts to the extent that, in such context, Additional Amounts are, were or would be payable in respect thereof. </w:t>
      </w:r>
    </w:p>
    <w:p>
      <w:pPr>
        <w:pStyle w:val="TextBody"/>
        <w:bidi w:val="0"/>
        <w:spacing w:before="240" w:after="0"/>
        <w:jc w:val="both"/>
        <w:rPr>
          <w:rFonts w:ascii="Times New Roman" w:hAnsi="Times New Roman"/>
          <w:sz w:val="24"/>
        </w:rPr>
      </w:pPr>
      <w:r>
        <w:rPr>
          <w:rFonts w:ascii="Times New Roman" w:hAnsi="Times New Roman"/>
          <w:sz w:val="24"/>
        </w:rPr>
        <w:t>(j)   </w:t>
      </w:r>
      <w:r>
        <w:rPr>
          <w:rFonts w:ascii="Times New Roman" w:hAnsi="Times New Roman"/>
          <w:b/>
          <w:sz w:val="24"/>
        </w:rPr>
        <w:t>Tax Redemption</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Each series of Notes will be redeemable, at the Company’s option following receipt of a written request by TRC requesting that the Company redeem a particular series of Notes, in whole and not in part, at any time, at 100% of the aggregate principal amount, together with accrued and unpaid interest thereon to the Redemption Date (including any Additional Amounts), upon the giving of a notice as described in Section 1102 and Section 1104 of the TR Finance Indenture, if (1) TRC will be obligated on the next Interest Payment Date to pay an amount under the Guarantee with respect to such series of Notes (2) TRC determines that (a) as a result of any change in or amendment to (including any officially announced prospective change or amendment) the laws (or any rules, regulations, rulings or administrative pronouncements promulgated thereunder) of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- 13 -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Canada or of any political subdivision or taxing authority thereof or therein or any change in official position regarding the application or interpretation of such laws, rules, regulations, rulings or administrative pronouncements (including a holding by a court of competent jurisdiction), which change or amendment is announced or becomes effective (assuming, in the case of any announced prospective change, that such announced change will become effective as of the date specified in such announcement and in the form announced) on or after the date TRC assumes the Company’s obligations pursuant to the Guarantee, TRC has or will become obligated to pay, on the next succeeding Interest Payment Date, Additional Amounts under the Guarantee or (b) on or after the date TRC assumes the Company’s obligations pursuant to the Guarantee, any action has been taken by any taxing authority of, or any decision has been rendered by a court of competent jurisdiction in, Canada or any political subdivision or taxing authority thereof or therein, including any of those actions specified in clause (a) above, whether or not such action was taken or decision was rendered with respect to TRC, or any change, amendment, application or interpretation shall be officially proposed (assuming that such announced change will become effective as of the date specified in such announcement and in the form announced), which, in any such case, in the Opinion of Counsel to TRC, will result in TRC becoming obligated to pay, on the next succeeding Interest Payment Date, Additional Amounts under the Guarantee, and (3) in any such case, TRC and the Company in their business judgment determine that such obligation cannot be avoided by the use of reasonable measures available to TRC or the Company (which, for the avoidance of doubt, shall not include a change in the terms of the applicable series of Notes or a substitution of the debtor); provided however, that at the time such notice of redemption is given, such obligation to pay such Additional Amounts remains in effect. </w:t>
      </w:r>
    </w:p>
    <w:p>
      <w:pPr>
        <w:pStyle w:val="TextBody"/>
        <w:bidi w:val="0"/>
        <w:spacing w:before="240" w:after="0"/>
        <w:jc w:val="both"/>
        <w:rPr>
          <w:rFonts w:ascii="Times New Roman" w:hAnsi="Times New Roman"/>
          <w:sz w:val="24"/>
        </w:rPr>
      </w:pPr>
      <w:r>
        <w:rPr>
          <w:rFonts w:ascii="Times New Roman" w:hAnsi="Times New Roman"/>
          <w:sz w:val="24"/>
        </w:rPr>
        <w:t>(k)   </w:t>
      </w:r>
      <w:r>
        <w:rPr>
          <w:rFonts w:ascii="Times New Roman" w:hAnsi="Times New Roman"/>
          <w:b/>
          <w:sz w:val="24"/>
        </w:rPr>
        <w:t>Other Additional Amounts.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Where any Person (i) assumes the Company’s obligations under the Notes and this Indenture pursuant to Article Eight of the TR Finance Indenture, or (ii) becomes a Co-Obligor (as defined herein) pursuant to Section 2.03(l), and such Person is domiciled under any jurisdiction other than a state of the United States (a “</w:t>
      </w:r>
      <w:r>
        <w:rPr>
          <w:rFonts w:ascii="Times New Roman" w:hAnsi="Times New Roman"/>
          <w:b/>
          <w:sz w:val="24"/>
        </w:rPr>
        <w:t>Non-U.S. Taxing Jurisdiction</w:t>
      </w:r>
      <w:r>
        <w:rPr>
          <w:rFonts w:ascii="Times New Roman" w:hAnsi="Times New Roman"/>
          <w:sz w:val="24"/>
        </w:rPr>
        <w:t>”) (each such Person, a “</w:t>
      </w:r>
      <w:r>
        <w:rPr>
          <w:rFonts w:ascii="Times New Roman" w:hAnsi="Times New Roman"/>
          <w:b/>
          <w:sz w:val="24"/>
        </w:rPr>
        <w:t>Non-U.S. Person</w:t>
      </w:r>
      <w:r>
        <w:rPr>
          <w:rFonts w:ascii="Times New Roman" w:hAnsi="Times New Roman"/>
          <w:sz w:val="24"/>
        </w:rPr>
        <w:t>”), such Non-U.S. Person shall (A) pay additional amounts (“</w:t>
      </w:r>
      <w:r>
        <w:rPr>
          <w:rFonts w:ascii="Times New Roman" w:hAnsi="Times New Roman"/>
          <w:b/>
          <w:sz w:val="24"/>
        </w:rPr>
        <w:t>Other Additional Amounts</w:t>
      </w:r>
      <w:r>
        <w:rPr>
          <w:rFonts w:ascii="Times New Roman" w:hAnsi="Times New Roman"/>
          <w:sz w:val="24"/>
        </w:rPr>
        <w:t xml:space="preserve">”) in the form substantially similar to that described in Section 2.03(i), with such modifications as the Company and such Non-U.S. Person reasonably determine are customary and appropriate to address then-applicable (or potentially applicable future) taxes, duties, levies, imposts, assessments or other governmental charges imposed or levied by or on behalf of the applicable governmental authority in respect of payments made by such Non-U.S. Person under or with respect to the notes to U.S. noteholders, including any exceptions thereto as the Company and such Non-U.S. Person shall reasonably determine would be customary and appropriate and (B) the Notes will be redeemable, at such Non-U.S. Person’s option, in whole and not in part, at any time, at 100% of the aggregate principal amount, together with accrued and unpaid interest thereon to the Redemption Date (including any Other Additional Amounts), upon the giving of a notice as described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- 14 -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in Section 1102 and Section 1104 of the TR Finance Indenture, if (1) such Non-U.S. Person determines that (a) as a result of any change in or amendment to (including any officially announced prospective change or amendment) the laws (or any rules, regulations, rulings or administrative pronouncements promulgated thereunder) of any Non-U.S. Taxing Jurisdiction, or any change in official position regarding the application or interpretation of such laws, rules, regulations, rulings or administrative pronouncements (including a holding by a court of competent jurisdiction), which change or amendment is announced or becomes effective (assuming, in the case of any announced prospective change, that such announced change will become effective as of the date specified in such announcement and in the form announced) on or after the date such Non-U.S. Person assumes the Company’s obligations, such Non-U.S. Person has or will become obligated to pay, on the next succeeding Interest Payment Date, Other Additional Amounts with respect to any Notes or (b) on or after the date such Non-U.S. Person assumes the Company’s obligations, any action has been taken by any taxing authority of, or any decision has been rendered by a court of competent jurisdiction in, a Non-U.S. Taxing Jurisdiction, including any of those actions specified in clause (a) above, whether or not such action was taken or decision was rendered with respect to such Non-U.S. Person, or any change, amendment, application or interpretation shall be officially proposed (assuming that such announced change will become effective as of the date specified in such announcement and in the form announced), which, in any such case, in the Opinion of Counsel to such Non-U.S. Person, will result in such Non-U.S. Person becoming obligated to pay, on the next succeeding Interest Payment Date, Other Additional Amounts with respect to any Notes, and (2) in any such case, such Non-U.S. Person in its business judgment determines that such obligation cannot be avoided by the use of reasonable measures available to such Non-U.S. Person (which, for the avoidance of doubt, shall not include a change in the terms of the Notes or a substitution of the debtor); provided however, that at the time such notice of redemption is given, such obligation to pay such Other Additional Amounts remains in effect. </w:t>
      </w:r>
    </w:p>
    <w:p>
      <w:pPr>
        <w:pStyle w:val="TextBody"/>
        <w:bidi w:val="0"/>
        <w:spacing w:before="240" w:after="0"/>
        <w:jc w:val="both"/>
        <w:rPr>
          <w:rFonts w:ascii="Times New Roman" w:hAnsi="Times New Roman"/>
          <w:sz w:val="24"/>
        </w:rPr>
      </w:pPr>
      <w:r>
        <w:rPr>
          <w:rFonts w:ascii="Times New Roman" w:hAnsi="Times New Roman"/>
          <w:sz w:val="24"/>
        </w:rPr>
        <w:t>(l)   </w:t>
      </w:r>
      <w:r>
        <w:rPr>
          <w:rFonts w:ascii="Times New Roman" w:hAnsi="Times New Roman"/>
          <w:b/>
          <w:sz w:val="24"/>
        </w:rPr>
        <w:t>Addition of Co-Obligors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The Company shall have the right at any time, without notice to or consent of the Holders of the Notes of either series, to designate a Wholly-Owned Subsidiary to assume, as co-obligor (in this Section, a “</w:t>
      </w:r>
      <w:r>
        <w:rPr>
          <w:rFonts w:ascii="Times New Roman" w:hAnsi="Times New Roman"/>
          <w:b/>
          <w:sz w:val="24"/>
        </w:rPr>
        <w:t>Co-Obligor</w:t>
      </w:r>
      <w:r>
        <w:rPr>
          <w:rFonts w:ascii="Times New Roman" w:hAnsi="Times New Roman"/>
          <w:sz w:val="24"/>
        </w:rPr>
        <w:t xml:space="preserve">”) on a joint and several basis with the Company, all obligations of the Company under the Indenture (insofar as it applies to a particular series of the Notes) and a particular series of the Notes, </w:t>
      </w:r>
      <w:r>
        <w:rPr>
          <w:rFonts w:ascii="Times New Roman" w:hAnsi="Times New Roman"/>
          <w:sz w:val="24"/>
          <w:u w:val="single"/>
        </w:rPr>
        <w:t>provided</w:t>
      </w:r>
      <w:r>
        <w:rPr>
          <w:rFonts w:ascii="Times New Roman" w:hAnsi="Times New Roman"/>
          <w:sz w:val="24"/>
        </w:rPr>
        <w:t xml:space="preserve"> that: </w:t>
      </w:r>
    </w:p>
    <w:p>
      <w:pPr>
        <w:pStyle w:val="TextBody"/>
        <w:bidi w:val="0"/>
        <w:spacing w:before="240" w:after="0"/>
        <w:jc w:val="both"/>
        <w:rPr>
          <w:rFonts w:ascii="Times New Roman" w:hAnsi="Times New Roman"/>
          <w:sz w:val="24"/>
        </w:rPr>
      </w:pPr>
      <w:r>
        <w:rPr>
          <w:rFonts w:ascii="Times New Roman" w:hAnsi="Times New Roman"/>
          <w:sz w:val="24"/>
        </w:rPr>
        <w:t xml:space="preserve">(A) by an indenture supplemental to the Indenture, executed and delivered to the Trustees, in form satisfactory to the Trustees, the Co-Obligor shall expressly assume, as co-obligor on a joint and several basis with the Company, the Company’s obligation for the due and punctual payment of the principal of (and premium, if any), including the Redemption Price and Repayment Price, and interest on all the Notes of such series and the performance of every covenant of the Indenture (insofar as it applies to the Notes of such series) on the part of the Company to be performed or observed; and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- 15 -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(B) the obligations of the Co-Obligor under such series of Notes shall rank equally with all of the Co-Obligor’s other unsecured and unsubordinated obligations. </w:t>
      </w:r>
    </w:p>
    <w:p>
      <w:pPr>
        <w:pStyle w:val="TextBody"/>
        <w:bidi w:val="0"/>
        <w:spacing w:before="240" w:after="0"/>
        <w:jc w:val="both"/>
        <w:rPr>
          <w:rFonts w:ascii="Times New Roman" w:hAnsi="Times New Roman"/>
          <w:sz w:val="24"/>
        </w:rPr>
      </w:pPr>
      <w:r>
        <w:rPr>
          <w:rFonts w:ascii="Times New Roman" w:hAnsi="Times New Roman"/>
          <w:sz w:val="24"/>
        </w:rPr>
        <w:t>(m)   </w:t>
      </w:r>
      <w:r>
        <w:rPr>
          <w:rFonts w:ascii="Times New Roman" w:hAnsi="Times New Roman"/>
          <w:b/>
          <w:sz w:val="24"/>
        </w:rPr>
        <w:t>Offer to Repurchase on Change of Control Triggering Event</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(A) If a Change of Control Triggering Event occurs, unless the Company has exercised its right to redeem all of the Notes of the applicable series, the Company will be required to make an offer to repurchase all, or, at the Holder’s option, any part (equal to US$1,000 or an integral multiple thereof), of each Holder’s Notes of such series on the terms set forth in this Section 2.03(m) (in this Section, the “</w:t>
      </w:r>
      <w:r>
        <w:rPr>
          <w:rFonts w:ascii="Times New Roman" w:hAnsi="Times New Roman"/>
          <w:b/>
          <w:sz w:val="24"/>
        </w:rPr>
        <w:t>Change of Control Offer</w:t>
      </w:r>
      <w:r>
        <w:rPr>
          <w:rFonts w:ascii="Times New Roman" w:hAnsi="Times New Roman"/>
          <w:sz w:val="24"/>
        </w:rPr>
        <w:t>”). In the Change of Control Offer, the Company shall offer payment in cash equal to 101% of the aggregate principal amount of Notes of the series to be repurchased plus accrued and unpaid interest, if any, on such Notes, to the date of repurchase (in this Section, the “</w:t>
      </w:r>
      <w:r>
        <w:rPr>
          <w:rFonts w:ascii="Times New Roman" w:hAnsi="Times New Roman"/>
          <w:b/>
          <w:sz w:val="24"/>
        </w:rPr>
        <w:t>Change of Control Payment</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(B) Within 30 days following any Change of Control Triggering Event, the Company shall deliver a notice to each Holder of the Notes of the series to be repurchased, with a copy to the Notes Trustee for such series, describing the transaction or transactions that constitute the Change of Control Triggering Event and offering to repurchase the Notes of such series on the payment date specified in the notice, which date will be no earlier than 30 days and no later than 60 days from the date such notice is delivered (in this Section, the “</w:t>
      </w:r>
      <w:r>
        <w:rPr>
          <w:rFonts w:ascii="Times New Roman" w:hAnsi="Times New Roman"/>
          <w:b/>
          <w:sz w:val="24"/>
        </w:rPr>
        <w:t>Change of Control Payment Date</w:t>
      </w:r>
      <w:r>
        <w:rPr>
          <w:rFonts w:ascii="Times New Roman" w:hAnsi="Times New Roman"/>
          <w:sz w:val="24"/>
        </w:rPr>
        <w:t xml:space="preserve">”), pursuant to the procedures required by this Section 2.03(m) and described in such notice. The Company shall comply with the requirements of applicable securities laws and regulations in connection with the repurchase of any Notes as a result of a Change of Control Triggering Event. To the extent that the provisions of any applicable securities laws or regulations conflict with the provisions under this Section 2.03(m), the Company shall comply with the applicable securities laws and regulations and will not be deemed to have breached its obligations under this Section 2.03(m) by virtue of such conflict. </w:t>
      </w:r>
    </w:p>
    <w:p>
      <w:pPr>
        <w:pStyle w:val="TextBody"/>
        <w:bidi w:val="0"/>
        <w:spacing w:before="240" w:after="0"/>
        <w:jc w:val="both"/>
        <w:rPr>
          <w:rFonts w:ascii="Times New Roman" w:hAnsi="Times New Roman"/>
          <w:sz w:val="24"/>
        </w:rPr>
      </w:pPr>
      <w:r>
        <w:rPr>
          <w:rFonts w:ascii="Times New Roman" w:hAnsi="Times New Roman"/>
          <w:sz w:val="24"/>
        </w:rPr>
        <w:t xml:space="preserve">(C) On the Change of Control Payment Date, the Company will, to the extent lawful: </w:t>
      </w:r>
    </w:p>
    <w:p>
      <w:pPr>
        <w:pStyle w:val="TextBody"/>
        <w:bidi w:val="0"/>
        <w:spacing w:before="240" w:after="0"/>
        <w:jc w:val="both"/>
        <w:rPr>
          <w:rFonts w:ascii="Times New Roman" w:hAnsi="Times New Roman"/>
          <w:sz w:val="24"/>
        </w:rPr>
      </w:pPr>
      <w:r>
        <w:rPr>
          <w:rFonts w:ascii="Times New Roman" w:hAnsi="Times New Roman"/>
          <w:sz w:val="24"/>
        </w:rPr>
        <w:t xml:space="preserve">(I) accept for payment all Notes or portions of the Notes properly tendered pursuant to the Change of Control Offer; </w:t>
      </w:r>
    </w:p>
    <w:p>
      <w:pPr>
        <w:pStyle w:val="TextBody"/>
        <w:bidi w:val="0"/>
        <w:spacing w:before="240" w:after="0"/>
        <w:jc w:val="both"/>
        <w:rPr>
          <w:rFonts w:ascii="Times New Roman" w:hAnsi="Times New Roman"/>
          <w:sz w:val="24"/>
        </w:rPr>
      </w:pPr>
      <w:r>
        <w:rPr>
          <w:rFonts w:ascii="Times New Roman" w:hAnsi="Times New Roman"/>
          <w:sz w:val="24"/>
        </w:rPr>
        <w:t xml:space="preserve">(II) deposit with the Paying Agent an amount equal to the Change of Control Payment in respect of all Notes or portions of the Notes properly tendered; and </w:t>
      </w:r>
    </w:p>
    <w:p>
      <w:pPr>
        <w:pStyle w:val="TextBody"/>
        <w:bidi w:val="0"/>
        <w:spacing w:before="240" w:after="0"/>
        <w:jc w:val="both"/>
        <w:rPr>
          <w:rFonts w:ascii="Times New Roman" w:hAnsi="Times New Roman"/>
          <w:sz w:val="24"/>
        </w:rPr>
      </w:pPr>
      <w:r>
        <w:rPr>
          <w:rFonts w:ascii="Times New Roman" w:hAnsi="Times New Roman"/>
          <w:sz w:val="24"/>
        </w:rPr>
        <w:t xml:space="preserve">(III) deliver or cause to be delivered to the Notes Trustee the Notes properly accepted, together with an Officer’s Certificate stating the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- 16 -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aggregate principal amount of the Notes or portions of the Notes being purchased by the Company. </w:t>
      </w:r>
    </w:p>
    <w:p>
      <w:pPr>
        <w:pStyle w:val="TextBody"/>
        <w:bidi w:val="0"/>
        <w:spacing w:before="240" w:after="0"/>
        <w:jc w:val="both"/>
        <w:rPr>
          <w:rFonts w:ascii="Times New Roman" w:hAnsi="Times New Roman"/>
          <w:sz w:val="24"/>
        </w:rPr>
      </w:pPr>
      <w:r>
        <w:rPr>
          <w:rFonts w:ascii="Times New Roman" w:hAnsi="Times New Roman"/>
          <w:sz w:val="24"/>
        </w:rPr>
        <w:t xml:space="preserve">(D) The Paying Agent will promptly deliver to each Holder of properly tendered Notes the purchase price for such Notes, and the Notes Trustee will, upon receipt of a Company Order to authenticate, promptly authenticate and deliver (or cause to be transferred by book-entry) to each such Holder a new Note equal in principal amount to any unpurchased portion of any such Note surrendered; </w:t>
      </w:r>
      <w:r>
        <w:rPr>
          <w:rFonts w:ascii="Times New Roman" w:hAnsi="Times New Roman"/>
          <w:sz w:val="24"/>
          <w:u w:val="single"/>
        </w:rPr>
        <w:t>provided</w:t>
      </w:r>
      <w:r>
        <w:rPr>
          <w:rFonts w:ascii="Times New Roman" w:hAnsi="Times New Roman"/>
          <w:sz w:val="24"/>
        </w:rPr>
        <w:t xml:space="preserve"> that each new Note will be in a principal amount of US$2,000 and integral multiples of US$1,000 in excess thereof. </w:t>
      </w:r>
    </w:p>
    <w:p>
      <w:pPr>
        <w:pStyle w:val="TextBody"/>
        <w:bidi w:val="0"/>
        <w:spacing w:before="240" w:after="0"/>
        <w:jc w:val="both"/>
        <w:rPr>
          <w:rFonts w:ascii="Times New Roman" w:hAnsi="Times New Roman"/>
          <w:sz w:val="24"/>
        </w:rPr>
      </w:pPr>
      <w:r>
        <w:rPr>
          <w:rFonts w:ascii="Times New Roman" w:hAnsi="Times New Roman"/>
          <w:sz w:val="24"/>
        </w:rPr>
        <w:t xml:space="preserve">(E) The Company will not be required to make a Change of Control Offer upon a Change of Control Triggering Event if a third party makes such an offer in the manner, at the times and otherwise in compliance with the requirements for an offer made by the Company and such third party purchases all Notes properly tendered and not withdrawn under its offer. </w:t>
      </w:r>
    </w:p>
    <w:p>
      <w:pPr>
        <w:pStyle w:val="TextBody"/>
        <w:bidi w:val="0"/>
        <w:spacing w:before="240" w:after="0"/>
        <w:jc w:val="both"/>
        <w:rPr>
          <w:rFonts w:ascii="Times New Roman" w:hAnsi="Times New Roman"/>
          <w:sz w:val="24"/>
        </w:rPr>
      </w:pPr>
      <w:r>
        <w:rPr>
          <w:rFonts w:ascii="Times New Roman" w:hAnsi="Times New Roman"/>
          <w:sz w:val="24"/>
        </w:rPr>
        <w:t>(n)   </w:t>
      </w:r>
      <w:r>
        <w:rPr>
          <w:rFonts w:ascii="Times New Roman" w:hAnsi="Times New Roman"/>
          <w:b/>
          <w:sz w:val="24"/>
        </w:rPr>
        <w:t>Paying Agent and Place of Payment</w:t>
      </w:r>
      <w:r>
        <w:rPr>
          <w:rFonts w:ascii="Times New Roman" w:hAnsi="Times New Roman"/>
          <w:sz w:val="24"/>
        </w:rPr>
        <w:t xml:space="preserve">. The Company hereby appoints the Notes Trustee as the initial Paying Agent for the Notes. So long as the Notes are in global form, the Place of Payment for the Notes will be New York, New York. </w:t>
      </w:r>
    </w:p>
    <w:p>
      <w:pPr>
        <w:pStyle w:val="TextBody"/>
        <w:bidi w:val="0"/>
        <w:spacing w:before="240" w:after="0"/>
        <w:jc w:val="both"/>
        <w:rPr>
          <w:rFonts w:ascii="Times New Roman" w:hAnsi="Times New Roman"/>
          <w:sz w:val="24"/>
        </w:rPr>
      </w:pPr>
      <w:r>
        <w:rPr>
          <w:rFonts w:ascii="Times New Roman" w:hAnsi="Times New Roman"/>
          <w:sz w:val="24"/>
        </w:rPr>
        <w:t>(o)   </w:t>
      </w:r>
      <w:r>
        <w:rPr>
          <w:rFonts w:ascii="Times New Roman" w:hAnsi="Times New Roman"/>
          <w:b/>
          <w:sz w:val="24"/>
        </w:rPr>
        <w:t>Trustee</w:t>
      </w:r>
      <w:r>
        <w:rPr>
          <w:rFonts w:ascii="Times New Roman" w:hAnsi="Times New Roman"/>
          <w:sz w:val="24"/>
        </w:rPr>
        <w:t xml:space="preserve">. Pursuant to the TR Finance Indenture, the Notes Trustee is hereby appointed as trustee of the Notes and all future series of Securities for which it may be designated to act as Trustee by Company Order delivered to it prior to the issuance of such series of Securities and the Notes Trustee hereby accepts such appointment. Subject to applicable law, including the </w:t>
      </w:r>
      <w:r>
        <w:rPr>
          <w:rFonts w:ascii="Times New Roman" w:hAnsi="Times New Roman"/>
          <w:i/>
          <w:sz w:val="24"/>
        </w:rPr>
        <w:t>Business Corporations Act</w:t>
      </w:r>
      <w:r>
        <w:rPr>
          <w:rFonts w:ascii="Times New Roman" w:hAnsi="Times New Roman"/>
          <w:sz w:val="24"/>
        </w:rPr>
        <w:t xml:space="preserve"> (Ontario), the Co-Trustee acknowledges and agrees with the Company and the Notes Trustee that (i) the Co-Trustee is not a trustee of the Notes, and (ii) the Co-Trustee shall not act as Paying Agent, Security Registrar or Transfer Agent for the Notes unless so appointed by the Company. </w:t>
      </w:r>
    </w:p>
    <w:p>
      <w:pPr>
        <w:pStyle w:val="TextBody"/>
        <w:bidi w:val="0"/>
        <w:spacing w:before="240" w:after="0"/>
        <w:jc w:val="both"/>
        <w:rPr>
          <w:rFonts w:ascii="Times New Roman" w:hAnsi="Times New Roman"/>
          <w:b/>
          <w:sz w:val="24"/>
        </w:rPr>
      </w:pPr>
      <w:r>
        <w:rPr>
          <w:rFonts w:ascii="Times New Roman" w:hAnsi="Times New Roman"/>
          <w:b/>
          <w:sz w:val="24"/>
        </w:rPr>
        <w:t xml:space="preserve">SECTION 2.04 Tax Act. </w:t>
      </w:r>
    </w:p>
    <w:p>
      <w:pPr>
        <w:pStyle w:val="TextBody"/>
        <w:bidi w:val="0"/>
        <w:spacing w:before="240" w:after="0"/>
        <w:jc w:val="both"/>
        <w:rPr>
          <w:rFonts w:ascii="Times New Roman" w:hAnsi="Times New Roman"/>
          <w:sz w:val="24"/>
        </w:rPr>
      </w:pPr>
      <w:r>
        <w:rPr>
          <w:rFonts w:ascii="Times New Roman" w:hAnsi="Times New Roman"/>
          <w:sz w:val="24"/>
        </w:rPr>
        <w:t xml:space="preserve">As at the date hereof, the Company is not a resident of Canada for purposes of the Tax Act, and for so long as any Notes remain outstanding the Company shall not become resident of Canada for the purposes of the Tax Act. </w:t>
      </w:r>
    </w:p>
    <w:p>
      <w:pPr>
        <w:pStyle w:val="TextBody"/>
        <w:bidi w:val="0"/>
        <w:spacing w:before="240" w:after="0"/>
        <w:jc w:val="center"/>
        <w:rPr>
          <w:rFonts w:ascii="Times New Roman" w:hAnsi="Times New Roman"/>
          <w:b/>
          <w:sz w:val="24"/>
        </w:rPr>
      </w:pPr>
      <w:r>
        <w:rPr>
          <w:rFonts w:ascii="Times New Roman" w:hAnsi="Times New Roman"/>
          <w:b/>
          <w:sz w:val="24"/>
        </w:rPr>
        <w:t xml:space="preserve">ARTICLE III </w:t>
      </w:r>
    </w:p>
    <w:p>
      <w:pPr>
        <w:pStyle w:val="TextBody"/>
        <w:bidi w:val="0"/>
        <w:spacing w:before="240" w:after="0"/>
        <w:jc w:val="center"/>
        <w:rPr>
          <w:rFonts w:ascii="Times New Roman" w:hAnsi="Times New Roman"/>
          <w:b/>
          <w:sz w:val="24"/>
        </w:rPr>
      </w:pPr>
      <w:r>
        <w:rPr>
          <w:rFonts w:ascii="Times New Roman" w:hAnsi="Times New Roman"/>
          <w:b/>
          <w:sz w:val="24"/>
        </w:rPr>
        <w:t xml:space="preserve">EVENTS OF DEFAULT </w:t>
      </w:r>
    </w:p>
    <w:p>
      <w:pPr>
        <w:pStyle w:val="TextBody"/>
        <w:bidi w:val="0"/>
        <w:spacing w:before="240" w:after="0"/>
        <w:jc w:val="both"/>
        <w:rPr>
          <w:rFonts w:ascii="Times New Roman" w:hAnsi="Times New Roman"/>
          <w:b/>
          <w:sz w:val="24"/>
        </w:rPr>
      </w:pPr>
      <w:r>
        <w:rPr>
          <w:rFonts w:ascii="Times New Roman" w:hAnsi="Times New Roman"/>
          <w:b/>
          <w:sz w:val="24"/>
        </w:rPr>
        <w:t xml:space="preserve">SECTION 3.01 Events of Default. </w:t>
      </w:r>
    </w:p>
    <w:p>
      <w:pPr>
        <w:pStyle w:val="TextBody"/>
        <w:bidi w:val="0"/>
        <w:spacing w:before="240" w:after="0"/>
        <w:jc w:val="both"/>
        <w:rPr>
          <w:rFonts w:ascii="Times New Roman" w:hAnsi="Times New Roman"/>
          <w:sz w:val="24"/>
        </w:rPr>
      </w:pPr>
      <w:r>
        <w:rPr>
          <w:rFonts w:ascii="Times New Roman" w:hAnsi="Times New Roman"/>
          <w:sz w:val="24"/>
        </w:rPr>
        <w:t xml:space="preserve">For the benefit of Holders of the Notes, the failure by the Company to comply with its obligations set forth in Section 2.03(m) hereof is an Event of Default and shall be added to Section 501 of the TR Finance Indenture and considered as clause (7) to Section 501 with respect to the Notes for all purposes of the TR Finance Indenture. </w:t>
      </w:r>
    </w:p>
    <w:p>
      <w:pPr>
        <w:pStyle w:val="TextBody"/>
        <w:bidi w:val="0"/>
        <w:spacing w:before="240" w:after="0"/>
        <w:jc w:val="center"/>
        <w:rPr>
          <w:rFonts w:ascii="Times New Roman" w:hAnsi="Times New Roman"/>
          <w:b/>
          <w:sz w:val="24"/>
        </w:rPr>
      </w:pPr>
      <w:r>
        <w:rPr>
          <w:rFonts w:ascii="Times New Roman" w:hAnsi="Times New Roman"/>
          <w:b/>
          <w:sz w:val="24"/>
        </w:rPr>
        <w:t xml:space="preserve">ARTICLE IV </w:t>
      </w:r>
    </w:p>
    <w:p>
      <w:pPr>
        <w:pStyle w:val="TextBody"/>
        <w:bidi w:val="0"/>
        <w:spacing w:before="240" w:after="0"/>
        <w:jc w:val="center"/>
        <w:rPr>
          <w:rFonts w:ascii="Times New Roman" w:hAnsi="Times New Roman"/>
          <w:b/>
          <w:sz w:val="24"/>
        </w:rPr>
      </w:pPr>
      <w:r>
        <w:rPr>
          <w:rFonts w:ascii="Times New Roman" w:hAnsi="Times New Roman"/>
          <w:b/>
          <w:sz w:val="24"/>
        </w:rPr>
        <w:t xml:space="preserve">MISCELLANEOUS PROVISIONS </w:t>
      </w:r>
    </w:p>
    <w:p>
      <w:pPr>
        <w:pStyle w:val="TextBody"/>
        <w:bidi w:val="0"/>
        <w:spacing w:before="240" w:after="0"/>
        <w:jc w:val="both"/>
        <w:rPr>
          <w:rFonts w:ascii="Times New Roman" w:hAnsi="Times New Roman"/>
          <w:b/>
          <w:sz w:val="24"/>
        </w:rPr>
      </w:pPr>
      <w:r>
        <w:rPr>
          <w:rFonts w:ascii="Times New Roman" w:hAnsi="Times New Roman"/>
          <w:b/>
          <w:sz w:val="24"/>
        </w:rPr>
        <w:t xml:space="preserve">SECTION 4.01 Effect of Sixth Supplemental Indenture.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- 17 -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(a) This Sixth Supplemental Indenture is a supplemental indenture within the meaning of Section 901 of the TR Finance Indenture, and the TR Finance Indenture shall be read together with this Sixth Supplemental Indenture and shall have the same effect over the Notes in the same manner as if the provisions of the TR Finance Indenture and Sixth Supplemental Indenture were contained in the same instrument. </w:t>
      </w:r>
    </w:p>
    <w:p>
      <w:pPr>
        <w:pStyle w:val="TextBody"/>
        <w:bidi w:val="0"/>
        <w:spacing w:before="240" w:after="0"/>
        <w:jc w:val="both"/>
        <w:rPr>
          <w:rFonts w:ascii="Times New Roman" w:hAnsi="Times New Roman"/>
          <w:sz w:val="24"/>
        </w:rPr>
      </w:pPr>
      <w:r>
        <w:rPr>
          <w:rFonts w:ascii="Times New Roman" w:hAnsi="Times New Roman"/>
          <w:sz w:val="24"/>
        </w:rPr>
        <w:t xml:space="preserve">(b) In all other respects, the TR Finance Indenture is confirmed by the parties hereto as supplemented by the terms of this Sixth Supplemental Indenture. </w:t>
      </w:r>
    </w:p>
    <w:p>
      <w:pPr>
        <w:pStyle w:val="TextBody"/>
        <w:bidi w:val="0"/>
        <w:spacing w:before="240" w:after="0"/>
        <w:jc w:val="both"/>
        <w:rPr>
          <w:rFonts w:ascii="Times New Roman" w:hAnsi="Times New Roman"/>
          <w:sz w:val="24"/>
        </w:rPr>
      </w:pPr>
      <w:r>
        <w:rPr>
          <w:rFonts w:ascii="Times New Roman" w:hAnsi="Times New Roman"/>
          <w:b/>
          <w:sz w:val="24"/>
        </w:rPr>
        <w:t>SECTION</w:t>
      </w:r>
      <w:r>
        <w:rPr>
          <w:rFonts w:ascii="Times New Roman" w:hAnsi="Times New Roman"/>
          <w:sz w:val="24"/>
        </w:rPr>
        <w:t> </w:t>
      </w:r>
      <w:r>
        <w:rPr>
          <w:rFonts w:ascii="Times New Roman" w:hAnsi="Times New Roman"/>
          <w:b/>
          <w:sz w:val="24"/>
        </w:rPr>
        <w:t>4.02</w:t>
      </w:r>
      <w:r>
        <w:rPr>
          <w:rFonts w:ascii="Times New Roman" w:hAnsi="Times New Roman"/>
          <w:sz w:val="24"/>
        </w:rPr>
        <w:t> </w:t>
      </w:r>
      <w:r>
        <w:rPr>
          <w:rFonts w:ascii="Times New Roman" w:hAnsi="Times New Roman"/>
          <w:b/>
          <w:sz w:val="24"/>
        </w:rPr>
        <w:t>Governing Law</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This Sixth Supplemental Indenture and the Notes shall be governed by and construed in accordance with the laws of the State of New York. For greater certainty, the exercise, performance or discharge by the Co-Trustee of any of its rights, powers, duties, or responsibilities hereunder shall be construed in accordance with the laws of the Province of Ontario and the federal laws of Canada applicable thereto. </w:t>
      </w:r>
    </w:p>
    <w:p>
      <w:pPr>
        <w:pStyle w:val="TextBody"/>
        <w:bidi w:val="0"/>
        <w:spacing w:before="240" w:after="0"/>
        <w:jc w:val="both"/>
        <w:rPr>
          <w:rFonts w:ascii="Times New Roman" w:hAnsi="Times New Roman"/>
          <w:sz w:val="24"/>
        </w:rPr>
      </w:pPr>
      <w:r>
        <w:rPr>
          <w:rFonts w:ascii="Times New Roman" w:hAnsi="Times New Roman"/>
          <w:b/>
          <w:sz w:val="24"/>
        </w:rPr>
        <w:t>SECTION 4.03 Effect of Headings and Table of Contents.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The Article and Section headings herein are for convenience only and shall not affect the construction hereof. </w:t>
      </w:r>
    </w:p>
    <w:p>
      <w:pPr>
        <w:pStyle w:val="TextBody"/>
        <w:bidi w:val="0"/>
        <w:spacing w:before="240" w:after="0"/>
        <w:jc w:val="both"/>
        <w:rPr>
          <w:rFonts w:ascii="Times New Roman" w:hAnsi="Times New Roman"/>
          <w:sz w:val="24"/>
        </w:rPr>
      </w:pPr>
      <w:r>
        <w:rPr>
          <w:rFonts w:ascii="Times New Roman" w:hAnsi="Times New Roman"/>
          <w:b/>
          <w:sz w:val="24"/>
        </w:rPr>
        <w:t>SECTION 4.04 Successors and Assigns.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All covenants and agreements in this Sixth Supplemental Indenture by the Company shall bind its successors and assigns, whether so expressed or not. </w:t>
      </w:r>
    </w:p>
    <w:p>
      <w:pPr>
        <w:pStyle w:val="TextBody"/>
        <w:bidi w:val="0"/>
        <w:spacing w:before="240" w:after="0"/>
        <w:jc w:val="both"/>
        <w:rPr>
          <w:rFonts w:ascii="Times New Roman" w:hAnsi="Times New Roman"/>
          <w:sz w:val="24"/>
        </w:rPr>
      </w:pPr>
      <w:r>
        <w:rPr>
          <w:rFonts w:ascii="Times New Roman" w:hAnsi="Times New Roman"/>
          <w:b/>
          <w:sz w:val="24"/>
        </w:rPr>
        <w:t>SECTION</w:t>
      </w:r>
      <w:r>
        <w:rPr>
          <w:rFonts w:ascii="Times New Roman" w:hAnsi="Times New Roman"/>
          <w:sz w:val="24"/>
        </w:rPr>
        <w:t> </w:t>
      </w:r>
      <w:r>
        <w:rPr>
          <w:rFonts w:ascii="Times New Roman" w:hAnsi="Times New Roman"/>
          <w:b/>
          <w:sz w:val="24"/>
        </w:rPr>
        <w:t>4.05</w:t>
      </w:r>
      <w:r>
        <w:rPr>
          <w:rFonts w:ascii="Times New Roman" w:hAnsi="Times New Roman"/>
          <w:sz w:val="24"/>
        </w:rPr>
        <w:t> </w:t>
      </w:r>
      <w:r>
        <w:rPr>
          <w:rFonts w:ascii="Times New Roman" w:hAnsi="Times New Roman"/>
          <w:b/>
          <w:sz w:val="24"/>
        </w:rPr>
        <w:t>Severability Clause</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In case any provision in this Sixth Supplemental Indenture or in any Notes, as applicable, shall be invalid, illegal or unenforceable, the validity, legality and enforceability of the remaining provisions shall not in any way be affected or impaired thereby. </w:t>
      </w:r>
    </w:p>
    <w:p>
      <w:pPr>
        <w:pStyle w:val="TextBody"/>
        <w:bidi w:val="0"/>
        <w:spacing w:before="240" w:after="0"/>
        <w:jc w:val="both"/>
        <w:rPr>
          <w:rFonts w:ascii="Times New Roman" w:hAnsi="Times New Roman"/>
          <w:b/>
          <w:sz w:val="24"/>
        </w:rPr>
      </w:pPr>
      <w:r>
        <w:rPr>
          <w:rFonts w:ascii="Times New Roman" w:hAnsi="Times New Roman"/>
          <w:b/>
          <w:sz w:val="24"/>
        </w:rPr>
        <w:t xml:space="preserve">SECTION 4.06 Benefits of Indenture. </w:t>
      </w:r>
    </w:p>
    <w:p>
      <w:pPr>
        <w:pStyle w:val="TextBody"/>
        <w:bidi w:val="0"/>
        <w:spacing w:before="240" w:after="0"/>
        <w:jc w:val="both"/>
        <w:rPr>
          <w:rFonts w:ascii="Times New Roman" w:hAnsi="Times New Roman"/>
          <w:sz w:val="24"/>
        </w:rPr>
      </w:pPr>
      <w:r>
        <w:rPr>
          <w:rFonts w:ascii="Times New Roman" w:hAnsi="Times New Roman"/>
          <w:sz w:val="24"/>
        </w:rPr>
        <w:t xml:space="preserve">Nothing in this Sixth Supplemental Indenture or in the Notes, as the case may be, express or implied, shall give to any Person, other than the parties hereto, any Authenticating Agent, any Paying Agent, any Security Registrar and their successors hereunder, the Holders of the Notes, any benefit or any legal or equitable right, remedy or claim under this Sixth Supplemental Indenture. </w:t>
      </w:r>
    </w:p>
    <w:p>
      <w:pPr>
        <w:pStyle w:val="TextBody"/>
        <w:bidi w:val="0"/>
        <w:spacing w:before="240" w:after="0"/>
        <w:jc w:val="both"/>
        <w:rPr>
          <w:rFonts w:ascii="Times New Roman" w:hAnsi="Times New Roman"/>
          <w:b/>
          <w:sz w:val="24"/>
        </w:rPr>
      </w:pPr>
      <w:r>
        <w:rPr>
          <w:rFonts w:ascii="Times New Roman" w:hAnsi="Times New Roman"/>
          <w:b/>
          <w:sz w:val="24"/>
        </w:rPr>
        <w:t xml:space="preserve">SECTION 4.07 Counterparts. </w:t>
      </w:r>
    </w:p>
    <w:p>
      <w:pPr>
        <w:pStyle w:val="TextBody"/>
        <w:bidi w:val="0"/>
        <w:spacing w:before="240" w:after="0"/>
        <w:jc w:val="both"/>
        <w:rPr>
          <w:rFonts w:ascii="Times New Roman" w:hAnsi="Times New Roman"/>
          <w:sz w:val="24"/>
        </w:rPr>
      </w:pPr>
      <w:r>
        <w:rPr>
          <w:rFonts w:ascii="Times New Roman" w:hAnsi="Times New Roman"/>
          <w:sz w:val="24"/>
        </w:rPr>
        <w:t xml:space="preserve">This Sixth Supplemental Indenture may be executed in any number of counterparts, each of which so executed shall be deemed to be an original, but all such counterparts shall together constitute but one and the same Indenture. Counterparts may be delivered via facsimile, electronic mail, electronic signatures (including, without limitation, DocuSign and AdobeSign) or other transmission method and any counterpart so delivered shall be deemed to have been duly and validly delivered and be valid and effective for all purposes. Facsimile, documents executed,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- 18 -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scanned and transmitted electronically and electronic signatures, including those created or transmitted through a software platform or application, shall be deemed original signatures for purposes of this Indenture and all other related documents and all matters and agreements related thereto, with such facsimile, scanned and electronic signatures having the same legal effect as original signatures. The parties hereto agree that this Sixth Supplemental Indenture or any other related document or any instrument, agreement or document necessary for the consummation of the transactions contemplated by this Indenture or the other related documents or related hereto or thereto (including, without limitation, addendums, amendments, notices, instructions, communications with respect to the delivery of securities or the wire transfer of funds or other communications) (“</w:t>
      </w:r>
      <w:r>
        <w:rPr>
          <w:rFonts w:ascii="Times New Roman" w:hAnsi="Times New Roman"/>
          <w:b/>
          <w:sz w:val="24"/>
        </w:rPr>
        <w:t>Executed Documentation</w:t>
      </w:r>
      <w:r>
        <w:rPr>
          <w:rFonts w:ascii="Times New Roman" w:hAnsi="Times New Roman"/>
          <w:sz w:val="24"/>
        </w:rPr>
        <w:t xml:space="preserve">”) may be accepted, executed or agreed to through the use of an electronic signature in accordance with applicable laws, rules and regulations in effect from time to time applicable to the effectiveness and enforceability of electronic signatures. Any Executed Documentation accepted, executed or agreed to in conformity with such laws, rules and regulations will be binding on all parties hereto to the same extent as if it were physically executed and each party hereby consents to the use of any third party electronic signature capture service providers as may be reasonably chosen by a signatory hereto or thereto. When the Notes Trustee acts on any Executed Documentation sent by electronic transmission, the Notes Trustee will not be responsible or liable for any losses, costs or expenses arising directly or indirectly from its reliance upon and compliance with such Executed Documentation, notwithstanding that such Executed Documentation (a) may not be an authorized or authentic communication of the party involved or in the form such party sent or intended to send (whether due to fraud, distortion or otherwise) or (b) may conflict with, or be inconsistent with, a subsequent written instruction or communication; it being understood and agreed that the Notes Trustee shall conclusively presume that Executed Documentation that purports to have been sent by an authorized officer of a person has been sent by an authorized officer of such person. The party providing Executed Documentation through electronic transmission or otherwise with electronic signatures agrees to assume all risks arising out of such electronic methods, including, without limitation, the risk of the Notes Trustee acting on unauthorized instructions and the risk of interception and misuse by third parties. </w:t>
      </w:r>
    </w:p>
    <w:p>
      <w:pPr>
        <w:pStyle w:val="TextBody"/>
        <w:bidi w:val="0"/>
        <w:spacing w:before="240" w:after="0"/>
        <w:jc w:val="both"/>
        <w:rPr>
          <w:rFonts w:ascii="Times New Roman" w:hAnsi="Times New Roman"/>
          <w:b/>
          <w:sz w:val="24"/>
        </w:rPr>
      </w:pPr>
      <w:r>
        <w:rPr>
          <w:rFonts w:ascii="Times New Roman" w:hAnsi="Times New Roman"/>
          <w:b/>
          <w:sz w:val="24"/>
        </w:rPr>
        <w:t xml:space="preserve">SECTION 4.08 Acceptance of Trusts. </w:t>
      </w:r>
    </w:p>
    <w:p>
      <w:pPr>
        <w:pStyle w:val="TextBody"/>
        <w:bidi w:val="0"/>
        <w:spacing w:before="240" w:after="0"/>
        <w:jc w:val="both"/>
        <w:rPr>
          <w:rFonts w:ascii="Times New Roman" w:hAnsi="Times New Roman"/>
          <w:sz w:val="24"/>
        </w:rPr>
      </w:pPr>
      <w:r>
        <w:rPr>
          <w:rFonts w:ascii="Times New Roman" w:hAnsi="Times New Roman"/>
          <w:sz w:val="24"/>
        </w:rPr>
        <w:t xml:space="preserve">The Notes Trustee hereby accepts the trusts in this Sixth Supplemental Indenture declared and provided for and agrees to perform the same upon the terms and conditions set forth in the Indenture and in trust for the Holders from time to time, subject to the terms and conditions of the Indenture. </w:t>
      </w:r>
    </w:p>
    <w:p>
      <w:pPr>
        <w:pStyle w:val="TextBody"/>
        <w:bidi w:val="0"/>
        <w:spacing w:before="240" w:after="0"/>
        <w:jc w:val="both"/>
        <w:rPr>
          <w:rFonts w:ascii="Times New Roman" w:hAnsi="Times New Roman"/>
          <w:b/>
          <w:sz w:val="24"/>
        </w:rPr>
      </w:pPr>
      <w:r>
        <w:rPr>
          <w:rFonts w:ascii="Times New Roman" w:hAnsi="Times New Roman"/>
          <w:b/>
          <w:sz w:val="24"/>
        </w:rPr>
        <w:t xml:space="preserve">SECTION 4.09 Effective Time. </w:t>
      </w:r>
    </w:p>
    <w:p>
      <w:pPr>
        <w:pStyle w:val="TextBody"/>
        <w:bidi w:val="0"/>
        <w:spacing w:before="240" w:after="0"/>
        <w:jc w:val="both"/>
        <w:rPr>
          <w:rFonts w:ascii="Times New Roman" w:hAnsi="Times New Roman"/>
          <w:sz w:val="24"/>
        </w:rPr>
      </w:pPr>
      <w:r>
        <w:rPr>
          <w:rFonts w:ascii="Times New Roman" w:hAnsi="Times New Roman"/>
          <w:sz w:val="24"/>
        </w:rPr>
        <w:t xml:space="preserve">This Sixth Supplemental Indenture shall become effective upon the execution and delivery of this Sixth Supplemental Indenture by the Company, the Guarantors and the Trustees. </w:t>
      </w:r>
    </w:p>
    <w:p>
      <w:pPr>
        <w:pStyle w:val="TextBody"/>
        <w:bidi w:val="0"/>
        <w:spacing w:before="240" w:after="0"/>
        <w:jc w:val="center"/>
        <w:rPr>
          <w:rFonts w:ascii="Times New Roman" w:hAnsi="Times New Roman"/>
          <w:i/>
          <w:sz w:val="24"/>
        </w:rPr>
      </w:pPr>
      <w:r>
        <w:rPr>
          <w:rFonts w:ascii="Times New Roman" w:hAnsi="Times New Roman"/>
          <w:i/>
          <w:sz w:val="24"/>
        </w:rPr>
        <w:t xml:space="preserve">Remaining pages left blank intentionally.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IN WITNESS WHEREOF, the parties hereto have caused this Sixth Supplemental Indenture to be duly executed and attested, all as of the day and year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59"/>
        <w:gridCol w:w="60"/>
        <w:gridCol w:w="707"/>
        <w:gridCol w:w="60"/>
        <w:gridCol w:w="2796"/>
      </w:tblGrid>
      <w:tr>
        <w:trPr/>
        <w:tc>
          <w:tcPr>
            <w:tcW w:w="45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796"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0"/>
              <w:jc w:val="both"/>
              <w:rPr>
                <w:rFonts w:ascii="Times New Roman" w:hAnsi="Times New Roman"/>
                <w:sz w:val="24"/>
              </w:rPr>
            </w:pPr>
            <w:r>
              <w:rPr>
                <w:rFonts w:ascii="Times New Roman" w:hAnsi="Times New Roman"/>
                <w:b/>
                <w:sz w:val="24"/>
              </w:rPr>
              <w:t xml:space="preserve">TR FINANCE LLC, </w:t>
            </w:r>
            <w:r>
              <w:rPr>
                <w:rFonts w:ascii="Times New Roman" w:hAnsi="Times New Roman"/>
                <w:sz w:val="24"/>
              </w:rPr>
              <w:t>as Issuer</w:t>
            </w:r>
          </w:p>
        </w:tc>
      </w:tr>
      <w:tr>
        <w:trPr>
          <w:trHeight w:val="240" w:hRule="atLeast"/>
        </w:trPr>
        <w:tc>
          <w:tcPr>
            <w:tcW w:w="459" w:type="dxa"/>
            <w:tcBorders/>
            <w:vAlign w:val="center"/>
          </w:tcPr>
          <w:p>
            <w:pPr>
              <w:pStyle w:val="TableContents"/>
              <w:bidi w:val="0"/>
              <w:spacing w:before="0" w:after="283"/>
              <w:jc w:val="left"/>
              <w:rPr>
                <w:sz w:val="4"/>
                <w:szCs w:val="4"/>
              </w:rPr>
            </w:pPr>
            <w:r>
              <w:rPr>
                <w:sz w:val="4"/>
                <w:szCs w:val="4"/>
              </w:rPr>
            </w:r>
          </w:p>
        </w:tc>
        <w:tc>
          <w:tcPr>
            <w:tcW w:w="3623" w:type="dxa"/>
            <w:gridSpan w:val="4"/>
            <w:tcBorders/>
            <w:vAlign w:val="center"/>
          </w:tcPr>
          <w:p>
            <w:pPr>
              <w:pStyle w:val="TableContents"/>
              <w:bidi w:val="0"/>
              <w:spacing w:before="0" w:after="283"/>
              <w:jc w:val="left"/>
              <w:rPr>
                <w:sz w:val="4"/>
                <w:szCs w:val="4"/>
              </w:rPr>
            </w:pPr>
            <w:r>
              <w:rPr>
                <w:sz w:val="4"/>
                <w:szCs w:val="4"/>
              </w:rPr>
            </w:r>
          </w:p>
        </w:tc>
      </w:tr>
      <w:tr>
        <w:trPr/>
        <w:tc>
          <w:tcPr>
            <w:tcW w:w="459" w:type="dxa"/>
            <w:tcBorders/>
          </w:tcPr>
          <w:p>
            <w:pPr>
              <w:pStyle w:val="TableContents"/>
              <w:bidi w:val="0"/>
              <w:spacing w:before="0" w:after="0"/>
              <w:jc w:val="both"/>
              <w:rPr>
                <w:rFonts w:ascii="Times New Roman" w:hAnsi="Times New Roman"/>
                <w:sz w:val="24"/>
              </w:rPr>
            </w:pPr>
            <w:r>
              <w:rPr>
                <w:rFonts w:ascii="Times New Roman" w:hAnsi="Times New Roman"/>
                <w:sz w:val="24"/>
              </w:rPr>
              <w:t>By:</w:t>
            </w:r>
          </w:p>
        </w:tc>
        <w:tc>
          <w:tcPr>
            <w:tcW w:w="60" w:type="dxa"/>
            <w:tcBorders/>
            <w:vAlign w:val="bottom"/>
          </w:tcPr>
          <w:p>
            <w:pPr>
              <w:pStyle w:val="TableContents"/>
              <w:bidi w:val="0"/>
              <w:spacing w:before="0" w:after="283"/>
              <w:jc w:val="left"/>
              <w:rPr/>
            </w:pPr>
            <w:r>
              <w:rPr/>
              <w:t> </w:t>
            </w:r>
          </w:p>
        </w:tc>
        <w:tc>
          <w:tcPr>
            <w:tcW w:w="3563" w:type="dxa"/>
            <w:gridSpan w:val="3"/>
            <w:tcBorders/>
          </w:tcPr>
          <w:p>
            <w:pPr>
              <w:pStyle w:val="TableContents"/>
              <w:pBdr>
                <w:bottom w:val="single" w:sz="2" w:space="1" w:color="000000"/>
              </w:pBdr>
              <w:bidi w:val="0"/>
              <w:spacing w:before="0" w:after="20"/>
              <w:jc w:val="both"/>
              <w:rPr>
                <w:rFonts w:ascii="Times New Roman" w:hAnsi="Times New Roman"/>
                <w:sz w:val="24"/>
              </w:rPr>
            </w:pPr>
            <w:r>
              <w:rPr>
                <w:rFonts w:ascii="Times New Roman" w:hAnsi="Times New Roman"/>
                <w:sz w:val="24"/>
              </w:rPr>
              <w:t>/s/ Richard Napolitano</w:t>
            </w:r>
          </w:p>
        </w:tc>
      </w:tr>
      <w:tr>
        <w:trPr/>
        <w:tc>
          <w:tcPr>
            <w:tcW w:w="45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07" w:type="dxa"/>
            <w:tcBorders/>
          </w:tcPr>
          <w:p>
            <w:pPr>
              <w:pStyle w:val="TableContents"/>
              <w:bidi w:val="0"/>
              <w:spacing w:before="0" w:after="0"/>
              <w:jc w:val="both"/>
              <w:rPr>
                <w:rFonts w:ascii="Times New Roman" w:hAnsi="Times New Roman"/>
                <w:sz w:val="24"/>
              </w:rPr>
            </w:pPr>
            <w:r>
              <w:rPr>
                <w:rFonts w:ascii="Times New Roman" w:hAnsi="Times New Roman"/>
                <w:sz w:val="24"/>
              </w:rPr>
              <w:t>Name:</w:t>
            </w:r>
          </w:p>
        </w:tc>
        <w:tc>
          <w:tcPr>
            <w:tcW w:w="60" w:type="dxa"/>
            <w:tcBorders/>
            <w:vAlign w:val="bottom"/>
          </w:tcPr>
          <w:p>
            <w:pPr>
              <w:pStyle w:val="TableContents"/>
              <w:bidi w:val="0"/>
              <w:spacing w:before="0" w:after="283"/>
              <w:jc w:val="left"/>
              <w:rPr/>
            </w:pPr>
            <w:r>
              <w:rPr/>
              <w:t> </w:t>
            </w:r>
          </w:p>
        </w:tc>
        <w:tc>
          <w:tcPr>
            <w:tcW w:w="2796" w:type="dxa"/>
            <w:tcBorders/>
          </w:tcPr>
          <w:p>
            <w:pPr>
              <w:pStyle w:val="TableContents"/>
              <w:bidi w:val="0"/>
              <w:spacing w:before="0" w:after="0"/>
              <w:jc w:val="both"/>
              <w:rPr>
                <w:rFonts w:ascii="Times New Roman" w:hAnsi="Times New Roman"/>
                <w:sz w:val="24"/>
              </w:rPr>
            </w:pPr>
            <w:r>
              <w:rPr>
                <w:rFonts w:ascii="Times New Roman" w:hAnsi="Times New Roman"/>
                <w:sz w:val="24"/>
              </w:rPr>
              <w:t>Richard Napolitano</w:t>
            </w:r>
          </w:p>
        </w:tc>
      </w:tr>
      <w:tr>
        <w:trPr/>
        <w:tc>
          <w:tcPr>
            <w:tcW w:w="45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07" w:type="dxa"/>
            <w:tcBorders/>
          </w:tcPr>
          <w:p>
            <w:pPr>
              <w:pStyle w:val="TableContents"/>
              <w:bidi w:val="0"/>
              <w:spacing w:before="0" w:after="0"/>
              <w:jc w:val="both"/>
              <w:rPr>
                <w:rFonts w:ascii="Times New Roman" w:hAnsi="Times New Roman"/>
                <w:sz w:val="24"/>
              </w:rPr>
            </w:pPr>
            <w:r>
              <w:rPr>
                <w:rFonts w:ascii="Times New Roman" w:hAnsi="Times New Roman"/>
                <w:sz w:val="24"/>
              </w:rPr>
              <w:t>Title:</w:t>
            </w:r>
          </w:p>
        </w:tc>
        <w:tc>
          <w:tcPr>
            <w:tcW w:w="60" w:type="dxa"/>
            <w:tcBorders/>
            <w:vAlign w:val="bottom"/>
          </w:tcPr>
          <w:p>
            <w:pPr>
              <w:pStyle w:val="TableContents"/>
              <w:bidi w:val="0"/>
              <w:spacing w:before="0" w:after="283"/>
              <w:jc w:val="left"/>
              <w:rPr/>
            </w:pPr>
            <w:r>
              <w:rPr/>
              <w:t> </w:t>
            </w:r>
          </w:p>
        </w:tc>
        <w:tc>
          <w:tcPr>
            <w:tcW w:w="2796" w:type="dxa"/>
            <w:tcBorders/>
          </w:tcPr>
          <w:p>
            <w:pPr>
              <w:pStyle w:val="TableContents"/>
              <w:bidi w:val="0"/>
              <w:spacing w:before="0" w:after="0"/>
              <w:jc w:val="both"/>
              <w:rPr>
                <w:rFonts w:ascii="Times New Roman" w:hAnsi="Times New Roman"/>
                <w:sz w:val="24"/>
              </w:rPr>
            </w:pPr>
            <w:r>
              <w:rPr>
                <w:rFonts w:ascii="Times New Roman" w:hAnsi="Times New Roman"/>
                <w:sz w:val="24"/>
              </w:rPr>
              <w:t>Chief Financial Officer</w:t>
            </w:r>
          </w:p>
        </w:tc>
      </w:tr>
      <w:tr>
        <w:trPr>
          <w:trHeight w:val="735"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0"/>
              <w:jc w:val="both"/>
              <w:rPr>
                <w:rFonts w:ascii="Times New Roman" w:hAnsi="Times New Roman"/>
                <w:sz w:val="24"/>
              </w:rPr>
            </w:pPr>
            <w:r>
              <w:rPr>
                <w:rFonts w:ascii="Times New Roman" w:hAnsi="Times New Roman"/>
                <w:b/>
                <w:sz w:val="24"/>
              </w:rPr>
              <w:t>THOMSON REUTERS</w:t>
              <w:br/>
              <w:t>CORPORATION</w:t>
            </w:r>
            <w:r>
              <w:rPr>
                <w:rFonts w:ascii="Times New Roman" w:hAnsi="Times New Roman"/>
                <w:sz w:val="24"/>
              </w:rPr>
              <w:t>, as Parent Guarantor</w:t>
            </w:r>
          </w:p>
        </w:tc>
      </w:tr>
      <w:tr>
        <w:trPr>
          <w:trHeight w:val="240" w:hRule="atLeast"/>
        </w:trPr>
        <w:tc>
          <w:tcPr>
            <w:tcW w:w="459" w:type="dxa"/>
            <w:tcBorders/>
            <w:vAlign w:val="center"/>
          </w:tcPr>
          <w:p>
            <w:pPr>
              <w:pStyle w:val="TableContents"/>
              <w:bidi w:val="0"/>
              <w:spacing w:before="0" w:after="283"/>
              <w:jc w:val="left"/>
              <w:rPr>
                <w:sz w:val="4"/>
                <w:szCs w:val="4"/>
              </w:rPr>
            </w:pPr>
            <w:r>
              <w:rPr>
                <w:sz w:val="4"/>
                <w:szCs w:val="4"/>
              </w:rPr>
            </w:r>
          </w:p>
        </w:tc>
        <w:tc>
          <w:tcPr>
            <w:tcW w:w="3623" w:type="dxa"/>
            <w:gridSpan w:val="4"/>
            <w:tcBorders/>
            <w:vAlign w:val="center"/>
          </w:tcPr>
          <w:p>
            <w:pPr>
              <w:pStyle w:val="TableContents"/>
              <w:bidi w:val="0"/>
              <w:spacing w:before="0" w:after="283"/>
              <w:jc w:val="left"/>
              <w:rPr>
                <w:sz w:val="4"/>
                <w:szCs w:val="4"/>
              </w:rPr>
            </w:pPr>
            <w:r>
              <w:rPr>
                <w:sz w:val="4"/>
                <w:szCs w:val="4"/>
              </w:rPr>
            </w:r>
          </w:p>
        </w:tc>
      </w:tr>
      <w:tr>
        <w:trPr/>
        <w:tc>
          <w:tcPr>
            <w:tcW w:w="459" w:type="dxa"/>
            <w:tcBorders/>
          </w:tcPr>
          <w:p>
            <w:pPr>
              <w:pStyle w:val="TableContents"/>
              <w:bidi w:val="0"/>
              <w:spacing w:before="0" w:after="0"/>
              <w:jc w:val="both"/>
              <w:rPr>
                <w:rFonts w:ascii="Times New Roman" w:hAnsi="Times New Roman"/>
                <w:sz w:val="24"/>
              </w:rPr>
            </w:pPr>
            <w:r>
              <w:rPr>
                <w:rFonts w:ascii="Times New Roman" w:hAnsi="Times New Roman"/>
                <w:sz w:val="24"/>
              </w:rPr>
              <w:t>By:</w:t>
            </w:r>
          </w:p>
        </w:tc>
        <w:tc>
          <w:tcPr>
            <w:tcW w:w="60" w:type="dxa"/>
            <w:tcBorders/>
            <w:vAlign w:val="bottom"/>
          </w:tcPr>
          <w:p>
            <w:pPr>
              <w:pStyle w:val="TableContents"/>
              <w:bidi w:val="0"/>
              <w:spacing w:before="0" w:after="283"/>
              <w:jc w:val="left"/>
              <w:rPr/>
            </w:pPr>
            <w:r>
              <w:rPr/>
              <w:t> </w:t>
            </w:r>
          </w:p>
        </w:tc>
        <w:tc>
          <w:tcPr>
            <w:tcW w:w="3563" w:type="dxa"/>
            <w:gridSpan w:val="3"/>
            <w:tcBorders/>
          </w:tcPr>
          <w:p>
            <w:pPr>
              <w:pStyle w:val="TableContents"/>
              <w:pBdr>
                <w:bottom w:val="single" w:sz="2" w:space="1" w:color="000000"/>
              </w:pBdr>
              <w:bidi w:val="0"/>
              <w:spacing w:before="0" w:after="20"/>
              <w:jc w:val="both"/>
              <w:rPr>
                <w:rFonts w:ascii="Times New Roman" w:hAnsi="Times New Roman"/>
                <w:sz w:val="24"/>
              </w:rPr>
            </w:pPr>
            <w:r>
              <w:rPr>
                <w:rFonts w:ascii="Times New Roman" w:hAnsi="Times New Roman"/>
                <w:sz w:val="24"/>
              </w:rPr>
              <w:t>/s/ Chad MacLean</w:t>
            </w:r>
          </w:p>
        </w:tc>
      </w:tr>
      <w:tr>
        <w:trPr/>
        <w:tc>
          <w:tcPr>
            <w:tcW w:w="45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07" w:type="dxa"/>
            <w:tcBorders/>
          </w:tcPr>
          <w:p>
            <w:pPr>
              <w:pStyle w:val="TableContents"/>
              <w:bidi w:val="0"/>
              <w:spacing w:before="0" w:after="0"/>
              <w:jc w:val="both"/>
              <w:rPr>
                <w:rFonts w:ascii="Times New Roman" w:hAnsi="Times New Roman"/>
                <w:sz w:val="24"/>
              </w:rPr>
            </w:pPr>
            <w:r>
              <w:rPr>
                <w:rFonts w:ascii="Times New Roman" w:hAnsi="Times New Roman"/>
                <w:sz w:val="24"/>
              </w:rPr>
              <w:t>Name:</w:t>
            </w:r>
          </w:p>
        </w:tc>
        <w:tc>
          <w:tcPr>
            <w:tcW w:w="60" w:type="dxa"/>
            <w:tcBorders/>
            <w:vAlign w:val="bottom"/>
          </w:tcPr>
          <w:p>
            <w:pPr>
              <w:pStyle w:val="TableContents"/>
              <w:bidi w:val="0"/>
              <w:spacing w:before="0" w:after="283"/>
              <w:jc w:val="left"/>
              <w:rPr/>
            </w:pPr>
            <w:r>
              <w:rPr/>
              <w:t> </w:t>
            </w:r>
          </w:p>
        </w:tc>
        <w:tc>
          <w:tcPr>
            <w:tcW w:w="2796" w:type="dxa"/>
            <w:tcBorders/>
          </w:tcPr>
          <w:p>
            <w:pPr>
              <w:pStyle w:val="TableContents"/>
              <w:bidi w:val="0"/>
              <w:spacing w:before="0" w:after="0"/>
              <w:jc w:val="both"/>
              <w:rPr>
                <w:rFonts w:ascii="Times New Roman" w:hAnsi="Times New Roman"/>
                <w:sz w:val="24"/>
              </w:rPr>
            </w:pPr>
            <w:r>
              <w:rPr>
                <w:rFonts w:ascii="Times New Roman" w:hAnsi="Times New Roman"/>
                <w:sz w:val="24"/>
              </w:rPr>
              <w:t>Chad MacLean</w:t>
            </w:r>
          </w:p>
        </w:tc>
      </w:tr>
      <w:tr>
        <w:trPr/>
        <w:tc>
          <w:tcPr>
            <w:tcW w:w="45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07" w:type="dxa"/>
            <w:tcBorders/>
          </w:tcPr>
          <w:p>
            <w:pPr>
              <w:pStyle w:val="TableContents"/>
              <w:bidi w:val="0"/>
              <w:spacing w:before="0" w:after="0"/>
              <w:jc w:val="both"/>
              <w:rPr>
                <w:rFonts w:ascii="Times New Roman" w:hAnsi="Times New Roman"/>
                <w:sz w:val="24"/>
              </w:rPr>
            </w:pPr>
            <w:r>
              <w:rPr>
                <w:rFonts w:ascii="Times New Roman" w:hAnsi="Times New Roman"/>
                <w:sz w:val="24"/>
              </w:rPr>
              <w:t>Title:</w:t>
            </w:r>
          </w:p>
        </w:tc>
        <w:tc>
          <w:tcPr>
            <w:tcW w:w="60" w:type="dxa"/>
            <w:tcBorders/>
            <w:vAlign w:val="bottom"/>
          </w:tcPr>
          <w:p>
            <w:pPr>
              <w:pStyle w:val="TableContents"/>
              <w:bidi w:val="0"/>
              <w:spacing w:before="0" w:after="283"/>
              <w:jc w:val="left"/>
              <w:rPr/>
            </w:pPr>
            <w:r>
              <w:rPr/>
              <w:t> </w:t>
            </w:r>
          </w:p>
        </w:tc>
        <w:tc>
          <w:tcPr>
            <w:tcW w:w="2796" w:type="dxa"/>
            <w:tcBorders/>
          </w:tcPr>
          <w:p>
            <w:pPr>
              <w:pStyle w:val="TableContents"/>
              <w:bidi w:val="0"/>
              <w:spacing w:before="0" w:after="0"/>
              <w:jc w:val="both"/>
              <w:rPr>
                <w:rFonts w:ascii="Times New Roman" w:hAnsi="Times New Roman"/>
                <w:sz w:val="24"/>
              </w:rPr>
            </w:pPr>
            <w:r>
              <w:rPr>
                <w:rFonts w:ascii="Times New Roman" w:hAnsi="Times New Roman"/>
                <w:sz w:val="24"/>
              </w:rPr>
              <w:t>Treasurer</w:t>
            </w:r>
          </w:p>
        </w:tc>
      </w:tr>
      <w:tr>
        <w:trPr>
          <w:trHeight w:val="735"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0"/>
              <w:jc w:val="both"/>
              <w:rPr>
                <w:rFonts w:ascii="Times New Roman" w:hAnsi="Times New Roman"/>
                <w:sz w:val="24"/>
              </w:rPr>
            </w:pPr>
            <w:r>
              <w:rPr>
                <w:rFonts w:ascii="Times New Roman" w:hAnsi="Times New Roman"/>
                <w:b/>
                <w:sz w:val="24"/>
              </w:rPr>
              <w:t>WEST PUBLISHING</w:t>
              <w:br/>
              <w:t>CORPORATION</w:t>
            </w:r>
            <w:r>
              <w:rPr>
                <w:rFonts w:ascii="Times New Roman" w:hAnsi="Times New Roman"/>
                <w:sz w:val="24"/>
              </w:rPr>
              <w:t>, as a Subsidiary Guarantor</w:t>
            </w:r>
          </w:p>
        </w:tc>
      </w:tr>
      <w:tr>
        <w:trPr>
          <w:trHeight w:val="240" w:hRule="atLeast"/>
        </w:trPr>
        <w:tc>
          <w:tcPr>
            <w:tcW w:w="459" w:type="dxa"/>
            <w:tcBorders/>
            <w:vAlign w:val="center"/>
          </w:tcPr>
          <w:p>
            <w:pPr>
              <w:pStyle w:val="TableContents"/>
              <w:bidi w:val="0"/>
              <w:spacing w:before="0" w:after="283"/>
              <w:jc w:val="left"/>
              <w:rPr>
                <w:sz w:val="4"/>
                <w:szCs w:val="4"/>
              </w:rPr>
            </w:pPr>
            <w:r>
              <w:rPr>
                <w:sz w:val="4"/>
                <w:szCs w:val="4"/>
              </w:rPr>
            </w:r>
          </w:p>
        </w:tc>
        <w:tc>
          <w:tcPr>
            <w:tcW w:w="3623" w:type="dxa"/>
            <w:gridSpan w:val="4"/>
            <w:tcBorders/>
            <w:vAlign w:val="center"/>
          </w:tcPr>
          <w:p>
            <w:pPr>
              <w:pStyle w:val="TableContents"/>
              <w:bidi w:val="0"/>
              <w:spacing w:before="0" w:after="283"/>
              <w:jc w:val="left"/>
              <w:rPr>
                <w:sz w:val="4"/>
                <w:szCs w:val="4"/>
              </w:rPr>
            </w:pPr>
            <w:r>
              <w:rPr>
                <w:sz w:val="4"/>
                <w:szCs w:val="4"/>
              </w:rPr>
            </w:r>
          </w:p>
        </w:tc>
      </w:tr>
      <w:tr>
        <w:trPr/>
        <w:tc>
          <w:tcPr>
            <w:tcW w:w="459" w:type="dxa"/>
            <w:tcBorders/>
          </w:tcPr>
          <w:p>
            <w:pPr>
              <w:pStyle w:val="TableContents"/>
              <w:bidi w:val="0"/>
              <w:spacing w:before="0" w:after="0"/>
              <w:jc w:val="both"/>
              <w:rPr>
                <w:rFonts w:ascii="Times New Roman" w:hAnsi="Times New Roman"/>
                <w:sz w:val="24"/>
              </w:rPr>
            </w:pPr>
            <w:r>
              <w:rPr>
                <w:rFonts w:ascii="Times New Roman" w:hAnsi="Times New Roman"/>
                <w:sz w:val="24"/>
              </w:rPr>
              <w:t>By:</w:t>
            </w:r>
          </w:p>
        </w:tc>
        <w:tc>
          <w:tcPr>
            <w:tcW w:w="60" w:type="dxa"/>
            <w:tcBorders/>
            <w:vAlign w:val="bottom"/>
          </w:tcPr>
          <w:p>
            <w:pPr>
              <w:pStyle w:val="TableContents"/>
              <w:bidi w:val="0"/>
              <w:spacing w:before="0" w:after="283"/>
              <w:jc w:val="left"/>
              <w:rPr/>
            </w:pPr>
            <w:r>
              <w:rPr/>
              <w:t> </w:t>
            </w:r>
          </w:p>
        </w:tc>
        <w:tc>
          <w:tcPr>
            <w:tcW w:w="3563" w:type="dxa"/>
            <w:gridSpan w:val="3"/>
            <w:tcBorders/>
          </w:tcPr>
          <w:p>
            <w:pPr>
              <w:pStyle w:val="TableContents"/>
              <w:pBdr>
                <w:bottom w:val="single" w:sz="2" w:space="1" w:color="000000"/>
              </w:pBdr>
              <w:bidi w:val="0"/>
              <w:spacing w:before="0" w:after="20"/>
              <w:jc w:val="both"/>
              <w:rPr>
                <w:rFonts w:ascii="Times New Roman" w:hAnsi="Times New Roman"/>
                <w:sz w:val="24"/>
              </w:rPr>
            </w:pPr>
            <w:r>
              <w:rPr>
                <w:rFonts w:ascii="Times New Roman" w:hAnsi="Times New Roman"/>
                <w:sz w:val="24"/>
              </w:rPr>
              <w:t>/s/ Ragunath Ramanathan</w:t>
            </w:r>
          </w:p>
        </w:tc>
      </w:tr>
      <w:tr>
        <w:trPr/>
        <w:tc>
          <w:tcPr>
            <w:tcW w:w="45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07" w:type="dxa"/>
            <w:tcBorders/>
          </w:tcPr>
          <w:p>
            <w:pPr>
              <w:pStyle w:val="TableContents"/>
              <w:bidi w:val="0"/>
              <w:spacing w:before="0" w:after="0"/>
              <w:jc w:val="both"/>
              <w:rPr>
                <w:rFonts w:ascii="Times New Roman" w:hAnsi="Times New Roman"/>
                <w:sz w:val="24"/>
              </w:rPr>
            </w:pPr>
            <w:r>
              <w:rPr>
                <w:rFonts w:ascii="Times New Roman" w:hAnsi="Times New Roman"/>
                <w:sz w:val="24"/>
              </w:rPr>
              <w:t>Name:</w:t>
            </w:r>
          </w:p>
        </w:tc>
        <w:tc>
          <w:tcPr>
            <w:tcW w:w="60" w:type="dxa"/>
            <w:tcBorders/>
            <w:vAlign w:val="bottom"/>
          </w:tcPr>
          <w:p>
            <w:pPr>
              <w:pStyle w:val="TableContents"/>
              <w:bidi w:val="0"/>
              <w:spacing w:before="0" w:after="283"/>
              <w:jc w:val="left"/>
              <w:rPr/>
            </w:pPr>
            <w:r>
              <w:rPr/>
              <w:t> </w:t>
            </w:r>
          </w:p>
        </w:tc>
        <w:tc>
          <w:tcPr>
            <w:tcW w:w="2796" w:type="dxa"/>
            <w:tcBorders/>
          </w:tcPr>
          <w:p>
            <w:pPr>
              <w:pStyle w:val="TableContents"/>
              <w:bidi w:val="0"/>
              <w:spacing w:before="0" w:after="0"/>
              <w:jc w:val="both"/>
              <w:rPr>
                <w:rFonts w:ascii="Times New Roman" w:hAnsi="Times New Roman"/>
                <w:sz w:val="24"/>
              </w:rPr>
            </w:pPr>
            <w:r>
              <w:rPr>
                <w:rFonts w:ascii="Times New Roman" w:hAnsi="Times New Roman"/>
                <w:sz w:val="24"/>
              </w:rPr>
              <w:t>Ragunath Ramanathan</w:t>
            </w:r>
          </w:p>
        </w:tc>
      </w:tr>
      <w:tr>
        <w:trPr/>
        <w:tc>
          <w:tcPr>
            <w:tcW w:w="45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07" w:type="dxa"/>
            <w:tcBorders/>
          </w:tcPr>
          <w:p>
            <w:pPr>
              <w:pStyle w:val="TableContents"/>
              <w:bidi w:val="0"/>
              <w:spacing w:before="0" w:after="0"/>
              <w:jc w:val="both"/>
              <w:rPr>
                <w:rFonts w:ascii="Times New Roman" w:hAnsi="Times New Roman"/>
                <w:sz w:val="24"/>
              </w:rPr>
            </w:pPr>
            <w:r>
              <w:rPr>
                <w:rFonts w:ascii="Times New Roman" w:hAnsi="Times New Roman"/>
                <w:sz w:val="24"/>
              </w:rPr>
              <w:t>Title:</w:t>
            </w:r>
          </w:p>
        </w:tc>
        <w:tc>
          <w:tcPr>
            <w:tcW w:w="60" w:type="dxa"/>
            <w:tcBorders/>
            <w:vAlign w:val="bottom"/>
          </w:tcPr>
          <w:p>
            <w:pPr>
              <w:pStyle w:val="TableContents"/>
              <w:bidi w:val="0"/>
              <w:spacing w:before="0" w:after="283"/>
              <w:jc w:val="left"/>
              <w:rPr/>
            </w:pPr>
            <w:r>
              <w:rPr/>
              <w:t> </w:t>
            </w:r>
          </w:p>
        </w:tc>
        <w:tc>
          <w:tcPr>
            <w:tcW w:w="2796" w:type="dxa"/>
            <w:tcBorders/>
          </w:tcPr>
          <w:p>
            <w:pPr>
              <w:pStyle w:val="TableContents"/>
              <w:bidi w:val="0"/>
              <w:spacing w:before="0" w:after="0"/>
              <w:jc w:val="both"/>
              <w:rPr>
                <w:rFonts w:ascii="Times New Roman" w:hAnsi="Times New Roman"/>
                <w:sz w:val="24"/>
              </w:rPr>
            </w:pPr>
            <w:r>
              <w:rPr>
                <w:rFonts w:ascii="Times New Roman" w:hAnsi="Times New Roman"/>
                <w:sz w:val="24"/>
              </w:rPr>
              <w:t>President</w:t>
            </w:r>
          </w:p>
        </w:tc>
      </w:tr>
    </w:tbl>
    <w:p>
      <w:pPr>
        <w:pStyle w:val="TextBody"/>
        <w:bidi w:val="0"/>
        <w:spacing w:before="0" w:after="0"/>
        <w:jc w:val="left"/>
        <w:rPr/>
      </w:pPr>
      <w:r>
        <w:rPr/>
        <w:t> </w:t>
      </w:r>
    </w:p>
    <w:p>
      <w:pPr>
        <w:pStyle w:val="TextBody"/>
        <w:bidi w:val="0"/>
        <w:spacing w:before="2400" w:after="0"/>
        <w:jc w:val="center"/>
        <w:rPr>
          <w:rFonts w:ascii="Times New Roman" w:hAnsi="Times New Roman"/>
          <w:i/>
          <w:sz w:val="20"/>
        </w:rPr>
      </w:pPr>
      <w:r>
        <w:rPr>
          <w:rFonts w:ascii="Times New Roman" w:hAnsi="Times New Roman"/>
          <w:i/>
          <w:sz w:val="20"/>
        </w:rPr>
        <w:t xml:space="preserve">Signature Page to Sixth Supplemental Indenture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58"/>
        <w:gridCol w:w="60"/>
        <w:gridCol w:w="736"/>
        <w:gridCol w:w="60"/>
        <w:gridCol w:w="2768"/>
      </w:tblGrid>
      <w:tr>
        <w:trPr/>
        <w:tc>
          <w:tcPr>
            <w:tcW w:w="45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768"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0"/>
              <w:jc w:val="both"/>
              <w:rPr>
                <w:rFonts w:ascii="Times New Roman" w:hAnsi="Times New Roman"/>
                <w:b/>
                <w:sz w:val="24"/>
              </w:rPr>
            </w:pPr>
            <w:r>
              <w:rPr>
                <w:rFonts w:ascii="Times New Roman" w:hAnsi="Times New Roman"/>
                <w:b/>
                <w:sz w:val="24"/>
              </w:rPr>
              <w:t>THOMSON REUTERS</w:t>
            </w:r>
          </w:p>
          <w:p>
            <w:pPr>
              <w:pStyle w:val="TableContents"/>
              <w:bidi w:val="0"/>
              <w:spacing w:before="0" w:after="20"/>
              <w:jc w:val="both"/>
              <w:rPr>
                <w:rFonts w:ascii="Times New Roman" w:hAnsi="Times New Roman"/>
                <w:sz w:val="24"/>
              </w:rPr>
            </w:pPr>
            <w:r>
              <w:rPr>
                <w:rFonts w:ascii="Times New Roman" w:hAnsi="Times New Roman"/>
                <w:b/>
                <w:sz w:val="24"/>
              </w:rPr>
              <w:t>APPLICATIONS INC.</w:t>
            </w:r>
            <w:r>
              <w:rPr>
                <w:rFonts w:ascii="Times New Roman" w:hAnsi="Times New Roman"/>
                <w:sz w:val="24"/>
              </w:rPr>
              <w:t>, as a Subsidiary Guarantor</w:t>
            </w:r>
          </w:p>
        </w:tc>
      </w:tr>
      <w:tr>
        <w:trPr>
          <w:trHeight w:val="240" w:hRule="atLeast"/>
        </w:trPr>
        <w:tc>
          <w:tcPr>
            <w:tcW w:w="458" w:type="dxa"/>
            <w:tcBorders/>
            <w:vAlign w:val="center"/>
          </w:tcPr>
          <w:p>
            <w:pPr>
              <w:pStyle w:val="TableContents"/>
              <w:bidi w:val="0"/>
              <w:spacing w:before="0" w:after="283"/>
              <w:jc w:val="left"/>
              <w:rPr>
                <w:sz w:val="4"/>
                <w:szCs w:val="4"/>
              </w:rPr>
            </w:pPr>
            <w:r>
              <w:rPr>
                <w:sz w:val="4"/>
                <w:szCs w:val="4"/>
              </w:rPr>
            </w:r>
          </w:p>
        </w:tc>
        <w:tc>
          <w:tcPr>
            <w:tcW w:w="3624" w:type="dxa"/>
            <w:gridSpan w:val="4"/>
            <w:tcBorders/>
            <w:vAlign w:val="center"/>
          </w:tcPr>
          <w:p>
            <w:pPr>
              <w:pStyle w:val="TableContents"/>
              <w:bidi w:val="0"/>
              <w:spacing w:before="0" w:after="283"/>
              <w:jc w:val="left"/>
              <w:rPr>
                <w:sz w:val="4"/>
                <w:szCs w:val="4"/>
              </w:rPr>
            </w:pPr>
            <w:r>
              <w:rPr>
                <w:sz w:val="4"/>
                <w:szCs w:val="4"/>
              </w:rPr>
            </w:r>
          </w:p>
        </w:tc>
      </w:tr>
      <w:tr>
        <w:trPr/>
        <w:tc>
          <w:tcPr>
            <w:tcW w:w="458" w:type="dxa"/>
            <w:tcBorders/>
          </w:tcPr>
          <w:p>
            <w:pPr>
              <w:pStyle w:val="TableContents"/>
              <w:bidi w:val="0"/>
              <w:spacing w:before="0" w:after="0"/>
              <w:jc w:val="both"/>
              <w:rPr>
                <w:rFonts w:ascii="Times New Roman" w:hAnsi="Times New Roman"/>
                <w:sz w:val="24"/>
              </w:rPr>
            </w:pPr>
            <w:r>
              <w:rPr>
                <w:rFonts w:ascii="Times New Roman" w:hAnsi="Times New Roman"/>
                <w:sz w:val="24"/>
              </w:rPr>
              <w:t>By:</w:t>
            </w:r>
          </w:p>
        </w:tc>
        <w:tc>
          <w:tcPr>
            <w:tcW w:w="60" w:type="dxa"/>
            <w:tcBorders/>
            <w:vAlign w:val="bottom"/>
          </w:tcPr>
          <w:p>
            <w:pPr>
              <w:pStyle w:val="TableContents"/>
              <w:bidi w:val="0"/>
              <w:spacing w:before="0" w:after="283"/>
              <w:jc w:val="left"/>
              <w:rPr/>
            </w:pPr>
            <w:r>
              <w:rPr/>
              <w:t> </w:t>
            </w:r>
          </w:p>
        </w:tc>
        <w:tc>
          <w:tcPr>
            <w:tcW w:w="3564" w:type="dxa"/>
            <w:gridSpan w:val="3"/>
            <w:tcBorders/>
          </w:tcPr>
          <w:p>
            <w:pPr>
              <w:pStyle w:val="TableContents"/>
              <w:pBdr>
                <w:bottom w:val="single" w:sz="2" w:space="1" w:color="000000"/>
              </w:pBdr>
              <w:bidi w:val="0"/>
              <w:spacing w:before="0" w:after="20"/>
              <w:jc w:val="both"/>
              <w:rPr>
                <w:rFonts w:ascii="Times New Roman" w:hAnsi="Times New Roman"/>
                <w:sz w:val="24"/>
              </w:rPr>
            </w:pPr>
            <w:r>
              <w:rPr>
                <w:rFonts w:ascii="Times New Roman" w:hAnsi="Times New Roman"/>
                <w:sz w:val="24"/>
              </w:rPr>
              <w:t>/s/ Ragunath Ramanathan</w:t>
            </w:r>
          </w:p>
        </w:tc>
      </w:tr>
      <w:tr>
        <w:trPr/>
        <w:tc>
          <w:tcPr>
            <w:tcW w:w="45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36" w:type="dxa"/>
            <w:tcBorders/>
          </w:tcPr>
          <w:p>
            <w:pPr>
              <w:pStyle w:val="TableContents"/>
              <w:bidi w:val="0"/>
              <w:spacing w:before="0" w:after="0"/>
              <w:jc w:val="both"/>
              <w:rPr>
                <w:rFonts w:ascii="Times New Roman" w:hAnsi="Times New Roman"/>
                <w:sz w:val="24"/>
              </w:rPr>
            </w:pPr>
            <w:r>
              <w:rPr>
                <w:rFonts w:ascii="Times New Roman" w:hAnsi="Times New Roman"/>
                <w:sz w:val="24"/>
              </w:rPr>
              <w:t>Name:</w:t>
            </w:r>
          </w:p>
        </w:tc>
        <w:tc>
          <w:tcPr>
            <w:tcW w:w="60" w:type="dxa"/>
            <w:tcBorders/>
            <w:vAlign w:val="bottom"/>
          </w:tcPr>
          <w:p>
            <w:pPr>
              <w:pStyle w:val="TableContents"/>
              <w:bidi w:val="0"/>
              <w:spacing w:before="0" w:after="283"/>
              <w:jc w:val="left"/>
              <w:rPr/>
            </w:pPr>
            <w:r>
              <w:rPr/>
              <w:t> </w:t>
            </w:r>
          </w:p>
        </w:tc>
        <w:tc>
          <w:tcPr>
            <w:tcW w:w="2768" w:type="dxa"/>
            <w:tcBorders/>
          </w:tcPr>
          <w:p>
            <w:pPr>
              <w:pStyle w:val="TableContents"/>
              <w:bidi w:val="0"/>
              <w:spacing w:before="0" w:after="0"/>
              <w:jc w:val="both"/>
              <w:rPr>
                <w:rFonts w:ascii="Times New Roman" w:hAnsi="Times New Roman"/>
                <w:sz w:val="24"/>
              </w:rPr>
            </w:pPr>
            <w:r>
              <w:rPr>
                <w:rFonts w:ascii="Times New Roman" w:hAnsi="Times New Roman"/>
                <w:sz w:val="24"/>
              </w:rPr>
              <w:t>Ragunath Ramanathan</w:t>
            </w:r>
          </w:p>
        </w:tc>
      </w:tr>
      <w:tr>
        <w:trPr/>
        <w:tc>
          <w:tcPr>
            <w:tcW w:w="45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36" w:type="dxa"/>
            <w:tcBorders/>
          </w:tcPr>
          <w:p>
            <w:pPr>
              <w:pStyle w:val="TableContents"/>
              <w:bidi w:val="0"/>
              <w:spacing w:before="0" w:after="0"/>
              <w:jc w:val="both"/>
              <w:rPr>
                <w:rFonts w:ascii="Times New Roman" w:hAnsi="Times New Roman"/>
                <w:sz w:val="24"/>
              </w:rPr>
            </w:pPr>
            <w:r>
              <w:rPr>
                <w:rFonts w:ascii="Times New Roman" w:hAnsi="Times New Roman"/>
                <w:sz w:val="24"/>
              </w:rPr>
              <w:t>Title:</w:t>
            </w:r>
          </w:p>
        </w:tc>
        <w:tc>
          <w:tcPr>
            <w:tcW w:w="60" w:type="dxa"/>
            <w:tcBorders/>
            <w:vAlign w:val="bottom"/>
          </w:tcPr>
          <w:p>
            <w:pPr>
              <w:pStyle w:val="TableContents"/>
              <w:bidi w:val="0"/>
              <w:spacing w:before="0" w:after="283"/>
              <w:jc w:val="left"/>
              <w:rPr/>
            </w:pPr>
            <w:r>
              <w:rPr/>
              <w:t> </w:t>
            </w:r>
          </w:p>
        </w:tc>
        <w:tc>
          <w:tcPr>
            <w:tcW w:w="2768" w:type="dxa"/>
            <w:tcBorders/>
          </w:tcPr>
          <w:p>
            <w:pPr>
              <w:pStyle w:val="TableContents"/>
              <w:bidi w:val="0"/>
              <w:spacing w:before="0" w:after="0"/>
              <w:jc w:val="both"/>
              <w:rPr>
                <w:rFonts w:ascii="Times New Roman" w:hAnsi="Times New Roman"/>
                <w:sz w:val="24"/>
              </w:rPr>
            </w:pPr>
            <w:r>
              <w:rPr>
                <w:rFonts w:ascii="Times New Roman" w:hAnsi="Times New Roman"/>
                <w:sz w:val="24"/>
              </w:rPr>
              <w:t>President</w:t>
            </w:r>
          </w:p>
        </w:tc>
      </w:tr>
      <w:tr>
        <w:trPr>
          <w:trHeight w:val="735"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0"/>
              <w:jc w:val="both"/>
              <w:rPr>
                <w:rFonts w:ascii="Times New Roman" w:hAnsi="Times New Roman"/>
                <w:sz w:val="24"/>
              </w:rPr>
            </w:pPr>
            <w:r>
              <w:rPr>
                <w:rFonts w:ascii="Times New Roman" w:hAnsi="Times New Roman"/>
                <w:b/>
                <w:sz w:val="24"/>
              </w:rPr>
              <w:t>THOMSON REUTERS (TAX</w:t>
            </w:r>
            <w:r>
              <w:rPr>
                <w:rFonts w:ascii="Times New Roman" w:hAnsi="Times New Roman"/>
                <w:sz w:val="24"/>
              </w:rPr>
              <w:t> </w:t>
            </w:r>
            <w:r>
              <w:rPr>
                <w:rFonts w:ascii="Times New Roman" w:hAnsi="Times New Roman"/>
                <w:b/>
                <w:sz w:val="24"/>
              </w:rPr>
              <w:t>&amp;</w:t>
            </w:r>
          </w:p>
          <w:p>
            <w:pPr>
              <w:pStyle w:val="TableContents"/>
              <w:bidi w:val="0"/>
              <w:spacing w:before="0" w:after="20"/>
              <w:jc w:val="both"/>
              <w:rPr>
                <w:rFonts w:ascii="Times New Roman" w:hAnsi="Times New Roman"/>
                <w:sz w:val="24"/>
              </w:rPr>
            </w:pPr>
            <w:r>
              <w:rPr>
                <w:rFonts w:ascii="Times New Roman" w:hAnsi="Times New Roman"/>
                <w:b/>
                <w:sz w:val="24"/>
              </w:rPr>
              <w:t>ACCOUNTING) INC.</w:t>
            </w:r>
            <w:r>
              <w:rPr>
                <w:rFonts w:ascii="Times New Roman" w:hAnsi="Times New Roman"/>
                <w:sz w:val="24"/>
              </w:rPr>
              <w:t>, as a Subsidiary Guarantor</w:t>
            </w:r>
          </w:p>
        </w:tc>
      </w:tr>
      <w:tr>
        <w:trPr>
          <w:trHeight w:val="240" w:hRule="atLeast"/>
        </w:trPr>
        <w:tc>
          <w:tcPr>
            <w:tcW w:w="458" w:type="dxa"/>
            <w:tcBorders/>
            <w:vAlign w:val="center"/>
          </w:tcPr>
          <w:p>
            <w:pPr>
              <w:pStyle w:val="TableContents"/>
              <w:bidi w:val="0"/>
              <w:spacing w:before="0" w:after="283"/>
              <w:jc w:val="left"/>
              <w:rPr>
                <w:sz w:val="4"/>
                <w:szCs w:val="4"/>
              </w:rPr>
            </w:pPr>
            <w:r>
              <w:rPr>
                <w:sz w:val="4"/>
                <w:szCs w:val="4"/>
              </w:rPr>
            </w:r>
          </w:p>
        </w:tc>
        <w:tc>
          <w:tcPr>
            <w:tcW w:w="3624" w:type="dxa"/>
            <w:gridSpan w:val="4"/>
            <w:tcBorders/>
            <w:vAlign w:val="center"/>
          </w:tcPr>
          <w:p>
            <w:pPr>
              <w:pStyle w:val="TableContents"/>
              <w:bidi w:val="0"/>
              <w:spacing w:before="0" w:after="283"/>
              <w:jc w:val="left"/>
              <w:rPr>
                <w:sz w:val="4"/>
                <w:szCs w:val="4"/>
              </w:rPr>
            </w:pPr>
            <w:r>
              <w:rPr>
                <w:sz w:val="4"/>
                <w:szCs w:val="4"/>
              </w:rPr>
            </w:r>
          </w:p>
        </w:tc>
      </w:tr>
      <w:tr>
        <w:trPr/>
        <w:tc>
          <w:tcPr>
            <w:tcW w:w="458" w:type="dxa"/>
            <w:tcBorders/>
          </w:tcPr>
          <w:p>
            <w:pPr>
              <w:pStyle w:val="TableContents"/>
              <w:bidi w:val="0"/>
              <w:spacing w:before="0" w:after="0"/>
              <w:jc w:val="both"/>
              <w:rPr>
                <w:rFonts w:ascii="Times New Roman" w:hAnsi="Times New Roman"/>
                <w:sz w:val="24"/>
              </w:rPr>
            </w:pPr>
            <w:r>
              <w:rPr>
                <w:rFonts w:ascii="Times New Roman" w:hAnsi="Times New Roman"/>
                <w:sz w:val="24"/>
              </w:rPr>
              <w:t>By:</w:t>
            </w:r>
          </w:p>
        </w:tc>
        <w:tc>
          <w:tcPr>
            <w:tcW w:w="60" w:type="dxa"/>
            <w:tcBorders/>
            <w:vAlign w:val="bottom"/>
          </w:tcPr>
          <w:p>
            <w:pPr>
              <w:pStyle w:val="TableContents"/>
              <w:bidi w:val="0"/>
              <w:spacing w:before="0" w:after="283"/>
              <w:jc w:val="left"/>
              <w:rPr/>
            </w:pPr>
            <w:r>
              <w:rPr/>
              <w:t> </w:t>
            </w:r>
          </w:p>
        </w:tc>
        <w:tc>
          <w:tcPr>
            <w:tcW w:w="3564" w:type="dxa"/>
            <w:gridSpan w:val="3"/>
            <w:tcBorders/>
          </w:tcPr>
          <w:p>
            <w:pPr>
              <w:pStyle w:val="TableContents"/>
              <w:pBdr>
                <w:bottom w:val="single" w:sz="2" w:space="1" w:color="000000"/>
              </w:pBdr>
              <w:bidi w:val="0"/>
              <w:spacing w:before="0" w:after="20"/>
              <w:jc w:val="both"/>
              <w:rPr>
                <w:rFonts w:ascii="Times New Roman" w:hAnsi="Times New Roman"/>
                <w:sz w:val="24"/>
              </w:rPr>
            </w:pPr>
            <w:r>
              <w:rPr>
                <w:rFonts w:ascii="Times New Roman" w:hAnsi="Times New Roman"/>
                <w:sz w:val="24"/>
              </w:rPr>
              <w:t>/s/ Elizabeth Beastrom</w:t>
            </w:r>
          </w:p>
        </w:tc>
      </w:tr>
      <w:tr>
        <w:trPr/>
        <w:tc>
          <w:tcPr>
            <w:tcW w:w="45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36" w:type="dxa"/>
            <w:tcBorders/>
          </w:tcPr>
          <w:p>
            <w:pPr>
              <w:pStyle w:val="TableContents"/>
              <w:bidi w:val="0"/>
              <w:spacing w:before="0" w:after="0"/>
              <w:jc w:val="both"/>
              <w:rPr>
                <w:rFonts w:ascii="Times New Roman" w:hAnsi="Times New Roman"/>
                <w:sz w:val="24"/>
              </w:rPr>
            </w:pPr>
            <w:r>
              <w:rPr>
                <w:rFonts w:ascii="Times New Roman" w:hAnsi="Times New Roman"/>
                <w:sz w:val="24"/>
              </w:rPr>
              <w:t>Name:</w:t>
            </w:r>
          </w:p>
        </w:tc>
        <w:tc>
          <w:tcPr>
            <w:tcW w:w="60" w:type="dxa"/>
            <w:tcBorders/>
            <w:vAlign w:val="bottom"/>
          </w:tcPr>
          <w:p>
            <w:pPr>
              <w:pStyle w:val="TableContents"/>
              <w:bidi w:val="0"/>
              <w:spacing w:before="0" w:after="283"/>
              <w:jc w:val="left"/>
              <w:rPr/>
            </w:pPr>
            <w:r>
              <w:rPr/>
              <w:t> </w:t>
            </w:r>
          </w:p>
        </w:tc>
        <w:tc>
          <w:tcPr>
            <w:tcW w:w="2768" w:type="dxa"/>
            <w:tcBorders/>
          </w:tcPr>
          <w:p>
            <w:pPr>
              <w:pStyle w:val="TableContents"/>
              <w:bidi w:val="0"/>
              <w:spacing w:before="0" w:after="0"/>
              <w:jc w:val="both"/>
              <w:rPr>
                <w:rFonts w:ascii="Times New Roman" w:hAnsi="Times New Roman"/>
                <w:sz w:val="24"/>
              </w:rPr>
            </w:pPr>
            <w:r>
              <w:rPr>
                <w:rFonts w:ascii="Times New Roman" w:hAnsi="Times New Roman"/>
                <w:sz w:val="24"/>
              </w:rPr>
              <w:t>Elizabeth Beastrom</w:t>
            </w:r>
          </w:p>
        </w:tc>
      </w:tr>
      <w:tr>
        <w:trPr/>
        <w:tc>
          <w:tcPr>
            <w:tcW w:w="45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36" w:type="dxa"/>
            <w:tcBorders/>
          </w:tcPr>
          <w:p>
            <w:pPr>
              <w:pStyle w:val="TableContents"/>
              <w:bidi w:val="0"/>
              <w:spacing w:before="0" w:after="0"/>
              <w:jc w:val="both"/>
              <w:rPr>
                <w:rFonts w:ascii="Times New Roman" w:hAnsi="Times New Roman"/>
                <w:sz w:val="24"/>
              </w:rPr>
            </w:pPr>
            <w:r>
              <w:rPr>
                <w:rFonts w:ascii="Times New Roman" w:hAnsi="Times New Roman"/>
                <w:sz w:val="24"/>
              </w:rPr>
              <w:t>Title:</w:t>
            </w:r>
          </w:p>
        </w:tc>
        <w:tc>
          <w:tcPr>
            <w:tcW w:w="60" w:type="dxa"/>
            <w:tcBorders/>
            <w:vAlign w:val="bottom"/>
          </w:tcPr>
          <w:p>
            <w:pPr>
              <w:pStyle w:val="TableContents"/>
              <w:bidi w:val="0"/>
              <w:spacing w:before="0" w:after="283"/>
              <w:jc w:val="left"/>
              <w:rPr/>
            </w:pPr>
            <w:r>
              <w:rPr/>
              <w:t> </w:t>
            </w:r>
          </w:p>
        </w:tc>
        <w:tc>
          <w:tcPr>
            <w:tcW w:w="2768" w:type="dxa"/>
            <w:tcBorders/>
          </w:tcPr>
          <w:p>
            <w:pPr>
              <w:pStyle w:val="TableContents"/>
              <w:bidi w:val="0"/>
              <w:spacing w:before="0" w:after="0"/>
              <w:jc w:val="both"/>
              <w:rPr>
                <w:rFonts w:ascii="Times New Roman" w:hAnsi="Times New Roman"/>
                <w:sz w:val="24"/>
              </w:rPr>
            </w:pPr>
            <w:r>
              <w:rPr>
                <w:rFonts w:ascii="Times New Roman" w:hAnsi="Times New Roman"/>
                <w:sz w:val="24"/>
              </w:rPr>
              <w:t>President</w:t>
            </w:r>
          </w:p>
        </w:tc>
      </w:tr>
      <w:tr>
        <w:trPr>
          <w:trHeight w:val="735"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0"/>
              <w:jc w:val="both"/>
              <w:rPr>
                <w:rFonts w:ascii="Times New Roman" w:hAnsi="Times New Roman"/>
                <w:sz w:val="24"/>
              </w:rPr>
            </w:pPr>
            <w:r>
              <w:rPr>
                <w:rFonts w:ascii="Times New Roman" w:hAnsi="Times New Roman"/>
                <w:b/>
                <w:sz w:val="24"/>
              </w:rPr>
              <w:t>DEUTSCHE BANK TRUST</w:t>
              <w:br/>
              <w:t xml:space="preserve">COMPANY AMERICAS, </w:t>
            </w:r>
            <w:r>
              <w:rPr>
                <w:rFonts w:ascii="Times New Roman" w:hAnsi="Times New Roman"/>
                <w:sz w:val="24"/>
              </w:rPr>
              <w:t>as Notes Trustee</w:t>
            </w:r>
          </w:p>
        </w:tc>
      </w:tr>
      <w:tr>
        <w:trPr>
          <w:trHeight w:val="240" w:hRule="atLeast"/>
        </w:trPr>
        <w:tc>
          <w:tcPr>
            <w:tcW w:w="458" w:type="dxa"/>
            <w:tcBorders/>
            <w:vAlign w:val="center"/>
          </w:tcPr>
          <w:p>
            <w:pPr>
              <w:pStyle w:val="TableContents"/>
              <w:bidi w:val="0"/>
              <w:spacing w:before="0" w:after="283"/>
              <w:jc w:val="left"/>
              <w:rPr>
                <w:sz w:val="4"/>
                <w:szCs w:val="4"/>
              </w:rPr>
            </w:pPr>
            <w:r>
              <w:rPr>
                <w:sz w:val="4"/>
                <w:szCs w:val="4"/>
              </w:rPr>
            </w:r>
          </w:p>
        </w:tc>
        <w:tc>
          <w:tcPr>
            <w:tcW w:w="3624" w:type="dxa"/>
            <w:gridSpan w:val="4"/>
            <w:tcBorders/>
            <w:vAlign w:val="center"/>
          </w:tcPr>
          <w:p>
            <w:pPr>
              <w:pStyle w:val="TableContents"/>
              <w:bidi w:val="0"/>
              <w:spacing w:before="0" w:after="283"/>
              <w:jc w:val="left"/>
              <w:rPr>
                <w:sz w:val="4"/>
                <w:szCs w:val="4"/>
              </w:rPr>
            </w:pPr>
            <w:r>
              <w:rPr>
                <w:sz w:val="4"/>
                <w:szCs w:val="4"/>
              </w:rPr>
            </w:r>
          </w:p>
        </w:tc>
      </w:tr>
      <w:tr>
        <w:trPr/>
        <w:tc>
          <w:tcPr>
            <w:tcW w:w="458" w:type="dxa"/>
            <w:tcBorders/>
          </w:tcPr>
          <w:p>
            <w:pPr>
              <w:pStyle w:val="TableContents"/>
              <w:bidi w:val="0"/>
              <w:spacing w:before="0" w:after="0"/>
              <w:jc w:val="both"/>
              <w:rPr>
                <w:rFonts w:ascii="Times New Roman" w:hAnsi="Times New Roman"/>
                <w:sz w:val="24"/>
              </w:rPr>
            </w:pPr>
            <w:r>
              <w:rPr>
                <w:rFonts w:ascii="Times New Roman" w:hAnsi="Times New Roman"/>
                <w:sz w:val="24"/>
              </w:rPr>
              <w:t>By:</w:t>
            </w:r>
          </w:p>
        </w:tc>
        <w:tc>
          <w:tcPr>
            <w:tcW w:w="60" w:type="dxa"/>
            <w:tcBorders/>
            <w:vAlign w:val="bottom"/>
          </w:tcPr>
          <w:p>
            <w:pPr>
              <w:pStyle w:val="TableContents"/>
              <w:bidi w:val="0"/>
              <w:spacing w:before="0" w:after="283"/>
              <w:jc w:val="left"/>
              <w:rPr/>
            </w:pPr>
            <w:r>
              <w:rPr/>
              <w:t> </w:t>
            </w:r>
          </w:p>
        </w:tc>
        <w:tc>
          <w:tcPr>
            <w:tcW w:w="3564" w:type="dxa"/>
            <w:gridSpan w:val="3"/>
            <w:tcBorders/>
          </w:tcPr>
          <w:p>
            <w:pPr>
              <w:pStyle w:val="TableContents"/>
              <w:pBdr>
                <w:bottom w:val="single" w:sz="2" w:space="1" w:color="000000"/>
              </w:pBdr>
              <w:bidi w:val="0"/>
              <w:spacing w:before="0" w:after="20"/>
              <w:jc w:val="both"/>
              <w:rPr>
                <w:rFonts w:ascii="Times New Roman" w:hAnsi="Times New Roman"/>
                <w:sz w:val="24"/>
              </w:rPr>
            </w:pPr>
            <w:r>
              <w:rPr>
                <w:rFonts w:ascii="Times New Roman" w:hAnsi="Times New Roman"/>
                <w:sz w:val="24"/>
              </w:rPr>
              <w:t>/s/ Mary Miselis</w:t>
            </w:r>
          </w:p>
        </w:tc>
      </w:tr>
      <w:tr>
        <w:trPr/>
        <w:tc>
          <w:tcPr>
            <w:tcW w:w="45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36" w:type="dxa"/>
            <w:tcBorders/>
          </w:tcPr>
          <w:p>
            <w:pPr>
              <w:pStyle w:val="TableContents"/>
              <w:bidi w:val="0"/>
              <w:spacing w:before="0" w:after="0"/>
              <w:jc w:val="both"/>
              <w:rPr/>
            </w:pPr>
            <w:r>
              <w:rPr/>
              <w:t> </w:t>
            </w:r>
            <w:r>
              <w:rPr>
                <w:rFonts w:ascii="Times New Roman" w:hAnsi="Times New Roman"/>
                <w:sz w:val="24"/>
              </w:rPr>
              <w:t>Name:</w:t>
            </w:r>
          </w:p>
        </w:tc>
        <w:tc>
          <w:tcPr>
            <w:tcW w:w="60" w:type="dxa"/>
            <w:tcBorders/>
            <w:vAlign w:val="bottom"/>
          </w:tcPr>
          <w:p>
            <w:pPr>
              <w:pStyle w:val="TableContents"/>
              <w:bidi w:val="0"/>
              <w:spacing w:before="0" w:after="283"/>
              <w:jc w:val="left"/>
              <w:rPr/>
            </w:pPr>
            <w:r>
              <w:rPr/>
              <w:t> </w:t>
            </w:r>
          </w:p>
        </w:tc>
        <w:tc>
          <w:tcPr>
            <w:tcW w:w="2768" w:type="dxa"/>
            <w:tcBorders/>
          </w:tcPr>
          <w:p>
            <w:pPr>
              <w:pStyle w:val="TableContents"/>
              <w:bidi w:val="0"/>
              <w:spacing w:before="0" w:after="0"/>
              <w:jc w:val="both"/>
              <w:rPr>
                <w:rFonts w:ascii="Times New Roman" w:hAnsi="Times New Roman"/>
                <w:sz w:val="24"/>
              </w:rPr>
            </w:pPr>
            <w:r>
              <w:rPr>
                <w:rFonts w:ascii="Times New Roman" w:hAnsi="Times New Roman"/>
                <w:sz w:val="24"/>
              </w:rPr>
              <w:t>Mary Miselis</w:t>
            </w:r>
          </w:p>
        </w:tc>
      </w:tr>
      <w:tr>
        <w:trPr/>
        <w:tc>
          <w:tcPr>
            <w:tcW w:w="45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36" w:type="dxa"/>
            <w:tcBorders/>
          </w:tcPr>
          <w:p>
            <w:pPr>
              <w:pStyle w:val="TableContents"/>
              <w:bidi w:val="0"/>
              <w:spacing w:before="0" w:after="0"/>
              <w:jc w:val="both"/>
              <w:rPr/>
            </w:pPr>
            <w:r>
              <w:rPr/>
              <w:t> </w:t>
            </w:r>
            <w:r>
              <w:rPr>
                <w:rFonts w:ascii="Times New Roman" w:hAnsi="Times New Roman"/>
                <w:sz w:val="24"/>
              </w:rPr>
              <w:t>Title:</w:t>
            </w:r>
          </w:p>
        </w:tc>
        <w:tc>
          <w:tcPr>
            <w:tcW w:w="60" w:type="dxa"/>
            <w:tcBorders/>
            <w:vAlign w:val="bottom"/>
          </w:tcPr>
          <w:p>
            <w:pPr>
              <w:pStyle w:val="TableContents"/>
              <w:bidi w:val="0"/>
              <w:spacing w:before="0" w:after="283"/>
              <w:jc w:val="left"/>
              <w:rPr/>
            </w:pPr>
            <w:r>
              <w:rPr/>
              <w:t> </w:t>
            </w:r>
          </w:p>
        </w:tc>
        <w:tc>
          <w:tcPr>
            <w:tcW w:w="2768" w:type="dxa"/>
            <w:tcBorders/>
          </w:tcPr>
          <w:p>
            <w:pPr>
              <w:pStyle w:val="TableContents"/>
              <w:bidi w:val="0"/>
              <w:spacing w:before="0" w:after="0"/>
              <w:jc w:val="both"/>
              <w:rPr>
                <w:rFonts w:ascii="Times New Roman" w:hAnsi="Times New Roman"/>
                <w:sz w:val="24"/>
              </w:rPr>
            </w:pPr>
            <w:r>
              <w:rPr>
                <w:rFonts w:ascii="Times New Roman" w:hAnsi="Times New Roman"/>
                <w:sz w:val="24"/>
              </w:rPr>
              <w:t>Vice President</w:t>
            </w:r>
          </w:p>
        </w:tc>
      </w:tr>
      <w:tr>
        <w:trPr>
          <w:trHeight w:val="240" w:hRule="atLeast"/>
        </w:trPr>
        <w:tc>
          <w:tcPr>
            <w:tcW w:w="458" w:type="dxa"/>
            <w:tcBorders/>
            <w:vAlign w:val="center"/>
          </w:tcPr>
          <w:p>
            <w:pPr>
              <w:pStyle w:val="TableContents"/>
              <w:bidi w:val="0"/>
              <w:spacing w:before="0" w:after="283"/>
              <w:jc w:val="left"/>
              <w:rPr>
                <w:sz w:val="4"/>
                <w:szCs w:val="4"/>
              </w:rPr>
            </w:pPr>
            <w:r>
              <w:rPr>
                <w:sz w:val="4"/>
                <w:szCs w:val="4"/>
              </w:rPr>
            </w:r>
          </w:p>
        </w:tc>
        <w:tc>
          <w:tcPr>
            <w:tcW w:w="3624" w:type="dxa"/>
            <w:gridSpan w:val="4"/>
            <w:tcBorders/>
            <w:vAlign w:val="center"/>
          </w:tcPr>
          <w:p>
            <w:pPr>
              <w:pStyle w:val="TableContents"/>
              <w:bidi w:val="0"/>
              <w:spacing w:before="0" w:after="283"/>
              <w:jc w:val="left"/>
              <w:rPr>
                <w:sz w:val="4"/>
                <w:szCs w:val="4"/>
              </w:rPr>
            </w:pPr>
            <w:r>
              <w:rPr>
                <w:sz w:val="4"/>
                <w:szCs w:val="4"/>
              </w:rPr>
            </w:r>
          </w:p>
        </w:tc>
      </w:tr>
      <w:tr>
        <w:trPr/>
        <w:tc>
          <w:tcPr>
            <w:tcW w:w="458" w:type="dxa"/>
            <w:tcBorders/>
          </w:tcPr>
          <w:p>
            <w:pPr>
              <w:pStyle w:val="TableContents"/>
              <w:bidi w:val="0"/>
              <w:spacing w:before="0" w:after="0"/>
              <w:jc w:val="both"/>
              <w:rPr>
                <w:rFonts w:ascii="Times New Roman" w:hAnsi="Times New Roman"/>
                <w:sz w:val="24"/>
              </w:rPr>
            </w:pPr>
            <w:r>
              <w:rPr>
                <w:rFonts w:ascii="Times New Roman" w:hAnsi="Times New Roman"/>
                <w:sz w:val="24"/>
              </w:rPr>
              <w:t>By:</w:t>
            </w:r>
          </w:p>
        </w:tc>
        <w:tc>
          <w:tcPr>
            <w:tcW w:w="60" w:type="dxa"/>
            <w:tcBorders/>
            <w:vAlign w:val="bottom"/>
          </w:tcPr>
          <w:p>
            <w:pPr>
              <w:pStyle w:val="TableContents"/>
              <w:bidi w:val="0"/>
              <w:spacing w:before="0" w:after="283"/>
              <w:jc w:val="left"/>
              <w:rPr/>
            </w:pPr>
            <w:r>
              <w:rPr/>
              <w:t> </w:t>
            </w:r>
          </w:p>
        </w:tc>
        <w:tc>
          <w:tcPr>
            <w:tcW w:w="3564" w:type="dxa"/>
            <w:gridSpan w:val="3"/>
            <w:tcBorders/>
          </w:tcPr>
          <w:p>
            <w:pPr>
              <w:pStyle w:val="TableContents"/>
              <w:pBdr>
                <w:bottom w:val="single" w:sz="2" w:space="1" w:color="000000"/>
              </w:pBdr>
              <w:bidi w:val="0"/>
              <w:spacing w:before="0" w:after="20"/>
              <w:jc w:val="both"/>
              <w:rPr>
                <w:rFonts w:ascii="Times New Roman" w:hAnsi="Times New Roman"/>
                <w:sz w:val="24"/>
              </w:rPr>
            </w:pPr>
            <w:r>
              <w:rPr>
                <w:rFonts w:ascii="Times New Roman" w:hAnsi="Times New Roman"/>
                <w:sz w:val="24"/>
              </w:rPr>
              <w:t>/s/ Carol Ng</w:t>
            </w:r>
          </w:p>
        </w:tc>
      </w:tr>
      <w:tr>
        <w:trPr/>
        <w:tc>
          <w:tcPr>
            <w:tcW w:w="45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36" w:type="dxa"/>
            <w:tcBorders/>
          </w:tcPr>
          <w:p>
            <w:pPr>
              <w:pStyle w:val="TableContents"/>
              <w:bidi w:val="0"/>
              <w:spacing w:before="0" w:after="0"/>
              <w:jc w:val="both"/>
              <w:rPr/>
            </w:pPr>
            <w:r>
              <w:rPr/>
              <w:t> </w:t>
            </w:r>
            <w:r>
              <w:rPr>
                <w:rFonts w:ascii="Times New Roman" w:hAnsi="Times New Roman"/>
                <w:sz w:val="24"/>
              </w:rPr>
              <w:t>Name:</w:t>
            </w:r>
          </w:p>
        </w:tc>
        <w:tc>
          <w:tcPr>
            <w:tcW w:w="60" w:type="dxa"/>
            <w:tcBorders/>
            <w:vAlign w:val="bottom"/>
          </w:tcPr>
          <w:p>
            <w:pPr>
              <w:pStyle w:val="TableContents"/>
              <w:bidi w:val="0"/>
              <w:spacing w:before="0" w:after="283"/>
              <w:jc w:val="left"/>
              <w:rPr/>
            </w:pPr>
            <w:r>
              <w:rPr/>
              <w:t> </w:t>
            </w:r>
          </w:p>
        </w:tc>
        <w:tc>
          <w:tcPr>
            <w:tcW w:w="2768" w:type="dxa"/>
            <w:tcBorders/>
          </w:tcPr>
          <w:p>
            <w:pPr>
              <w:pStyle w:val="TableContents"/>
              <w:bidi w:val="0"/>
              <w:spacing w:before="0" w:after="0"/>
              <w:jc w:val="both"/>
              <w:rPr>
                <w:rFonts w:ascii="Times New Roman" w:hAnsi="Times New Roman"/>
                <w:sz w:val="24"/>
              </w:rPr>
            </w:pPr>
            <w:r>
              <w:rPr>
                <w:rFonts w:ascii="Times New Roman" w:hAnsi="Times New Roman"/>
                <w:sz w:val="24"/>
              </w:rPr>
              <w:t>Carol Ng</w:t>
            </w:r>
          </w:p>
        </w:tc>
      </w:tr>
      <w:tr>
        <w:trPr/>
        <w:tc>
          <w:tcPr>
            <w:tcW w:w="45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36" w:type="dxa"/>
            <w:tcBorders/>
          </w:tcPr>
          <w:p>
            <w:pPr>
              <w:pStyle w:val="TableContents"/>
              <w:bidi w:val="0"/>
              <w:spacing w:before="0" w:after="0"/>
              <w:jc w:val="both"/>
              <w:rPr/>
            </w:pPr>
            <w:r>
              <w:rPr/>
              <w:t> </w:t>
            </w:r>
            <w:r>
              <w:rPr>
                <w:rFonts w:ascii="Times New Roman" w:hAnsi="Times New Roman"/>
                <w:sz w:val="24"/>
              </w:rPr>
              <w:t>Title:</w:t>
            </w:r>
          </w:p>
        </w:tc>
        <w:tc>
          <w:tcPr>
            <w:tcW w:w="60" w:type="dxa"/>
            <w:tcBorders/>
            <w:vAlign w:val="bottom"/>
          </w:tcPr>
          <w:p>
            <w:pPr>
              <w:pStyle w:val="TableContents"/>
              <w:bidi w:val="0"/>
              <w:spacing w:before="0" w:after="283"/>
              <w:jc w:val="left"/>
              <w:rPr/>
            </w:pPr>
            <w:r>
              <w:rPr/>
              <w:t> </w:t>
            </w:r>
          </w:p>
        </w:tc>
        <w:tc>
          <w:tcPr>
            <w:tcW w:w="2768" w:type="dxa"/>
            <w:tcBorders/>
          </w:tcPr>
          <w:p>
            <w:pPr>
              <w:pStyle w:val="TableContents"/>
              <w:bidi w:val="0"/>
              <w:spacing w:before="0" w:after="0"/>
              <w:jc w:val="both"/>
              <w:rPr>
                <w:rFonts w:ascii="Times New Roman" w:hAnsi="Times New Roman"/>
                <w:sz w:val="24"/>
              </w:rPr>
            </w:pPr>
            <w:r>
              <w:rPr>
                <w:rFonts w:ascii="Times New Roman" w:hAnsi="Times New Roman"/>
                <w:sz w:val="24"/>
              </w:rPr>
              <w:t>Vice President</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- 20 -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ACKNOWLEDGED AND AGREED, as of the day and year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47"/>
        <w:gridCol w:w="60"/>
        <w:gridCol w:w="734"/>
        <w:gridCol w:w="60"/>
        <w:gridCol w:w="2781"/>
      </w:tblGrid>
      <w:tr>
        <w:trPr/>
        <w:tc>
          <w:tcPr>
            <w:tcW w:w="44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0"/>
              <w:jc w:val="both"/>
              <w:rPr>
                <w:rFonts w:ascii="Times New Roman" w:hAnsi="Times New Roman"/>
                <w:sz w:val="24"/>
              </w:rPr>
            </w:pPr>
            <w:r>
              <w:rPr>
                <w:rFonts w:ascii="Times New Roman" w:hAnsi="Times New Roman"/>
                <w:b/>
                <w:sz w:val="24"/>
              </w:rPr>
              <w:t>COMPUTERSHARE TRUST</w:t>
              <w:br/>
              <w:t xml:space="preserve">COMPANY OF CANADA, </w:t>
            </w:r>
            <w:r>
              <w:rPr>
                <w:rFonts w:ascii="Times New Roman" w:hAnsi="Times New Roman"/>
                <w:sz w:val="24"/>
              </w:rPr>
              <w:t>as Co-Trustee</w:t>
            </w:r>
          </w:p>
        </w:tc>
      </w:tr>
      <w:tr>
        <w:trPr>
          <w:trHeight w:val="240" w:hRule="atLeast"/>
        </w:trPr>
        <w:tc>
          <w:tcPr>
            <w:tcW w:w="447" w:type="dxa"/>
            <w:tcBorders/>
            <w:vAlign w:val="center"/>
          </w:tcPr>
          <w:p>
            <w:pPr>
              <w:pStyle w:val="TableContents"/>
              <w:bidi w:val="0"/>
              <w:spacing w:before="0" w:after="283"/>
              <w:jc w:val="left"/>
              <w:rPr>
                <w:sz w:val="4"/>
                <w:szCs w:val="4"/>
              </w:rPr>
            </w:pPr>
            <w:r>
              <w:rPr>
                <w:sz w:val="4"/>
                <w:szCs w:val="4"/>
              </w:rPr>
            </w:r>
          </w:p>
        </w:tc>
        <w:tc>
          <w:tcPr>
            <w:tcW w:w="3635" w:type="dxa"/>
            <w:gridSpan w:val="4"/>
            <w:tcBorders/>
            <w:vAlign w:val="center"/>
          </w:tcPr>
          <w:p>
            <w:pPr>
              <w:pStyle w:val="TableContents"/>
              <w:bidi w:val="0"/>
              <w:spacing w:before="0" w:after="283"/>
              <w:jc w:val="left"/>
              <w:rPr>
                <w:sz w:val="4"/>
                <w:szCs w:val="4"/>
              </w:rPr>
            </w:pPr>
            <w:r>
              <w:rPr>
                <w:sz w:val="4"/>
                <w:szCs w:val="4"/>
              </w:rPr>
            </w:r>
          </w:p>
        </w:tc>
      </w:tr>
      <w:tr>
        <w:trPr/>
        <w:tc>
          <w:tcPr>
            <w:tcW w:w="447" w:type="dxa"/>
            <w:tcBorders/>
          </w:tcPr>
          <w:p>
            <w:pPr>
              <w:pStyle w:val="TableContents"/>
              <w:bidi w:val="0"/>
              <w:spacing w:before="0" w:after="0"/>
              <w:jc w:val="both"/>
              <w:rPr>
                <w:rFonts w:ascii="Times New Roman" w:hAnsi="Times New Roman"/>
                <w:sz w:val="24"/>
              </w:rPr>
            </w:pPr>
            <w:r>
              <w:rPr>
                <w:rFonts w:ascii="Times New Roman" w:hAnsi="Times New Roman"/>
                <w:sz w:val="24"/>
              </w:rPr>
              <w:t>By:</w:t>
            </w:r>
          </w:p>
        </w:tc>
        <w:tc>
          <w:tcPr>
            <w:tcW w:w="60" w:type="dxa"/>
            <w:tcBorders/>
            <w:vAlign w:val="bottom"/>
          </w:tcPr>
          <w:p>
            <w:pPr>
              <w:pStyle w:val="TableContents"/>
              <w:bidi w:val="0"/>
              <w:spacing w:before="0" w:after="283"/>
              <w:jc w:val="left"/>
              <w:rPr/>
            </w:pPr>
            <w:r>
              <w:rPr/>
              <w:t> </w:t>
            </w:r>
          </w:p>
        </w:tc>
        <w:tc>
          <w:tcPr>
            <w:tcW w:w="3575" w:type="dxa"/>
            <w:gridSpan w:val="3"/>
            <w:tcBorders/>
          </w:tcPr>
          <w:p>
            <w:pPr>
              <w:pStyle w:val="TableContents"/>
              <w:pBdr>
                <w:bottom w:val="single" w:sz="2" w:space="1" w:color="000000"/>
              </w:pBdr>
              <w:bidi w:val="0"/>
              <w:spacing w:before="0" w:after="20"/>
              <w:jc w:val="both"/>
              <w:rPr>
                <w:rFonts w:ascii="Times New Roman" w:hAnsi="Times New Roman"/>
                <w:sz w:val="24"/>
              </w:rPr>
            </w:pPr>
            <w:r>
              <w:rPr>
                <w:rFonts w:ascii="Times New Roman" w:hAnsi="Times New Roman"/>
                <w:sz w:val="24"/>
              </w:rPr>
              <w:t>/s/ Neil Scott</w:t>
            </w:r>
          </w:p>
        </w:tc>
      </w:tr>
      <w:tr>
        <w:trPr/>
        <w:tc>
          <w:tcPr>
            <w:tcW w:w="44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34" w:type="dxa"/>
            <w:tcBorders/>
          </w:tcPr>
          <w:p>
            <w:pPr>
              <w:pStyle w:val="TableContents"/>
              <w:bidi w:val="0"/>
              <w:spacing w:before="0" w:after="0"/>
              <w:jc w:val="both"/>
              <w:rPr/>
            </w:pPr>
            <w:r>
              <w:rPr/>
              <w:t> </w:t>
            </w:r>
            <w:r>
              <w:rPr>
                <w:rFonts w:ascii="Times New Roman" w:hAnsi="Times New Roman"/>
                <w:sz w:val="24"/>
              </w:rPr>
              <w:t>Name:</w:t>
            </w:r>
          </w:p>
        </w:tc>
        <w:tc>
          <w:tcPr>
            <w:tcW w:w="60" w:type="dxa"/>
            <w:tcBorders/>
            <w:vAlign w:val="bottom"/>
          </w:tcPr>
          <w:p>
            <w:pPr>
              <w:pStyle w:val="TableContents"/>
              <w:bidi w:val="0"/>
              <w:spacing w:before="0" w:after="283"/>
              <w:jc w:val="left"/>
              <w:rPr/>
            </w:pPr>
            <w:r>
              <w:rPr/>
              <w:t> </w:t>
            </w:r>
          </w:p>
        </w:tc>
        <w:tc>
          <w:tcPr>
            <w:tcW w:w="2781" w:type="dxa"/>
            <w:tcBorders/>
          </w:tcPr>
          <w:p>
            <w:pPr>
              <w:pStyle w:val="TableContents"/>
              <w:bidi w:val="0"/>
              <w:spacing w:before="0" w:after="0"/>
              <w:jc w:val="both"/>
              <w:rPr>
                <w:rFonts w:ascii="Times New Roman" w:hAnsi="Times New Roman"/>
                <w:sz w:val="24"/>
              </w:rPr>
            </w:pPr>
            <w:r>
              <w:rPr>
                <w:rFonts w:ascii="Times New Roman" w:hAnsi="Times New Roman"/>
                <w:sz w:val="24"/>
              </w:rPr>
              <w:t>Neil Scott</w:t>
            </w:r>
          </w:p>
        </w:tc>
      </w:tr>
      <w:tr>
        <w:trPr/>
        <w:tc>
          <w:tcPr>
            <w:tcW w:w="44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34" w:type="dxa"/>
            <w:tcBorders/>
          </w:tcPr>
          <w:p>
            <w:pPr>
              <w:pStyle w:val="TableContents"/>
              <w:bidi w:val="0"/>
              <w:spacing w:before="0" w:after="0"/>
              <w:jc w:val="both"/>
              <w:rPr/>
            </w:pPr>
            <w:r>
              <w:rPr/>
              <w:t> </w:t>
            </w:r>
            <w:r>
              <w:rPr>
                <w:rFonts w:ascii="Times New Roman" w:hAnsi="Times New Roman"/>
                <w:sz w:val="24"/>
              </w:rPr>
              <w:t>Title:</w:t>
            </w:r>
          </w:p>
        </w:tc>
        <w:tc>
          <w:tcPr>
            <w:tcW w:w="60" w:type="dxa"/>
            <w:tcBorders/>
            <w:vAlign w:val="bottom"/>
          </w:tcPr>
          <w:p>
            <w:pPr>
              <w:pStyle w:val="TableContents"/>
              <w:bidi w:val="0"/>
              <w:spacing w:before="0" w:after="283"/>
              <w:jc w:val="left"/>
              <w:rPr/>
            </w:pPr>
            <w:r>
              <w:rPr/>
              <w:t> </w:t>
            </w:r>
          </w:p>
        </w:tc>
        <w:tc>
          <w:tcPr>
            <w:tcW w:w="2781" w:type="dxa"/>
            <w:tcBorders/>
          </w:tcPr>
          <w:p>
            <w:pPr>
              <w:pStyle w:val="TableContents"/>
              <w:bidi w:val="0"/>
              <w:spacing w:before="0" w:after="0"/>
              <w:jc w:val="both"/>
              <w:rPr>
                <w:rFonts w:ascii="Times New Roman" w:hAnsi="Times New Roman"/>
                <w:sz w:val="24"/>
              </w:rPr>
            </w:pPr>
            <w:r>
              <w:rPr>
                <w:rFonts w:ascii="Times New Roman" w:hAnsi="Times New Roman"/>
                <w:sz w:val="24"/>
              </w:rPr>
              <w:t>Corporate Trust Officer</w:t>
            </w:r>
          </w:p>
        </w:tc>
      </w:tr>
      <w:tr>
        <w:trPr>
          <w:trHeight w:val="240" w:hRule="atLeast"/>
        </w:trPr>
        <w:tc>
          <w:tcPr>
            <w:tcW w:w="447" w:type="dxa"/>
            <w:tcBorders/>
            <w:vAlign w:val="center"/>
          </w:tcPr>
          <w:p>
            <w:pPr>
              <w:pStyle w:val="TableContents"/>
              <w:bidi w:val="0"/>
              <w:spacing w:before="0" w:after="283"/>
              <w:jc w:val="left"/>
              <w:rPr>
                <w:sz w:val="4"/>
                <w:szCs w:val="4"/>
              </w:rPr>
            </w:pPr>
            <w:r>
              <w:rPr>
                <w:sz w:val="4"/>
                <w:szCs w:val="4"/>
              </w:rPr>
            </w:r>
          </w:p>
        </w:tc>
        <w:tc>
          <w:tcPr>
            <w:tcW w:w="3635" w:type="dxa"/>
            <w:gridSpan w:val="4"/>
            <w:tcBorders/>
            <w:vAlign w:val="center"/>
          </w:tcPr>
          <w:p>
            <w:pPr>
              <w:pStyle w:val="TableContents"/>
              <w:bidi w:val="0"/>
              <w:spacing w:before="0" w:after="283"/>
              <w:jc w:val="left"/>
              <w:rPr>
                <w:sz w:val="4"/>
                <w:szCs w:val="4"/>
              </w:rPr>
            </w:pPr>
            <w:r>
              <w:rPr>
                <w:sz w:val="4"/>
                <w:szCs w:val="4"/>
              </w:rPr>
            </w:r>
          </w:p>
        </w:tc>
      </w:tr>
      <w:tr>
        <w:trPr/>
        <w:tc>
          <w:tcPr>
            <w:tcW w:w="447" w:type="dxa"/>
            <w:tcBorders/>
          </w:tcPr>
          <w:p>
            <w:pPr>
              <w:pStyle w:val="TableContents"/>
              <w:bidi w:val="0"/>
              <w:spacing w:before="0" w:after="0"/>
              <w:jc w:val="both"/>
              <w:rPr>
                <w:rFonts w:ascii="Times New Roman" w:hAnsi="Times New Roman"/>
                <w:sz w:val="24"/>
              </w:rPr>
            </w:pPr>
            <w:r>
              <w:rPr>
                <w:rFonts w:ascii="Times New Roman" w:hAnsi="Times New Roman"/>
                <w:sz w:val="24"/>
              </w:rPr>
              <w:t>By:</w:t>
            </w:r>
          </w:p>
        </w:tc>
        <w:tc>
          <w:tcPr>
            <w:tcW w:w="60" w:type="dxa"/>
            <w:tcBorders/>
            <w:vAlign w:val="bottom"/>
          </w:tcPr>
          <w:p>
            <w:pPr>
              <w:pStyle w:val="TableContents"/>
              <w:bidi w:val="0"/>
              <w:spacing w:before="0" w:after="283"/>
              <w:jc w:val="left"/>
              <w:rPr/>
            </w:pPr>
            <w:r>
              <w:rPr/>
              <w:t> </w:t>
            </w:r>
          </w:p>
        </w:tc>
        <w:tc>
          <w:tcPr>
            <w:tcW w:w="3575" w:type="dxa"/>
            <w:gridSpan w:val="3"/>
            <w:tcBorders/>
          </w:tcPr>
          <w:p>
            <w:pPr>
              <w:pStyle w:val="TableContents"/>
              <w:pBdr>
                <w:bottom w:val="single" w:sz="2" w:space="1" w:color="000000"/>
              </w:pBdr>
              <w:bidi w:val="0"/>
              <w:spacing w:before="0" w:after="20"/>
              <w:jc w:val="both"/>
              <w:rPr>
                <w:rFonts w:ascii="Times New Roman" w:hAnsi="Times New Roman"/>
                <w:sz w:val="24"/>
              </w:rPr>
            </w:pPr>
            <w:r>
              <w:rPr>
                <w:rFonts w:ascii="Times New Roman" w:hAnsi="Times New Roman"/>
                <w:sz w:val="24"/>
              </w:rPr>
              <w:t>/s/ Mohanie Shivprasad</w:t>
            </w:r>
          </w:p>
        </w:tc>
      </w:tr>
      <w:tr>
        <w:trPr/>
        <w:tc>
          <w:tcPr>
            <w:tcW w:w="44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34" w:type="dxa"/>
            <w:tcBorders/>
          </w:tcPr>
          <w:p>
            <w:pPr>
              <w:pStyle w:val="TableContents"/>
              <w:bidi w:val="0"/>
              <w:spacing w:before="0" w:after="0"/>
              <w:jc w:val="both"/>
              <w:rPr/>
            </w:pPr>
            <w:r>
              <w:rPr/>
              <w:t> </w:t>
            </w:r>
            <w:r>
              <w:rPr>
                <w:rFonts w:ascii="Times New Roman" w:hAnsi="Times New Roman"/>
                <w:sz w:val="24"/>
              </w:rPr>
              <w:t>Name:</w:t>
            </w:r>
          </w:p>
        </w:tc>
        <w:tc>
          <w:tcPr>
            <w:tcW w:w="60" w:type="dxa"/>
            <w:tcBorders/>
            <w:vAlign w:val="bottom"/>
          </w:tcPr>
          <w:p>
            <w:pPr>
              <w:pStyle w:val="TableContents"/>
              <w:bidi w:val="0"/>
              <w:spacing w:before="0" w:after="283"/>
              <w:jc w:val="left"/>
              <w:rPr/>
            </w:pPr>
            <w:r>
              <w:rPr/>
              <w:t> </w:t>
            </w:r>
          </w:p>
        </w:tc>
        <w:tc>
          <w:tcPr>
            <w:tcW w:w="2781" w:type="dxa"/>
            <w:tcBorders/>
          </w:tcPr>
          <w:p>
            <w:pPr>
              <w:pStyle w:val="TableContents"/>
              <w:bidi w:val="0"/>
              <w:spacing w:before="0" w:after="0"/>
              <w:jc w:val="both"/>
              <w:rPr>
                <w:rFonts w:ascii="Times New Roman" w:hAnsi="Times New Roman"/>
                <w:sz w:val="24"/>
              </w:rPr>
            </w:pPr>
            <w:r>
              <w:rPr>
                <w:rFonts w:ascii="Times New Roman" w:hAnsi="Times New Roman"/>
                <w:sz w:val="24"/>
              </w:rPr>
              <w:t>Mohanie Shivprasad</w:t>
            </w:r>
          </w:p>
        </w:tc>
      </w:tr>
      <w:tr>
        <w:trPr/>
        <w:tc>
          <w:tcPr>
            <w:tcW w:w="44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34" w:type="dxa"/>
            <w:tcBorders/>
          </w:tcPr>
          <w:p>
            <w:pPr>
              <w:pStyle w:val="TableContents"/>
              <w:bidi w:val="0"/>
              <w:spacing w:before="0" w:after="0"/>
              <w:jc w:val="both"/>
              <w:rPr/>
            </w:pPr>
            <w:r>
              <w:rPr/>
              <w:t> </w:t>
            </w:r>
            <w:r>
              <w:rPr>
                <w:rFonts w:ascii="Times New Roman" w:hAnsi="Times New Roman"/>
                <w:sz w:val="24"/>
              </w:rPr>
              <w:t>Title:</w:t>
            </w:r>
          </w:p>
        </w:tc>
        <w:tc>
          <w:tcPr>
            <w:tcW w:w="60" w:type="dxa"/>
            <w:tcBorders/>
            <w:vAlign w:val="bottom"/>
          </w:tcPr>
          <w:p>
            <w:pPr>
              <w:pStyle w:val="TableContents"/>
              <w:bidi w:val="0"/>
              <w:spacing w:before="0" w:after="283"/>
              <w:jc w:val="left"/>
              <w:rPr/>
            </w:pPr>
            <w:r>
              <w:rPr/>
              <w:t> </w:t>
            </w:r>
          </w:p>
        </w:tc>
        <w:tc>
          <w:tcPr>
            <w:tcW w:w="2781" w:type="dxa"/>
            <w:tcBorders/>
          </w:tcPr>
          <w:p>
            <w:pPr>
              <w:pStyle w:val="TableContents"/>
              <w:bidi w:val="0"/>
              <w:spacing w:before="0" w:after="0"/>
              <w:jc w:val="both"/>
              <w:rPr>
                <w:rFonts w:ascii="Times New Roman" w:hAnsi="Times New Roman"/>
                <w:sz w:val="24"/>
              </w:rPr>
            </w:pPr>
            <w:r>
              <w:rPr>
                <w:rFonts w:ascii="Times New Roman" w:hAnsi="Times New Roman"/>
                <w:sz w:val="24"/>
              </w:rPr>
              <w:t>Associate Trust Officer</w:t>
            </w:r>
          </w:p>
        </w:tc>
      </w:tr>
    </w:tbl>
    <w:p>
      <w:pPr>
        <w:pStyle w:val="TextBody"/>
        <w:bidi w:val="0"/>
        <w:spacing w:before="2400" w:after="0"/>
        <w:jc w:val="center"/>
        <w:rPr>
          <w:rFonts w:ascii="Times New Roman" w:hAnsi="Times New Roman"/>
          <w:i/>
          <w:sz w:val="20"/>
        </w:rPr>
      </w:pPr>
      <w:r>
        <w:rPr>
          <w:rFonts w:ascii="Times New Roman" w:hAnsi="Times New Roman"/>
          <w:i/>
          <w:sz w:val="20"/>
        </w:rPr>
        <w:t xml:space="preserve">Signature Page to Sixth Supplemental Indenture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4"/>
        </w:rPr>
      </w:pPr>
      <w:r>
        <w:rPr>
          <w:rFonts w:ascii="Times New Roman" w:hAnsi="Times New Roman"/>
          <w:b/>
          <w:sz w:val="24"/>
        </w:rPr>
        <w:t xml:space="preserve">EXHIBIT I </w:t>
      </w:r>
    </w:p>
    <w:p>
      <w:pPr>
        <w:pStyle w:val="TextBody"/>
        <w:bidi w:val="0"/>
        <w:spacing w:before="240" w:after="0"/>
        <w:jc w:val="center"/>
        <w:rPr>
          <w:rFonts w:ascii="Times New Roman" w:hAnsi="Times New Roman"/>
          <w:sz w:val="24"/>
        </w:rPr>
      </w:pPr>
      <w:r>
        <w:rPr>
          <w:rFonts w:ascii="Times New Roman" w:hAnsi="Times New Roman"/>
          <w:sz w:val="24"/>
        </w:rPr>
        <w:t xml:space="preserve">(Form of Global Note) </w:t>
      </w:r>
    </w:p>
    <w:p>
      <w:pPr>
        <w:pStyle w:val="TextBody"/>
        <w:bidi w:val="0"/>
        <w:spacing w:before="240" w:after="0"/>
        <w:jc w:val="both"/>
        <w:rPr>
          <w:rFonts w:ascii="Times New Roman" w:hAnsi="Times New Roman"/>
          <w:b/>
          <w:sz w:val="24"/>
        </w:rPr>
      </w:pPr>
      <w:r>
        <w:rPr>
          <w:rFonts w:ascii="Times New Roman" w:hAnsi="Times New Roman"/>
          <w:b/>
          <w:sz w:val="24"/>
        </w:rPr>
        <w:t xml:space="preserve">Unless this certificate is presented by an authorized representative of The Depository Trust Company, a New York corporation (“DTC”), to the Company (as defined below) or its agent for registration of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 </w:t>
      </w:r>
    </w:p>
    <w:p>
      <w:pPr>
        <w:pStyle w:val="TextBody"/>
        <w:bidi w:val="0"/>
        <w:spacing w:before="240" w:after="0"/>
        <w:jc w:val="both"/>
        <w:rPr>
          <w:rFonts w:ascii="Times New Roman" w:hAnsi="Times New Roman"/>
          <w:b/>
          <w:sz w:val="24"/>
        </w:rPr>
      </w:pPr>
      <w:r>
        <w:rPr>
          <w:rFonts w:ascii="Times New Roman" w:hAnsi="Times New Roman"/>
          <w:b/>
          <w:sz w:val="24"/>
        </w:rPr>
        <w:t xml:space="preserve">Unless and until it is exchanged in whole or in part for Securities in definitive registered form, this certificate may not be transferred except as a whole by DTC to a nominee of DTC or by a nominee of DTC to DTC or another nominee of DTC or by DTC or any such nominee to a successor Depositary or a nominee of such successor Depositary. </w:t>
      </w:r>
    </w:p>
    <w:p>
      <w:pPr>
        <w:pStyle w:val="TextBody"/>
        <w:bidi w:val="0"/>
        <w:spacing w:before="240" w:after="0"/>
        <w:jc w:val="center"/>
        <w:rPr>
          <w:rFonts w:ascii="Times New Roman" w:hAnsi="Times New Roman"/>
          <w:b/>
          <w:sz w:val="24"/>
        </w:rPr>
      </w:pPr>
      <w:r>
        <w:rPr>
          <w:rFonts w:ascii="Times New Roman" w:hAnsi="Times New Roman"/>
          <w:b/>
          <w:sz w:val="24"/>
        </w:rPr>
        <w:t xml:space="preserve">TR FINANCE LLC </w:t>
      </w:r>
    </w:p>
    <w:p>
      <w:pPr>
        <w:pStyle w:val="TextBody"/>
        <w:bidi w:val="0"/>
        <w:spacing w:before="240" w:after="0"/>
        <w:jc w:val="center"/>
        <w:rPr>
          <w:rFonts w:ascii="Times New Roman" w:hAnsi="Times New Roman"/>
          <w:sz w:val="24"/>
        </w:rPr>
      </w:pPr>
      <w:r>
        <w:rPr>
          <w:rFonts w:ascii="Times New Roman" w:hAnsi="Times New Roman"/>
          <w:sz w:val="24"/>
        </w:rPr>
        <w:t xml:space="preserve">5.100% Notes due 2028 </w:t>
      </w:r>
    </w:p>
    <w:p>
      <w:pPr>
        <w:pStyle w:val="TextBody"/>
        <w:bidi w:val="0"/>
        <w:spacing w:before="240" w:after="0"/>
        <w:jc w:val="both"/>
        <w:rPr>
          <w:rFonts w:ascii="Times New Roman" w:hAnsi="Times New Roman"/>
          <w:sz w:val="24"/>
        </w:rPr>
      </w:pPr>
      <w:r>
        <w:rPr>
          <w:rFonts w:ascii="Times New Roman" w:hAnsi="Times New Roman"/>
          <w:sz w:val="24"/>
        </w:rPr>
        <w:t xml:space="preserve">No. [●] </w:t>
      </w:r>
    </w:p>
    <w:p>
      <w:pPr>
        <w:pStyle w:val="TextBody"/>
        <w:bidi w:val="0"/>
        <w:spacing w:before="240" w:after="0"/>
        <w:jc w:val="right"/>
        <w:rPr>
          <w:rFonts w:ascii="Times New Roman" w:hAnsi="Times New Roman"/>
          <w:sz w:val="24"/>
        </w:rPr>
      </w:pPr>
      <w:r>
        <w:rPr>
          <w:rFonts w:ascii="Times New Roman" w:hAnsi="Times New Roman"/>
          <w:sz w:val="24"/>
        </w:rPr>
        <w:t xml:space="preserve">US$[●] </w:t>
      </w:r>
    </w:p>
    <w:p>
      <w:pPr>
        <w:pStyle w:val="TextBody"/>
        <w:bidi w:val="0"/>
        <w:spacing w:before="0" w:after="0"/>
        <w:jc w:val="right"/>
        <w:rPr>
          <w:rFonts w:ascii="Times New Roman" w:hAnsi="Times New Roman"/>
          <w:sz w:val="24"/>
        </w:rPr>
      </w:pPr>
      <w:r>
        <w:rPr>
          <w:rFonts w:ascii="Times New Roman" w:hAnsi="Times New Roman"/>
          <w:sz w:val="24"/>
        </w:rPr>
        <w:t xml:space="preserve">CUSIP: 87268LAF4 </w:t>
      </w:r>
    </w:p>
    <w:p>
      <w:pPr>
        <w:pStyle w:val="TextBody"/>
        <w:bidi w:val="0"/>
        <w:spacing w:before="0" w:after="0"/>
        <w:jc w:val="right"/>
        <w:rPr>
          <w:rFonts w:ascii="Times New Roman" w:hAnsi="Times New Roman"/>
          <w:sz w:val="24"/>
        </w:rPr>
      </w:pPr>
      <w:r>
        <w:rPr>
          <w:rFonts w:ascii="Times New Roman" w:hAnsi="Times New Roman"/>
          <w:sz w:val="24"/>
        </w:rPr>
        <w:t xml:space="preserve">ISIN: US87268LAF40 </w:t>
      </w:r>
    </w:p>
    <w:p>
      <w:pPr>
        <w:pStyle w:val="TextBody"/>
        <w:bidi w:val="0"/>
        <w:spacing w:before="240" w:after="0"/>
        <w:jc w:val="both"/>
        <w:rPr>
          <w:rFonts w:ascii="Times New Roman" w:hAnsi="Times New Roman"/>
          <w:sz w:val="24"/>
        </w:rPr>
      </w:pPr>
      <w:r>
        <w:rPr>
          <w:rFonts w:ascii="Times New Roman" w:hAnsi="Times New Roman"/>
          <w:sz w:val="24"/>
        </w:rPr>
        <w:t xml:space="preserve">TR Finance LLC, a limited liability company formed under the laws of the State of Delaware (herein called the “Company”, which term includes any successor Person under the Indenture hereinafter referred to), for value received, hereby promises to pay to Cede &amp; Co., or its registered assigns, the principal sum of US$[●] ([●] UNITED STATES DOLLARS) on September 15, 2028, at the office or agency of the Company referred to below, and to pay interest thereon on [●], 20[●], and semi-annually thereafter, on March 15 and September 15 in each year, from September 17, 2026, or from the most recent Interest Payment Date to which interest has been paid or duly provided for, at the rate of 5.100% per annum, until the principal hereof is paid or duly provided for, and (to the extent lawful) to pay on demand interest on any overdue interest at the rate borne by the Securities from the date on which such overdue interest becomes payable to the date payment of such interest has been made or duly provided for. The interest so payable, and punctually paid or duly provided for, on any Interest Payment Date will, as provided in such Indenture, be paid to the Person in whose name this Security is registered at the close of business on the Regular Record Date for such interest, which shall be March 1 or September 1 (whether or not a Business Day), as the case may be, next preceding such Interest Payment Date. Any such interest not so punctually paid or duly provided for shall forthwith cease to be payable to the Holder on such Regular Record Date, and such defaulted interest and (to the extent lawful) interest on such defaulted interest at the rate borne by the Securities, may be paid to the Person in whose name this Security is registered at the close of business on a Special Record Date for the payment of such Defaulted Interest to be fixed by the Trustee, notice whereof shall be given to Holders not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- 23 -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less than 10 days prior to such Special Record Date, or may be paid at any time in any other lawful manner not inconsistent with the requirements of any securities exchange on which the Securities may be listed, and upon such notice as may be required by such exchange, all as more fully provided in said Indenture. </w:t>
      </w:r>
    </w:p>
    <w:p>
      <w:pPr>
        <w:pStyle w:val="TextBody"/>
        <w:bidi w:val="0"/>
        <w:spacing w:before="240" w:after="0"/>
        <w:jc w:val="both"/>
        <w:rPr>
          <w:rFonts w:ascii="Times New Roman" w:hAnsi="Times New Roman"/>
          <w:sz w:val="24"/>
        </w:rPr>
      </w:pPr>
      <w:r>
        <w:rPr>
          <w:rFonts w:ascii="Times New Roman" w:hAnsi="Times New Roman"/>
          <w:sz w:val="24"/>
        </w:rPr>
        <w:t xml:space="preserve">Reference is hereby made to the further provisions of this Security set forth on the reverse hereof, which further provisions shall for all purposes have the same effect as if set forth at this place. </w:t>
      </w:r>
    </w:p>
    <w:p>
      <w:pPr>
        <w:pStyle w:val="TextBody"/>
        <w:bidi w:val="0"/>
        <w:spacing w:before="240" w:after="0"/>
        <w:jc w:val="both"/>
        <w:rPr>
          <w:rFonts w:ascii="Times New Roman" w:hAnsi="Times New Roman"/>
          <w:sz w:val="24"/>
        </w:rPr>
      </w:pPr>
      <w:r>
        <w:rPr>
          <w:rFonts w:ascii="Times New Roman" w:hAnsi="Times New Roman"/>
          <w:sz w:val="24"/>
        </w:rPr>
        <w:t xml:space="preserve">Unless the certificate of authentication hereon has been duly executed by the Trustee by manual or electronic signature, this Security shall not be entitled to any benefit under the Indenture, or be valid or obligatory for any purpose. </w:t>
      </w:r>
    </w:p>
    <w:p>
      <w:pPr>
        <w:pStyle w:val="TextBody"/>
        <w:bidi w:val="0"/>
        <w:spacing w:before="240" w:after="0"/>
        <w:jc w:val="center"/>
        <w:rPr>
          <w:rFonts w:ascii="Times New Roman" w:hAnsi="Times New Roman"/>
          <w:i/>
          <w:sz w:val="24"/>
        </w:rPr>
      </w:pPr>
      <w:r>
        <w:rPr>
          <w:rFonts w:ascii="Times New Roman" w:hAnsi="Times New Roman"/>
          <w:i/>
          <w:sz w:val="24"/>
        </w:rPr>
        <w:t xml:space="preserve">Remaining pages left blank intentionally.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IN WITNESS WHEREOF, the Company has caused this instrument to be duly executed and attested. </w:t>
      </w:r>
    </w:p>
    <w:p>
      <w:pPr>
        <w:pStyle w:val="TextBody"/>
        <w:bidi w:val="0"/>
        <w:spacing w:before="240" w:after="0"/>
        <w:jc w:val="both"/>
        <w:rPr>
          <w:rFonts w:ascii="Times New Roman" w:hAnsi="Times New Roman"/>
          <w:sz w:val="24"/>
        </w:rPr>
      </w:pPr>
      <w:r>
        <w:rPr>
          <w:rFonts w:ascii="Times New Roman" w:hAnsi="Times New Roman"/>
          <w:sz w:val="24"/>
        </w:rPr>
        <w:t xml:space="preserve">Dated: [●], 20[●]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28"/>
        <w:gridCol w:w="60"/>
        <w:gridCol w:w="784"/>
        <w:gridCol w:w="60"/>
        <w:gridCol w:w="2550"/>
      </w:tblGrid>
      <w:tr>
        <w:trPr/>
        <w:tc>
          <w:tcPr>
            <w:tcW w:w="62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50"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0"/>
              <w:jc w:val="both"/>
              <w:rPr>
                <w:rFonts w:ascii="Times New Roman" w:hAnsi="Times New Roman"/>
                <w:b/>
                <w:sz w:val="24"/>
              </w:rPr>
            </w:pPr>
            <w:r>
              <w:rPr>
                <w:rFonts w:ascii="Times New Roman" w:hAnsi="Times New Roman"/>
                <w:b/>
                <w:sz w:val="24"/>
              </w:rPr>
              <w:t>TR FINANCE LLC</w:t>
            </w:r>
          </w:p>
        </w:tc>
      </w:tr>
      <w:tr>
        <w:trPr>
          <w:trHeight w:val="240" w:hRule="atLeast"/>
        </w:trPr>
        <w:tc>
          <w:tcPr>
            <w:tcW w:w="628" w:type="dxa"/>
            <w:tcBorders/>
            <w:vAlign w:val="center"/>
          </w:tcPr>
          <w:p>
            <w:pPr>
              <w:pStyle w:val="TableContents"/>
              <w:bidi w:val="0"/>
              <w:spacing w:before="0" w:after="283"/>
              <w:jc w:val="left"/>
              <w:rPr>
                <w:sz w:val="4"/>
                <w:szCs w:val="4"/>
              </w:rPr>
            </w:pPr>
            <w:r>
              <w:rPr>
                <w:sz w:val="4"/>
                <w:szCs w:val="4"/>
              </w:rPr>
            </w:r>
          </w:p>
        </w:tc>
        <w:tc>
          <w:tcPr>
            <w:tcW w:w="3454" w:type="dxa"/>
            <w:gridSpan w:val="4"/>
            <w:tcBorders/>
            <w:vAlign w:val="center"/>
          </w:tcPr>
          <w:p>
            <w:pPr>
              <w:pStyle w:val="TableContents"/>
              <w:bidi w:val="0"/>
              <w:spacing w:before="0" w:after="283"/>
              <w:jc w:val="left"/>
              <w:rPr>
                <w:sz w:val="4"/>
                <w:szCs w:val="4"/>
              </w:rPr>
            </w:pPr>
            <w:r>
              <w:rPr>
                <w:sz w:val="4"/>
                <w:szCs w:val="4"/>
              </w:rPr>
            </w:r>
          </w:p>
        </w:tc>
      </w:tr>
      <w:tr>
        <w:trPr/>
        <w:tc>
          <w:tcPr>
            <w:tcW w:w="628" w:type="dxa"/>
            <w:tcBorders/>
          </w:tcPr>
          <w:p>
            <w:pPr>
              <w:pStyle w:val="TableContents"/>
              <w:bidi w:val="0"/>
              <w:spacing w:before="0" w:after="0"/>
              <w:jc w:val="both"/>
              <w:rPr>
                <w:rFonts w:ascii="Times New Roman" w:hAnsi="Times New Roman"/>
                <w:sz w:val="24"/>
              </w:rPr>
            </w:pPr>
            <w:r>
              <w:rPr>
                <w:rFonts w:ascii="Times New Roman" w:hAnsi="Times New Roman"/>
                <w:sz w:val="24"/>
              </w:rPr>
              <w:t>By:</w:t>
            </w:r>
          </w:p>
        </w:tc>
        <w:tc>
          <w:tcPr>
            <w:tcW w:w="60" w:type="dxa"/>
            <w:tcBorders/>
            <w:vAlign w:val="bottom"/>
          </w:tcPr>
          <w:p>
            <w:pPr>
              <w:pStyle w:val="TableContents"/>
              <w:bidi w:val="0"/>
              <w:spacing w:before="0" w:after="283"/>
              <w:jc w:val="left"/>
              <w:rPr/>
            </w:pPr>
            <w:r>
              <w:rPr/>
              <w:t> </w:t>
            </w:r>
          </w:p>
        </w:tc>
        <w:tc>
          <w:tcPr>
            <w:tcW w:w="3394" w:type="dxa"/>
            <w:gridSpan w:val="3"/>
            <w:tcBorders/>
          </w:tcPr>
          <w:p>
            <w:pPr>
              <w:pStyle w:val="TableContents"/>
              <w:pBdr>
                <w:bottom w:val="single" w:sz="2" w:space="1" w:color="000000"/>
              </w:pBdr>
              <w:bidi w:val="0"/>
              <w:spacing w:before="0" w:after="20"/>
              <w:jc w:val="left"/>
              <w:rPr/>
            </w:pPr>
            <w:r>
              <w:rPr/>
              <w:t> </w:t>
            </w:r>
          </w:p>
        </w:tc>
      </w:tr>
      <w:tr>
        <w:trPr/>
        <w:tc>
          <w:tcPr>
            <w:tcW w:w="62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84" w:type="dxa"/>
            <w:tcBorders/>
          </w:tcPr>
          <w:p>
            <w:pPr>
              <w:pStyle w:val="TableContents"/>
              <w:bidi w:val="0"/>
              <w:spacing w:before="0" w:after="0"/>
              <w:jc w:val="both"/>
              <w:rPr/>
            </w:pPr>
            <w:r>
              <w:rPr/>
              <w:t> </w:t>
            </w:r>
            <w:r>
              <w:rPr>
                <w:rFonts w:ascii="Times New Roman" w:hAnsi="Times New Roman"/>
                <w:sz w:val="24"/>
              </w:rPr>
              <w:t>Name:</w:t>
            </w:r>
          </w:p>
        </w:tc>
        <w:tc>
          <w:tcPr>
            <w:tcW w:w="60" w:type="dxa"/>
            <w:tcBorders/>
            <w:vAlign w:val="bottom"/>
          </w:tcPr>
          <w:p>
            <w:pPr>
              <w:pStyle w:val="TableContents"/>
              <w:bidi w:val="0"/>
              <w:spacing w:before="0" w:after="283"/>
              <w:jc w:val="left"/>
              <w:rPr/>
            </w:pPr>
            <w:r>
              <w:rPr/>
              <w:t> </w:t>
            </w:r>
          </w:p>
        </w:tc>
        <w:tc>
          <w:tcPr>
            <w:tcW w:w="2550" w:type="dxa"/>
            <w:tcBorders/>
          </w:tcPr>
          <w:p>
            <w:pPr>
              <w:pStyle w:val="TableContents"/>
              <w:bidi w:val="0"/>
              <w:spacing w:before="0" w:after="283"/>
              <w:jc w:val="left"/>
              <w:rPr>
                <w:sz w:val="4"/>
                <w:szCs w:val="4"/>
              </w:rPr>
            </w:pPr>
            <w:r>
              <w:rPr>
                <w:sz w:val="4"/>
                <w:szCs w:val="4"/>
              </w:rPr>
            </w:r>
          </w:p>
        </w:tc>
      </w:tr>
      <w:tr>
        <w:trPr/>
        <w:tc>
          <w:tcPr>
            <w:tcW w:w="62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84" w:type="dxa"/>
            <w:tcBorders/>
          </w:tcPr>
          <w:p>
            <w:pPr>
              <w:pStyle w:val="TableContents"/>
              <w:bidi w:val="0"/>
              <w:spacing w:before="0" w:after="0"/>
              <w:jc w:val="both"/>
              <w:rPr/>
            </w:pPr>
            <w:r>
              <w:rPr/>
              <w:t> </w:t>
            </w:r>
            <w:r>
              <w:rPr>
                <w:rFonts w:ascii="Times New Roman" w:hAnsi="Times New Roman"/>
                <w:sz w:val="24"/>
              </w:rPr>
              <w:t>Title:</w:t>
            </w:r>
          </w:p>
        </w:tc>
        <w:tc>
          <w:tcPr>
            <w:tcW w:w="60" w:type="dxa"/>
            <w:tcBorders/>
            <w:vAlign w:val="bottom"/>
          </w:tcPr>
          <w:p>
            <w:pPr>
              <w:pStyle w:val="TableContents"/>
              <w:bidi w:val="0"/>
              <w:spacing w:before="0" w:after="283"/>
              <w:jc w:val="left"/>
              <w:rPr/>
            </w:pPr>
            <w:r>
              <w:rPr/>
              <w:t> </w:t>
            </w:r>
          </w:p>
        </w:tc>
        <w:tc>
          <w:tcPr>
            <w:tcW w:w="2550"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67"/>
        <w:gridCol w:w="60"/>
        <w:gridCol w:w="3255"/>
      </w:tblGrid>
      <w:tr>
        <w:trPr/>
        <w:tc>
          <w:tcPr>
            <w:tcW w:w="76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55" w:type="dxa"/>
            <w:tcBorders/>
            <w:vAlign w:val="center"/>
          </w:tcPr>
          <w:p>
            <w:pPr>
              <w:pStyle w:val="TableContents"/>
              <w:bidi w:val="0"/>
              <w:spacing w:before="0" w:after="283"/>
              <w:jc w:val="left"/>
              <w:rPr>
                <w:sz w:val="4"/>
                <w:szCs w:val="4"/>
              </w:rPr>
            </w:pPr>
            <w:r>
              <w:rPr>
                <w:sz w:val="4"/>
                <w:szCs w:val="4"/>
              </w:rPr>
            </w:r>
          </w:p>
        </w:tc>
      </w:tr>
      <w:tr>
        <w:trPr/>
        <w:tc>
          <w:tcPr>
            <w:tcW w:w="767" w:type="dxa"/>
            <w:tcBorders/>
          </w:tcPr>
          <w:p>
            <w:pPr>
              <w:pStyle w:val="TableContents"/>
              <w:bidi w:val="0"/>
              <w:spacing w:before="0" w:after="0"/>
              <w:jc w:val="both"/>
              <w:rPr>
                <w:rFonts w:ascii="Times New Roman" w:hAnsi="Times New Roman"/>
                <w:sz w:val="24"/>
              </w:rPr>
            </w:pPr>
            <w:r>
              <w:rPr>
                <w:rFonts w:ascii="Times New Roman" w:hAnsi="Times New Roman"/>
                <w:sz w:val="24"/>
              </w:rPr>
              <w:t>Attest: 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255" w:type="dxa"/>
            <w:tcBorders>
              <w:bottom w:val="single" w:sz="2" w:space="0" w:color="000000"/>
            </w:tcBorders>
            <w:tcMar>
              <w:bottom w:w="28" w:type="dxa"/>
            </w:tcMar>
          </w:tcPr>
          <w:p>
            <w:pPr>
              <w:pStyle w:val="TableContents"/>
              <w:bidi w:val="0"/>
              <w:spacing w:before="0" w:after="283"/>
              <w:jc w:val="left"/>
              <w:rPr/>
            </w:pPr>
            <w:r>
              <w:rPr/>
              <w:t> </w:t>
            </w:r>
          </w:p>
        </w:tc>
      </w:tr>
      <w:tr>
        <w:trPr/>
        <w:tc>
          <w:tcPr>
            <w:tcW w:w="76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55" w:type="dxa"/>
            <w:tcBorders/>
          </w:tcPr>
          <w:p>
            <w:pPr>
              <w:pStyle w:val="TableContents"/>
              <w:bidi w:val="0"/>
              <w:spacing w:before="0" w:after="0"/>
              <w:jc w:val="both"/>
              <w:rPr/>
            </w:pPr>
            <w:r>
              <w:rPr/>
              <w:t> </w:t>
            </w:r>
            <w:r>
              <w:rPr>
                <w:rFonts w:ascii="Times New Roman" w:hAnsi="Times New Roman"/>
                <w:sz w:val="24"/>
              </w:rPr>
              <w:t>Name:</w:t>
            </w:r>
          </w:p>
          <w:p>
            <w:pPr>
              <w:pStyle w:val="TableContents"/>
              <w:bidi w:val="0"/>
              <w:spacing w:before="0" w:after="20"/>
              <w:jc w:val="both"/>
              <w:rPr/>
            </w:pPr>
            <w:r>
              <w:rPr/>
              <w:t> </w:t>
            </w:r>
            <w:r>
              <w:rPr>
                <w:rFonts w:ascii="Times New Roman" w:hAnsi="Times New Roman"/>
                <w:sz w:val="24"/>
              </w:rPr>
              <w:t>Title:</w:t>
            </w:r>
          </w:p>
        </w:tc>
      </w:tr>
    </w:tbl>
    <w:p>
      <w:pPr>
        <w:pStyle w:val="TextBody"/>
        <w:bidi w:val="0"/>
        <w:spacing w:before="2400" w:after="0"/>
        <w:jc w:val="center"/>
        <w:rPr>
          <w:rFonts w:ascii="Times New Roman" w:hAnsi="Times New Roman"/>
          <w:i/>
          <w:sz w:val="20"/>
        </w:rPr>
      </w:pPr>
      <w:r>
        <w:rPr>
          <w:rFonts w:ascii="Times New Roman" w:hAnsi="Times New Roman"/>
          <w:i/>
          <w:sz w:val="20"/>
        </w:rPr>
        <w:t xml:space="preserve">Signature Page to Note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4"/>
        </w:rPr>
      </w:pPr>
      <w:r>
        <w:rPr>
          <w:rFonts w:ascii="Times New Roman" w:hAnsi="Times New Roman"/>
          <w:b/>
          <w:sz w:val="24"/>
        </w:rPr>
        <w:t xml:space="preserve">TRUSTEE’S CERTIFICATE OF AUTHENTICATION </w:t>
      </w:r>
    </w:p>
    <w:p>
      <w:pPr>
        <w:pStyle w:val="TextBody"/>
        <w:bidi w:val="0"/>
        <w:spacing w:before="240" w:after="0"/>
        <w:jc w:val="both"/>
        <w:rPr>
          <w:rFonts w:ascii="Times New Roman" w:hAnsi="Times New Roman"/>
          <w:sz w:val="24"/>
        </w:rPr>
      </w:pPr>
      <w:r>
        <w:rPr>
          <w:rFonts w:ascii="Times New Roman" w:hAnsi="Times New Roman"/>
          <w:sz w:val="24"/>
        </w:rPr>
        <w:t xml:space="preserve">This is one of the Securities of the series designated as the 5.100% Notes due 2028, and issued under the Indenture as described herein.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070"/>
        <w:gridCol w:w="199"/>
        <w:gridCol w:w="2813"/>
      </w:tblGrid>
      <w:tr>
        <w:trPr/>
        <w:tc>
          <w:tcPr>
            <w:tcW w:w="1070"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281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both"/>
              <w:rPr>
                <w:rFonts w:ascii="Times New Roman" w:hAnsi="Times New Roman"/>
                <w:b/>
                <w:sz w:val="24"/>
              </w:rPr>
            </w:pPr>
            <w:r>
              <w:rPr>
                <w:rFonts w:ascii="Times New Roman" w:hAnsi="Times New Roman"/>
                <w:b/>
                <w:sz w:val="24"/>
              </w:rPr>
              <w:t>DEUTSCHE BANK TRUST</w:t>
            </w:r>
          </w:p>
          <w:p>
            <w:pPr>
              <w:pStyle w:val="TableContents"/>
              <w:bidi w:val="0"/>
              <w:spacing w:before="0" w:after="20"/>
              <w:jc w:val="both"/>
              <w:rPr>
                <w:rFonts w:ascii="Times New Roman" w:hAnsi="Times New Roman"/>
                <w:sz w:val="24"/>
              </w:rPr>
            </w:pPr>
            <w:r>
              <w:rPr>
                <w:rFonts w:ascii="Times New Roman" w:hAnsi="Times New Roman"/>
                <w:b/>
                <w:sz w:val="24"/>
              </w:rPr>
              <w:t xml:space="preserve">COMPANY AMERICAS, </w:t>
            </w:r>
            <w:r>
              <w:rPr>
                <w:rFonts w:ascii="Times New Roman" w:hAnsi="Times New Roman"/>
                <w:sz w:val="24"/>
              </w:rPr>
              <w:t>as Trustee</w:t>
            </w:r>
          </w:p>
        </w:tc>
      </w:tr>
      <w:tr>
        <w:trPr>
          <w:trHeight w:val="240" w:hRule="atLeast"/>
        </w:trPr>
        <w:tc>
          <w:tcPr>
            <w:tcW w:w="1070" w:type="dxa"/>
            <w:tcBorders/>
            <w:vAlign w:val="center"/>
          </w:tcPr>
          <w:p>
            <w:pPr>
              <w:pStyle w:val="TableContents"/>
              <w:bidi w:val="0"/>
              <w:spacing w:before="0" w:after="283"/>
              <w:jc w:val="left"/>
              <w:rPr>
                <w:sz w:val="4"/>
                <w:szCs w:val="4"/>
              </w:rPr>
            </w:pPr>
            <w:r>
              <w:rPr>
                <w:sz w:val="4"/>
                <w:szCs w:val="4"/>
              </w:rPr>
            </w:r>
          </w:p>
        </w:tc>
        <w:tc>
          <w:tcPr>
            <w:tcW w:w="3012" w:type="dxa"/>
            <w:gridSpan w:val="2"/>
            <w:tcBorders/>
            <w:vAlign w:val="center"/>
          </w:tcPr>
          <w:p>
            <w:pPr>
              <w:pStyle w:val="TableContents"/>
              <w:bidi w:val="0"/>
              <w:spacing w:before="0" w:after="283"/>
              <w:jc w:val="left"/>
              <w:rPr>
                <w:sz w:val="4"/>
                <w:szCs w:val="4"/>
              </w:rPr>
            </w:pPr>
            <w:r>
              <w:rPr>
                <w:sz w:val="4"/>
                <w:szCs w:val="4"/>
              </w:rPr>
            </w:r>
          </w:p>
        </w:tc>
      </w:tr>
      <w:tr>
        <w:trPr/>
        <w:tc>
          <w:tcPr>
            <w:tcW w:w="1070" w:type="dxa"/>
            <w:tcBorders/>
          </w:tcPr>
          <w:p>
            <w:pPr>
              <w:pStyle w:val="TableContents"/>
              <w:bidi w:val="0"/>
              <w:spacing w:before="0" w:after="0"/>
              <w:jc w:val="both"/>
              <w:rPr>
                <w:rFonts w:ascii="Times New Roman" w:hAnsi="Times New Roman"/>
                <w:sz w:val="24"/>
              </w:rPr>
            </w:pPr>
            <w:r>
              <w:rPr>
                <w:rFonts w:ascii="Times New Roman" w:hAnsi="Times New Roman"/>
                <w:sz w:val="24"/>
              </w:rPr>
              <w:t>By: </w:t>
            </w:r>
          </w:p>
        </w:tc>
        <w:tc>
          <w:tcPr>
            <w:tcW w:w="199" w:type="dxa"/>
            <w:tcBorders/>
            <w:vAlign w:val="bottom"/>
          </w:tcPr>
          <w:p>
            <w:pPr>
              <w:pStyle w:val="TableContents"/>
              <w:bidi w:val="0"/>
              <w:spacing w:before="0" w:after="283"/>
              <w:jc w:val="left"/>
              <w:rPr/>
            </w:pPr>
            <w:r>
              <w:rPr/>
              <w:t> </w:t>
            </w:r>
          </w:p>
        </w:tc>
        <w:tc>
          <w:tcPr>
            <w:tcW w:w="2813" w:type="dxa"/>
            <w:tcBorders/>
          </w:tcPr>
          <w:p>
            <w:pPr>
              <w:pStyle w:val="TableContents"/>
              <w:pBdr>
                <w:bottom w:val="single" w:sz="2" w:space="1" w:color="000000"/>
              </w:pBdr>
              <w:bidi w:val="0"/>
              <w:spacing w:before="0" w:after="20"/>
              <w:jc w:val="left"/>
              <w:rPr/>
            </w:pPr>
            <w:r>
              <w:rPr/>
              <w:t> </w:t>
            </w:r>
          </w:p>
        </w:tc>
      </w:tr>
    </w:tbl>
    <w:p>
      <w:pPr>
        <w:pStyle w:val="TextBody"/>
        <w:bidi w:val="0"/>
        <w:spacing w:before="480" w:after="0"/>
        <w:jc w:val="both"/>
        <w:rPr>
          <w:rFonts w:ascii="Times New Roman" w:hAnsi="Times New Roman"/>
          <w:sz w:val="24"/>
        </w:rPr>
      </w:pPr>
      <w:r>
        <w:rPr>
          <w:rFonts w:ascii="Times New Roman" w:hAnsi="Times New Roman"/>
          <w:sz w:val="24"/>
        </w:rPr>
        <w:t xml:space="preserve">THIS CERTIFICATE OF THE TRUSTEE SIGNED ON THE SECURITIES WILL NOT BE CONSTRUED AS A REPRESENTATION OR WARRANTY BY THE TRUSTEE AS TO THE VALIDITY OF THE INDENTURE OR OF THE SECURITIES OR OF THEIR ISSUANCE AND THE TRUSTEE WILL IN NO RESPECT BE LIABLE OR ANSWERABLE FOR THE USE MADE OF SUCH SECURITIES OR ANY OF THEM OR THE PROCEEDS THEREOF. THIS CERTIFICATE OF THE TRUSTEE SIGNED ON THE SECURITIES WILL, HOWEVER, BE A REPRESENTATION AND WARRANTY BY THE TRUSTEE THAT THE SECURITIES HAVE BEEN DULY AUTHENTICATED BY OR ON BEHALF OF THE TRUSTEE PURSUANT TO THE PROVISIONS OF THE INDENTURE. </w:t>
      </w:r>
    </w:p>
    <w:p>
      <w:pPr>
        <w:pStyle w:val="TextBody"/>
        <w:bidi w:val="0"/>
        <w:spacing w:before="2400" w:after="0"/>
        <w:jc w:val="center"/>
        <w:rPr>
          <w:rFonts w:ascii="Times New Roman" w:hAnsi="Times New Roman"/>
          <w:i/>
          <w:sz w:val="20"/>
        </w:rPr>
      </w:pPr>
      <w:r>
        <w:rPr>
          <w:rFonts w:ascii="Times New Roman" w:hAnsi="Times New Roman"/>
          <w:i/>
          <w:sz w:val="20"/>
        </w:rPr>
        <w:t xml:space="preserve">Signature Page to Trustee’s Certificate of Note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4"/>
        </w:rPr>
      </w:pPr>
      <w:r>
        <w:rPr>
          <w:rFonts w:ascii="Times New Roman" w:hAnsi="Times New Roman"/>
          <w:b/>
          <w:sz w:val="24"/>
        </w:rPr>
        <w:t xml:space="preserve">[Reverse of Security] </w:t>
      </w:r>
    </w:p>
    <w:p>
      <w:pPr>
        <w:pStyle w:val="TextBody"/>
        <w:bidi w:val="0"/>
        <w:spacing w:before="240" w:after="0"/>
        <w:jc w:val="both"/>
        <w:rPr>
          <w:rFonts w:ascii="Times New Roman" w:hAnsi="Times New Roman"/>
          <w:sz w:val="24"/>
        </w:rPr>
      </w:pPr>
      <w:r>
        <w:rPr>
          <w:rFonts w:ascii="Times New Roman" w:hAnsi="Times New Roman"/>
          <w:sz w:val="24"/>
        </w:rPr>
        <w:t xml:space="preserve">This Security is one of a duly authorized issue of securities of the Company designated as its 5.100% Notes due 2028 (herein called the “Securities”) issued under an indenture, dated as of March 20, 2025 (herein called the “TR Finance Indenture”), among the Company, Thomson Reuters Corporation (“TRC”), West Publishing Corporation (“West Publishing”), Thomson Reuters Applications Inc. (“Thomson Reuters Applications”) and Thomson Reuters (Tax &amp; Accounting) Inc. (“Thomson Reuters (Tax &amp; Accounting)” and together, with West Publishing and Thomson Reuters Applications, the “Subsidiary Guarantors”), Deutsche Bank Trust Company Americas, as U.S. trustee (herein called the “Trustee”, which term includes any successor trustee under the Indenture), and Computershare Trust Company of Canada, as Canadian trustee (the “Canadian Trustee”), and a Sixth Supplemental Indenture, dated as of September 17, 2026, among the Company, TRC, the Subsidiary Guarantors, the Trustee and the Canadian Trustee (the “Sixth Supplemental Indenture” and, together with the TR Finance Indenture, referred to herein as the “Indenture”), to which Indenture and all indentures supplemental thereto reference is hereby made for a statement of the respective rights, limitations of rights, duties, obligations and immunities thereunder of the Company, the Trustee and the Holders, and of the terms upon which the Securities are, and are to be, authenticated and delivered. This Security is a global Security representing US$[●] aggregate principal amount of the Securities. </w:t>
      </w:r>
    </w:p>
    <w:p>
      <w:pPr>
        <w:pStyle w:val="TextBody"/>
        <w:bidi w:val="0"/>
        <w:spacing w:before="240" w:after="0"/>
        <w:jc w:val="both"/>
        <w:rPr>
          <w:rFonts w:ascii="Times New Roman" w:hAnsi="Times New Roman"/>
          <w:sz w:val="24"/>
        </w:rPr>
      </w:pPr>
      <w:r>
        <w:rPr>
          <w:rFonts w:ascii="Times New Roman" w:hAnsi="Times New Roman"/>
          <w:sz w:val="24"/>
        </w:rPr>
        <w:t xml:space="preserve">The Securities will be direct, unsecured obligations of the Company and will be fully and unconditionally guaranteed by TRC and the Subsidiary Guarantors. </w:t>
      </w:r>
    </w:p>
    <w:p>
      <w:pPr>
        <w:pStyle w:val="TextBody"/>
        <w:bidi w:val="0"/>
        <w:spacing w:before="240" w:after="0"/>
        <w:jc w:val="both"/>
        <w:rPr>
          <w:rFonts w:ascii="Times New Roman" w:hAnsi="Times New Roman"/>
          <w:sz w:val="24"/>
        </w:rPr>
      </w:pPr>
      <w:r>
        <w:rPr>
          <w:rFonts w:ascii="Times New Roman" w:hAnsi="Times New Roman"/>
          <w:sz w:val="24"/>
        </w:rPr>
        <w:t xml:space="preserve">Payment of the principal of (and premium, if any, on) and interest on this Security will be made at the office or agency of the Company maintained or caused to be maintained for that purpose in New York, New York or at such other office or agency of the Company as may be maintained or caused to be maintained for such purpose, in such coin or currency of the United States of America as at the time of payment is legal tender for payment of public and private debts; provided, however, that payment of the principal (and premium, if any) and interest may be made at the option of the Company (i) by check mailed to the address of the Person entitled thereto as such address shall appear on the Security Register or (ii) by wire transfer to an account maintained by the payee located in the United States or Canada; provided, that principal paid in relation to any Security, redeemed at the option of the Company or upon Maturity, shall be paid to the Holder of such Security only upon presentation and surrender of such Security to such office or agency referred to above. </w:t>
      </w:r>
    </w:p>
    <w:p>
      <w:pPr>
        <w:pStyle w:val="TextBody"/>
        <w:bidi w:val="0"/>
        <w:spacing w:before="240" w:after="0"/>
        <w:jc w:val="both"/>
        <w:rPr>
          <w:rFonts w:ascii="Times New Roman" w:hAnsi="Times New Roman"/>
          <w:sz w:val="24"/>
        </w:rPr>
      </w:pPr>
      <w:r>
        <w:rPr>
          <w:rFonts w:ascii="Times New Roman" w:hAnsi="Times New Roman"/>
          <w:sz w:val="24"/>
        </w:rPr>
        <w:t xml:space="preserve">This Security is not subject to any sinking fund. </w:t>
      </w:r>
    </w:p>
    <w:p>
      <w:pPr>
        <w:pStyle w:val="TextBody"/>
        <w:bidi w:val="0"/>
        <w:spacing w:before="240" w:after="0"/>
        <w:jc w:val="both"/>
        <w:rPr>
          <w:rFonts w:ascii="Times New Roman" w:hAnsi="Times New Roman"/>
          <w:sz w:val="24"/>
        </w:rPr>
      </w:pPr>
      <w:r>
        <w:rPr>
          <w:rFonts w:ascii="Times New Roman" w:hAnsi="Times New Roman"/>
          <w:sz w:val="24"/>
        </w:rPr>
        <w:t xml:space="preserve">Any Person who assumes the Company’s obligations hereunder pursuant to Article Eight of the TR Finance Indenture and who is domiciled in or under any jurisdiction other than a state of the United States will pay to the Holders such other additional amounts as may be payable under the Sixth Supplemental Indenture, and the Securities will be redeemable, at such Person’s option, in whole and not in part, at any time, on the other terms and conditions as set forth in the Sixth Supplemental Indenture.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- 2 -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The Company may redeem the Security at its option, in whole or in part, at any time and from time to time, at the applicable Redemption Price and on the other terms and conditions as set forth in the Sixth Supplemental Indenture. </w:t>
      </w:r>
    </w:p>
    <w:p>
      <w:pPr>
        <w:pStyle w:val="TextBody"/>
        <w:bidi w:val="0"/>
        <w:spacing w:before="240" w:after="0"/>
        <w:jc w:val="both"/>
        <w:rPr>
          <w:rFonts w:ascii="Times New Roman" w:hAnsi="Times New Roman"/>
          <w:sz w:val="24"/>
        </w:rPr>
      </w:pPr>
      <w:r>
        <w:rPr>
          <w:rFonts w:ascii="Times New Roman" w:hAnsi="Times New Roman"/>
          <w:sz w:val="24"/>
        </w:rPr>
        <w:t xml:space="preserve">In the case of any redemption of Securities, interest installments whose Stated Maturity is on or prior to the Redemption Date will be payable to the Holders of such Securities of record at the close of business on the relevant record date referred to on the face hereof. Securities (or portions thereof) for whose redemption provision is made in accordance with the Indenture shall cease to bear interest from and after the Redemption Date. </w:t>
      </w:r>
    </w:p>
    <w:p>
      <w:pPr>
        <w:pStyle w:val="TextBody"/>
        <w:bidi w:val="0"/>
        <w:spacing w:before="240" w:after="0"/>
        <w:jc w:val="both"/>
        <w:rPr>
          <w:rFonts w:ascii="Times New Roman" w:hAnsi="Times New Roman"/>
          <w:sz w:val="24"/>
        </w:rPr>
      </w:pPr>
      <w:r>
        <w:rPr>
          <w:rFonts w:ascii="Times New Roman" w:hAnsi="Times New Roman"/>
          <w:sz w:val="24"/>
        </w:rPr>
        <w:t xml:space="preserve">In the event of redemption of this Security in part only, a new Security or Securities for the unredeemed portion hereof shall be issued in the name of the Holder hereof upon the cancellation hereof. </w:t>
      </w:r>
    </w:p>
    <w:p>
      <w:pPr>
        <w:pStyle w:val="TextBody"/>
        <w:bidi w:val="0"/>
        <w:spacing w:before="240" w:after="0"/>
        <w:jc w:val="both"/>
        <w:rPr>
          <w:rFonts w:ascii="Times New Roman" w:hAnsi="Times New Roman"/>
          <w:sz w:val="24"/>
        </w:rPr>
      </w:pPr>
      <w:r>
        <w:rPr>
          <w:rFonts w:ascii="Times New Roman" w:hAnsi="Times New Roman"/>
          <w:sz w:val="24"/>
        </w:rPr>
        <w:t xml:space="preserve">The Securities will be subject to certain restrictive covenants as provided in the Sixth Supplemental Indenture. In addition, upon the occurrence of a Change of Control Triggering Event, unless the Company has exercised its right to redeem the Securities, the Company will be required to make an offer to purchase the Securities at a price equal to 101% of their principal amount, plus accrued and unpaid interest to the date of repurchase, in accordance with the terms and conditions as set forth in the Sixth Supplemental Indenture. </w:t>
      </w:r>
    </w:p>
    <w:p>
      <w:pPr>
        <w:pStyle w:val="TextBody"/>
        <w:bidi w:val="0"/>
        <w:spacing w:before="240" w:after="0"/>
        <w:jc w:val="both"/>
        <w:rPr>
          <w:rFonts w:ascii="Times New Roman" w:hAnsi="Times New Roman"/>
          <w:sz w:val="24"/>
        </w:rPr>
      </w:pPr>
      <w:r>
        <w:rPr>
          <w:rFonts w:ascii="Times New Roman" w:hAnsi="Times New Roman"/>
          <w:sz w:val="24"/>
        </w:rPr>
        <w:t xml:space="preserve">If an Event of Default (including any additional Events of Default as set forth in the Sixth Supplemental Indenture) shall occur and be continuing, the principal of the Securities may be declared due and payable in the manner and with the effect provided in the Indenture. </w:t>
      </w:r>
    </w:p>
    <w:p>
      <w:pPr>
        <w:pStyle w:val="TextBody"/>
        <w:bidi w:val="0"/>
        <w:spacing w:before="240" w:after="0"/>
        <w:jc w:val="both"/>
        <w:rPr>
          <w:rFonts w:ascii="Times New Roman" w:hAnsi="Times New Roman"/>
          <w:sz w:val="24"/>
        </w:rPr>
      </w:pPr>
      <w:r>
        <w:rPr>
          <w:rFonts w:ascii="Times New Roman" w:hAnsi="Times New Roman"/>
          <w:sz w:val="24"/>
        </w:rPr>
        <w:t xml:space="preserve">The Indenture contains provisions for defeasance at any time of (a) the entire indebtedness of the Company on this Security and (b) certain restrictive covenants and the related Defaults and Events of Default, in each case upon compliance by the Company with certain conditions set forth therein, which provisions apply to this Security. </w:t>
      </w:r>
    </w:p>
    <w:p>
      <w:pPr>
        <w:pStyle w:val="TextBody"/>
        <w:bidi w:val="0"/>
        <w:spacing w:before="240" w:after="0"/>
        <w:jc w:val="both"/>
        <w:rPr>
          <w:rFonts w:ascii="Times New Roman" w:hAnsi="Times New Roman"/>
          <w:sz w:val="24"/>
        </w:rPr>
      </w:pPr>
      <w:r>
        <w:rPr>
          <w:rFonts w:ascii="Times New Roman" w:hAnsi="Times New Roman"/>
          <w:sz w:val="24"/>
        </w:rPr>
        <w:t xml:space="preserve">The Company has the right at any time, without notice to or consent of the Holders, to designate one of its Wholly-Owned Subsidiaries (as defined in the Sixth Supplemental Indenture) to assume, as co-obligor (a “Co-Obligor”) on a joint and several basis with the Company, all obligations of the Company under the Indenture (insofar as it applies to the Securities) and the Securities, provided that the conditions set out in the Indenture are satisfied. The obligations of the Co-Obligor under the Securities shall rank equally with all of the Co-Obligor’s other unsecured and unsubordinated obligations. </w:t>
      </w:r>
    </w:p>
    <w:p>
      <w:pPr>
        <w:pStyle w:val="TextBody"/>
        <w:bidi w:val="0"/>
        <w:spacing w:before="240" w:after="0"/>
        <w:jc w:val="both"/>
        <w:rPr>
          <w:rFonts w:ascii="Times New Roman" w:hAnsi="Times New Roman"/>
          <w:sz w:val="24"/>
        </w:rPr>
      </w:pPr>
      <w:r>
        <w:rPr>
          <w:rFonts w:ascii="Times New Roman" w:hAnsi="Times New Roman"/>
          <w:sz w:val="24"/>
        </w:rPr>
        <w:t xml:space="preserve">The Indenture permits, with certain exceptions as therein provided, the amendment thereof and the modification of the rights and obligations of the Company and the rights of the Holders of the Securities of such series affected thereby under the Indenture at any time by the Company and the Trustee with the consent of the Holders of not less than a majority in aggregate principal amount of all affected Securities at the time Outstanding. The Indenture also contains provisions permitting the Holders of specified percentages in aggregate principal amount of the Securities at the time Outstanding, on behalf of the Holders of all the Securities affected thereby, to waive compliance by the Company with certain provisions of the Indenture and certain past defaults under the Indenture and their consequences. Any such consent or waiver by or on behalf of the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- 3 -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 </w:t>
      </w:r>
    </w:p>
    <w:p>
      <w:pPr>
        <w:pStyle w:val="TextBody"/>
        <w:bidi w:val="0"/>
        <w:spacing w:before="240" w:after="0"/>
        <w:jc w:val="both"/>
        <w:rPr>
          <w:rFonts w:ascii="Times New Roman" w:hAnsi="Times New Roman"/>
          <w:sz w:val="24"/>
        </w:rPr>
      </w:pPr>
      <w:r>
        <w:rPr>
          <w:rFonts w:ascii="Times New Roman" w:hAnsi="Times New Roman"/>
          <w:sz w:val="24"/>
        </w:rPr>
        <w:t xml:space="preserve">The Company may from time to time, without notice to or the consent of the Holders, create and issue further Securities ranking </w:t>
      </w:r>
      <w:r>
        <w:rPr>
          <w:rFonts w:ascii="Times New Roman" w:hAnsi="Times New Roman"/>
          <w:i/>
          <w:sz w:val="24"/>
        </w:rPr>
        <w:t>pari passu</w:t>
      </w:r>
      <w:r>
        <w:rPr>
          <w:rFonts w:ascii="Times New Roman" w:hAnsi="Times New Roman"/>
          <w:sz w:val="24"/>
        </w:rPr>
        <w:t xml:space="preserve"> with the Securities in all respects (or in all respects except for the payment of interest accruing prior to the issue date of the Securities or except for the first payment of interest following the issue date of the Securities) and so that such further Securities may be consolidated and form a single series with the Securities and have the same terms as to status, redemption or otherwise as the Securities. </w:t>
      </w:r>
    </w:p>
    <w:p>
      <w:pPr>
        <w:pStyle w:val="TextBody"/>
        <w:bidi w:val="0"/>
        <w:spacing w:before="240" w:after="0"/>
        <w:jc w:val="both"/>
        <w:rPr>
          <w:rFonts w:ascii="Times New Roman" w:hAnsi="Times New Roman"/>
          <w:sz w:val="24"/>
        </w:rPr>
      </w:pPr>
      <w:r>
        <w:rPr>
          <w:rFonts w:ascii="Times New Roman" w:hAnsi="Times New Roman"/>
          <w:sz w:val="24"/>
        </w:rPr>
        <w:t xml:space="preserve">No reference herein to the Indenture and no provision of this Security or of the Indenture shall alter or impair the obligation of the Company, which is absolute and unconditional, to pay the principal of (and premium, if any, on) and interest on this Security at the times, place, and rate, and in the coin or currency, herein prescribed. </w:t>
      </w:r>
    </w:p>
    <w:p>
      <w:pPr>
        <w:pStyle w:val="TextBody"/>
        <w:bidi w:val="0"/>
        <w:spacing w:before="240" w:after="0"/>
        <w:jc w:val="both"/>
        <w:rPr>
          <w:rFonts w:ascii="Times New Roman" w:hAnsi="Times New Roman"/>
          <w:sz w:val="24"/>
        </w:rPr>
      </w:pPr>
      <w:r>
        <w:rPr>
          <w:rFonts w:ascii="Times New Roman" w:hAnsi="Times New Roman"/>
          <w:sz w:val="24"/>
        </w:rPr>
        <w:t xml:space="preserve">As provided in the Indenture and subject to certain limitations therein set forth, the transfer of this Security is registerable on the Security Register of the Company, upon surrender of this Security for registration of transfer at the office or agency of the Company maintained or caused to be maintained for such purpose or at a central register maintained by the Trustee at the Corporate Trust Office in New York, New York, duly endorsed by, or accompanied by a written instrument of transfer in form satisfactory to the Company and the Security Registrar duly executed by, the Holder hereof or his attorney duly authorized in writing, and thereupon one or more new Securities, of authorized denominations and for the same aggregate principal amount, will be issued to the designated transferee or transferees. </w:t>
      </w:r>
    </w:p>
    <w:p>
      <w:pPr>
        <w:pStyle w:val="TextBody"/>
        <w:bidi w:val="0"/>
        <w:spacing w:before="240" w:after="0"/>
        <w:jc w:val="both"/>
        <w:rPr>
          <w:rFonts w:ascii="Times New Roman" w:hAnsi="Times New Roman"/>
          <w:sz w:val="24"/>
        </w:rPr>
      </w:pPr>
      <w:r>
        <w:rPr>
          <w:rFonts w:ascii="Times New Roman" w:hAnsi="Times New Roman"/>
          <w:sz w:val="24"/>
        </w:rPr>
        <w:t xml:space="preserve">The Securities are issuable only in registered form without coupons in denominations of US$2,000 and integral multiples of US$1,000 in excess thereof. As provided in the Indenture and subject to certain limitations therein set forth, the Securities are exchangeable for a like aggregate principal amount of Securities of a different authorized denomination, as requested by the Holder surrendering the same. </w:t>
      </w:r>
    </w:p>
    <w:p>
      <w:pPr>
        <w:pStyle w:val="TextBody"/>
        <w:bidi w:val="0"/>
        <w:spacing w:before="240" w:after="0"/>
        <w:jc w:val="both"/>
        <w:rPr>
          <w:rFonts w:ascii="Times New Roman" w:hAnsi="Times New Roman"/>
          <w:sz w:val="24"/>
        </w:rPr>
      </w:pPr>
      <w:r>
        <w:rPr>
          <w:rFonts w:ascii="Times New Roman" w:hAnsi="Times New Roman"/>
          <w:sz w:val="24"/>
        </w:rPr>
        <w:t xml:space="preserve">No service charge shall be made for any registration of transfer or exchange of Securities, but the Company may require payment of a sum sufficient to cover any tax or other governmental charge imposed in connection therewith, other than certain exchanges as specified in the Indenture. </w:t>
      </w:r>
    </w:p>
    <w:p>
      <w:pPr>
        <w:pStyle w:val="TextBody"/>
        <w:bidi w:val="0"/>
        <w:spacing w:before="240" w:after="0"/>
        <w:jc w:val="both"/>
        <w:rPr>
          <w:rFonts w:ascii="Times New Roman" w:hAnsi="Times New Roman"/>
          <w:sz w:val="24"/>
        </w:rPr>
      </w:pPr>
      <w:r>
        <w:rPr>
          <w:rFonts w:ascii="Times New Roman" w:hAnsi="Times New Roman"/>
          <w:sz w:val="24"/>
        </w:rPr>
        <w:t xml:space="preserve">Prior to the time of due presentment of this Security for registration of transfer, the Company, the Trustee and any agent of the Company or the Trustee may treat the Person in whose name this Security is registered as the owner hereof for all purposes, whether or not this Security be overdue, and none of the Company, the Trustee or any agent shall be affected by notice to the contrary. </w:t>
      </w:r>
    </w:p>
    <w:p>
      <w:pPr>
        <w:pStyle w:val="TextBody"/>
        <w:bidi w:val="0"/>
        <w:spacing w:before="240" w:after="0"/>
        <w:jc w:val="both"/>
        <w:rPr>
          <w:rFonts w:ascii="Times New Roman" w:hAnsi="Times New Roman"/>
          <w:sz w:val="24"/>
        </w:rPr>
      </w:pPr>
      <w:r>
        <w:rPr>
          <w:rFonts w:ascii="Times New Roman" w:hAnsi="Times New Roman"/>
          <w:sz w:val="24"/>
        </w:rPr>
        <w:t xml:space="preserve">The Paying Agent for the Securities initially is Deutsche Bank Trust Company Americas. </w:t>
      </w:r>
    </w:p>
    <w:p>
      <w:pPr>
        <w:pStyle w:val="TextBody"/>
        <w:bidi w:val="0"/>
        <w:spacing w:before="240" w:after="0"/>
        <w:jc w:val="both"/>
        <w:rPr>
          <w:rFonts w:ascii="Times New Roman" w:hAnsi="Times New Roman"/>
          <w:sz w:val="24"/>
        </w:rPr>
      </w:pPr>
      <w:r>
        <w:rPr>
          <w:rFonts w:ascii="Times New Roman" w:hAnsi="Times New Roman"/>
          <w:sz w:val="24"/>
        </w:rPr>
        <w:t xml:space="preserve">Any money that the Company deposits with the Trustee or any Paying Agent or held by the Company in trust for the payment of principal of (or premium, if any) or any interest on the Securities that remains unclaimed for two years after the date upon which the principal, premium,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- 4 -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if any, or interest are due and payable, will be repaid to the Company upon the Company’s request subject to the mandatory provisions of any applicable unclaimed property law. After that time, unless otherwise required by mandatory provisions of any unclaimed property law, the Holder will be able to seek any payment to which that Holder may be entitled to collect only from the Company. </w:t>
      </w:r>
    </w:p>
    <w:p>
      <w:pPr>
        <w:pStyle w:val="TextBody"/>
        <w:bidi w:val="0"/>
        <w:spacing w:before="240" w:after="0"/>
        <w:jc w:val="both"/>
        <w:rPr>
          <w:rFonts w:ascii="Times New Roman" w:hAnsi="Times New Roman"/>
          <w:sz w:val="24"/>
        </w:rPr>
      </w:pPr>
      <w:r>
        <w:rPr>
          <w:rFonts w:ascii="Times New Roman" w:hAnsi="Times New Roman"/>
          <w:sz w:val="24"/>
        </w:rPr>
        <w:t xml:space="preserve">The Company’s obligation to pay the principal of (or premium, if any) and interest on the Securities will cease if the Securities are not presented for payment within a period of ten years and a claim for interest is not made within five years from the date on which such principal, premium, if any, or interest, as the case may be, becomes due and payable. </w:t>
      </w:r>
    </w:p>
    <w:p>
      <w:pPr>
        <w:pStyle w:val="TextBody"/>
        <w:bidi w:val="0"/>
        <w:spacing w:before="240" w:after="0"/>
        <w:jc w:val="both"/>
        <w:rPr>
          <w:rFonts w:ascii="Times New Roman" w:hAnsi="Times New Roman"/>
          <w:sz w:val="24"/>
        </w:rPr>
      </w:pPr>
      <w:r>
        <w:rPr>
          <w:rFonts w:ascii="Times New Roman" w:hAnsi="Times New Roman"/>
          <w:sz w:val="24"/>
        </w:rPr>
        <w:t xml:space="preserve">The Indenture and this Security shall be governed by and construed in accordance with the laws of the State of New York. The exercise, performance or discharge by the Canadian Trustee of any of its rights, powers, duties or responsibilities thereunder shall be construed in accordance with the laws of the Province of Ontario and the federal laws of Canada applicable thereto. </w:t>
      </w:r>
    </w:p>
    <w:p>
      <w:pPr>
        <w:pStyle w:val="TextBody"/>
        <w:bidi w:val="0"/>
        <w:spacing w:before="240" w:after="0"/>
        <w:jc w:val="both"/>
        <w:rPr>
          <w:rFonts w:ascii="Times New Roman" w:hAnsi="Times New Roman"/>
          <w:sz w:val="24"/>
        </w:rPr>
      </w:pPr>
      <w:r>
        <w:rPr>
          <w:rFonts w:ascii="Times New Roman" w:hAnsi="Times New Roman"/>
          <w:sz w:val="24"/>
        </w:rPr>
        <w:t xml:space="preserve">All terms used in this Security which are defined in the Indenture shall have the meanings assigned to them in the Indenture.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4"/>
        </w:rPr>
      </w:pPr>
      <w:r>
        <w:rPr>
          <w:rFonts w:ascii="Times New Roman" w:hAnsi="Times New Roman"/>
          <w:b/>
          <w:sz w:val="24"/>
        </w:rPr>
        <w:t xml:space="preserve">EXHIBIT II </w:t>
      </w:r>
    </w:p>
    <w:p>
      <w:pPr>
        <w:pStyle w:val="TextBody"/>
        <w:bidi w:val="0"/>
        <w:spacing w:before="240" w:after="0"/>
        <w:jc w:val="center"/>
        <w:rPr>
          <w:rFonts w:ascii="Times New Roman" w:hAnsi="Times New Roman"/>
          <w:sz w:val="24"/>
        </w:rPr>
      </w:pPr>
      <w:r>
        <w:rPr>
          <w:rFonts w:ascii="Times New Roman" w:hAnsi="Times New Roman"/>
          <w:sz w:val="24"/>
        </w:rPr>
        <w:t xml:space="preserve">(Form of Global Note) </w:t>
      </w:r>
    </w:p>
    <w:p>
      <w:pPr>
        <w:pStyle w:val="TextBody"/>
        <w:bidi w:val="0"/>
        <w:spacing w:before="240" w:after="0"/>
        <w:jc w:val="both"/>
        <w:rPr>
          <w:rFonts w:ascii="Times New Roman" w:hAnsi="Times New Roman"/>
          <w:b/>
          <w:sz w:val="24"/>
        </w:rPr>
      </w:pPr>
      <w:r>
        <w:rPr>
          <w:rFonts w:ascii="Times New Roman" w:hAnsi="Times New Roman"/>
          <w:b/>
          <w:sz w:val="24"/>
        </w:rPr>
        <w:t xml:space="preserve">Unless this certificate is presented by an authorized representative of The Depository Trust Company, a New York corporation (“DTC”), to the Company (as defined below) or its agent for registration of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 </w:t>
      </w:r>
    </w:p>
    <w:p>
      <w:pPr>
        <w:pStyle w:val="TextBody"/>
        <w:bidi w:val="0"/>
        <w:spacing w:before="240" w:after="0"/>
        <w:jc w:val="both"/>
        <w:rPr>
          <w:rFonts w:ascii="Times New Roman" w:hAnsi="Times New Roman"/>
          <w:b/>
          <w:sz w:val="24"/>
        </w:rPr>
      </w:pPr>
      <w:r>
        <w:rPr>
          <w:rFonts w:ascii="Times New Roman" w:hAnsi="Times New Roman"/>
          <w:b/>
          <w:sz w:val="24"/>
        </w:rPr>
        <w:t xml:space="preserve">Unless and until it is exchanged in whole or in part for Securities in definitive registered form, this certificate may not be transferred except as a whole by DTC to a nominee of DTC or by a nominee of DTC to DTC or another nominee of DTC or by DTC or any such nominee to a successor Depositary or a nominee of such successor Depositary. </w:t>
      </w:r>
    </w:p>
    <w:p>
      <w:pPr>
        <w:pStyle w:val="TextBody"/>
        <w:bidi w:val="0"/>
        <w:spacing w:before="480" w:after="0"/>
        <w:jc w:val="center"/>
        <w:rPr>
          <w:rFonts w:ascii="Times New Roman" w:hAnsi="Times New Roman"/>
          <w:b/>
          <w:sz w:val="24"/>
        </w:rPr>
      </w:pPr>
      <w:r>
        <w:rPr>
          <w:rFonts w:ascii="Times New Roman" w:hAnsi="Times New Roman"/>
          <w:b/>
          <w:sz w:val="24"/>
        </w:rPr>
        <w:t xml:space="preserve">TR FINANCE LLC </w:t>
      </w:r>
    </w:p>
    <w:p>
      <w:pPr>
        <w:pStyle w:val="TextBody"/>
        <w:bidi w:val="0"/>
        <w:spacing w:before="240" w:after="0"/>
        <w:jc w:val="center"/>
        <w:rPr>
          <w:rFonts w:ascii="Times New Roman" w:hAnsi="Times New Roman"/>
          <w:sz w:val="24"/>
        </w:rPr>
      </w:pPr>
      <w:r>
        <w:rPr>
          <w:rFonts w:ascii="Times New Roman" w:hAnsi="Times New Roman"/>
          <w:sz w:val="24"/>
        </w:rPr>
        <w:t xml:space="preserve">5.750% Notes due 2033 </w:t>
      </w:r>
    </w:p>
    <w:p>
      <w:pPr>
        <w:pStyle w:val="TextBody"/>
        <w:bidi w:val="0"/>
        <w:spacing w:before="240" w:after="0"/>
        <w:jc w:val="both"/>
        <w:rPr>
          <w:rFonts w:ascii="Times New Roman" w:hAnsi="Times New Roman"/>
          <w:sz w:val="24"/>
        </w:rPr>
      </w:pPr>
      <w:r>
        <w:rPr>
          <w:rFonts w:ascii="Times New Roman" w:hAnsi="Times New Roman"/>
          <w:sz w:val="24"/>
        </w:rPr>
        <w:t xml:space="preserve">No. [●] </w:t>
      </w:r>
    </w:p>
    <w:p>
      <w:pPr>
        <w:pStyle w:val="TextBody"/>
        <w:bidi w:val="0"/>
        <w:spacing w:before="240" w:after="0"/>
        <w:jc w:val="right"/>
        <w:rPr>
          <w:rFonts w:ascii="Times New Roman" w:hAnsi="Times New Roman"/>
          <w:sz w:val="24"/>
        </w:rPr>
      </w:pPr>
      <w:r>
        <w:rPr>
          <w:rFonts w:ascii="Times New Roman" w:hAnsi="Times New Roman"/>
          <w:sz w:val="24"/>
        </w:rPr>
        <w:t xml:space="preserve">US$[●] </w:t>
      </w:r>
    </w:p>
    <w:p>
      <w:pPr>
        <w:pStyle w:val="TextBody"/>
        <w:bidi w:val="0"/>
        <w:spacing w:before="0" w:after="0"/>
        <w:jc w:val="right"/>
        <w:rPr>
          <w:rFonts w:ascii="Times New Roman" w:hAnsi="Times New Roman"/>
          <w:sz w:val="24"/>
        </w:rPr>
      </w:pPr>
      <w:r>
        <w:rPr>
          <w:rFonts w:ascii="Times New Roman" w:hAnsi="Times New Roman"/>
          <w:sz w:val="24"/>
        </w:rPr>
        <w:t xml:space="preserve">CUSIP: 87268LAG2 </w:t>
      </w:r>
    </w:p>
    <w:p>
      <w:pPr>
        <w:pStyle w:val="TextBody"/>
        <w:bidi w:val="0"/>
        <w:spacing w:before="0" w:after="0"/>
        <w:jc w:val="right"/>
        <w:rPr>
          <w:rFonts w:ascii="Times New Roman" w:hAnsi="Times New Roman"/>
          <w:sz w:val="24"/>
        </w:rPr>
      </w:pPr>
      <w:r>
        <w:rPr>
          <w:rFonts w:ascii="Times New Roman" w:hAnsi="Times New Roman"/>
          <w:sz w:val="24"/>
        </w:rPr>
        <w:t xml:space="preserve">ISIN: US87268LAG23 </w:t>
      </w:r>
    </w:p>
    <w:p>
      <w:pPr>
        <w:pStyle w:val="TextBody"/>
        <w:bidi w:val="0"/>
        <w:spacing w:before="240" w:after="0"/>
        <w:jc w:val="both"/>
        <w:rPr>
          <w:rFonts w:ascii="Times New Roman" w:hAnsi="Times New Roman"/>
          <w:sz w:val="24"/>
        </w:rPr>
      </w:pPr>
      <w:r>
        <w:rPr>
          <w:rFonts w:ascii="Times New Roman" w:hAnsi="Times New Roman"/>
          <w:sz w:val="24"/>
        </w:rPr>
        <w:t xml:space="preserve">TR Finance LLC, a limited liability company formed under the laws of the State of Delaware (herein called the “Company”, which term includes any successor Person under the Indenture hereinafter referred to), for value received, hereby promises to pay to Cede &amp; Co., or its registered assigns, the principal sum of US$[●] ([●] UNITED STATES DOLLARS) on September 15, 2033, at the office or agency of the Company referred to below, and to pay interest thereon on [●], 20[●], and semi-annually thereafter, on March 15 and September 15 in each year, from September 17, 2026, or from the most recent Interest Payment Date to which interest has been paid or duly provided for, at the rate of 5.750% per annum, until the principal hereof is paid or duly provided for, and (to the extent lawful) to pay on demand interest on any overdue interest at the rate borne by the Securities from the date on which such overdue interest becomes payable to the date payment of such interest has been made or duly provided for. The interest so payable, and punctually paid or duly provided for, on any Interest Payment Date will, as provided in such Indenture, be paid to the Person in whose name this Security is registered at the close of business on the Regular Record Date for such interest, which shall be March 1 or September 1 (whether or not a Business Day), as the case may be, next preceding such Interest Payment Date. Any such interest not so punctually paid or duly provided for shall forthwith cease to be payable to the Holder on such Regular Record Date, and such defaulted interest and (to the extent lawful) interest on such defaulted interest at the rate borne by the Securities, may be paid to the Person in whose name this Security is registered at the close of business on a Special Record Date for the payment of such Defaulted Interest to be fixed by the Trustee, notice whereof shall be given to Holders not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- 6 -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less than 10 days prior to such Special Record Date, or may be paid at any time in any other lawful manner not inconsistent with the requirements of any securities exchange on which the Securities may be listed, and upon such notice as may be required by such exchange, all as more fully provided in said Indenture. </w:t>
      </w:r>
    </w:p>
    <w:p>
      <w:pPr>
        <w:pStyle w:val="TextBody"/>
        <w:bidi w:val="0"/>
        <w:spacing w:before="240" w:after="0"/>
        <w:jc w:val="both"/>
        <w:rPr>
          <w:rFonts w:ascii="Times New Roman" w:hAnsi="Times New Roman"/>
          <w:sz w:val="24"/>
        </w:rPr>
      </w:pPr>
      <w:r>
        <w:rPr>
          <w:rFonts w:ascii="Times New Roman" w:hAnsi="Times New Roman"/>
          <w:sz w:val="24"/>
        </w:rPr>
        <w:t xml:space="preserve">Reference is hereby made to the further provisions of this Security set forth on the reverse hereof, which further provisions shall for all purposes have the same effect as if set forth at this place. </w:t>
      </w:r>
    </w:p>
    <w:p>
      <w:pPr>
        <w:pStyle w:val="TextBody"/>
        <w:bidi w:val="0"/>
        <w:spacing w:before="240" w:after="0"/>
        <w:jc w:val="both"/>
        <w:rPr>
          <w:rFonts w:ascii="Times New Roman" w:hAnsi="Times New Roman"/>
          <w:sz w:val="24"/>
        </w:rPr>
      </w:pPr>
      <w:r>
        <w:rPr>
          <w:rFonts w:ascii="Times New Roman" w:hAnsi="Times New Roman"/>
          <w:sz w:val="24"/>
        </w:rPr>
        <w:t xml:space="preserve">Unless the certificate of authentication hereon has been duly executed by the Trustee by manual or electronic signature, this Security shall not be entitled to any benefit under the Indenture, or be valid or obligatory for any purpose. </w:t>
      </w:r>
    </w:p>
    <w:p>
      <w:pPr>
        <w:pStyle w:val="TextBody"/>
        <w:bidi w:val="0"/>
        <w:spacing w:before="240" w:after="0"/>
        <w:jc w:val="center"/>
        <w:rPr>
          <w:rFonts w:ascii="Times New Roman" w:hAnsi="Times New Roman"/>
          <w:i/>
          <w:sz w:val="24"/>
        </w:rPr>
      </w:pPr>
      <w:r>
        <w:rPr>
          <w:rFonts w:ascii="Times New Roman" w:hAnsi="Times New Roman"/>
          <w:i/>
          <w:sz w:val="24"/>
        </w:rPr>
        <w:t xml:space="preserve">Remaining pages left blank intentionally.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4"/>
        </w:rPr>
      </w:pPr>
      <w:r>
        <w:rPr>
          <w:rFonts w:ascii="Times New Roman" w:hAnsi="Times New Roman"/>
          <w:sz w:val="24"/>
        </w:rPr>
        <w:t xml:space="preserve">IN WITNESS WHEREOF, the Company has caused this instrument to be duly executed and attested. </w:t>
      </w:r>
    </w:p>
    <w:p>
      <w:pPr>
        <w:pStyle w:val="TextBody"/>
        <w:bidi w:val="0"/>
        <w:spacing w:before="240" w:after="0"/>
        <w:jc w:val="both"/>
        <w:rPr>
          <w:rFonts w:ascii="Times New Roman" w:hAnsi="Times New Roman"/>
          <w:sz w:val="24"/>
        </w:rPr>
      </w:pPr>
      <w:r>
        <w:rPr>
          <w:rFonts w:ascii="Times New Roman" w:hAnsi="Times New Roman"/>
          <w:sz w:val="24"/>
        </w:rPr>
        <w:t xml:space="preserve">Dated: [●], 20[●]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28"/>
        <w:gridCol w:w="60"/>
        <w:gridCol w:w="784"/>
        <w:gridCol w:w="60"/>
        <w:gridCol w:w="2550"/>
      </w:tblGrid>
      <w:tr>
        <w:trPr/>
        <w:tc>
          <w:tcPr>
            <w:tcW w:w="62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50"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0"/>
              <w:jc w:val="both"/>
              <w:rPr>
                <w:rFonts w:ascii="Times New Roman" w:hAnsi="Times New Roman"/>
                <w:b/>
                <w:sz w:val="24"/>
              </w:rPr>
            </w:pPr>
            <w:r>
              <w:rPr>
                <w:rFonts w:ascii="Times New Roman" w:hAnsi="Times New Roman"/>
                <w:b/>
                <w:sz w:val="24"/>
              </w:rPr>
              <w:t>TR FINANCE LLC</w:t>
            </w:r>
          </w:p>
        </w:tc>
      </w:tr>
      <w:tr>
        <w:trPr>
          <w:trHeight w:val="240" w:hRule="atLeast"/>
        </w:trPr>
        <w:tc>
          <w:tcPr>
            <w:tcW w:w="628" w:type="dxa"/>
            <w:tcBorders/>
            <w:vAlign w:val="center"/>
          </w:tcPr>
          <w:p>
            <w:pPr>
              <w:pStyle w:val="TableContents"/>
              <w:bidi w:val="0"/>
              <w:spacing w:before="0" w:after="283"/>
              <w:jc w:val="left"/>
              <w:rPr>
                <w:sz w:val="4"/>
                <w:szCs w:val="4"/>
              </w:rPr>
            </w:pPr>
            <w:r>
              <w:rPr>
                <w:sz w:val="4"/>
                <w:szCs w:val="4"/>
              </w:rPr>
            </w:r>
          </w:p>
        </w:tc>
        <w:tc>
          <w:tcPr>
            <w:tcW w:w="3454" w:type="dxa"/>
            <w:gridSpan w:val="4"/>
            <w:tcBorders/>
            <w:vAlign w:val="center"/>
          </w:tcPr>
          <w:p>
            <w:pPr>
              <w:pStyle w:val="TableContents"/>
              <w:bidi w:val="0"/>
              <w:spacing w:before="0" w:after="283"/>
              <w:jc w:val="left"/>
              <w:rPr>
                <w:sz w:val="4"/>
                <w:szCs w:val="4"/>
              </w:rPr>
            </w:pPr>
            <w:r>
              <w:rPr>
                <w:sz w:val="4"/>
                <w:szCs w:val="4"/>
              </w:rPr>
            </w:r>
          </w:p>
        </w:tc>
      </w:tr>
      <w:tr>
        <w:trPr/>
        <w:tc>
          <w:tcPr>
            <w:tcW w:w="628" w:type="dxa"/>
            <w:tcBorders/>
          </w:tcPr>
          <w:p>
            <w:pPr>
              <w:pStyle w:val="TableContents"/>
              <w:bidi w:val="0"/>
              <w:spacing w:before="0" w:after="0"/>
              <w:jc w:val="both"/>
              <w:rPr>
                <w:rFonts w:ascii="Times New Roman" w:hAnsi="Times New Roman"/>
                <w:sz w:val="24"/>
              </w:rPr>
            </w:pPr>
            <w:r>
              <w:rPr>
                <w:rFonts w:ascii="Times New Roman" w:hAnsi="Times New Roman"/>
                <w:sz w:val="24"/>
              </w:rPr>
              <w:t>By:</w:t>
            </w:r>
          </w:p>
        </w:tc>
        <w:tc>
          <w:tcPr>
            <w:tcW w:w="60" w:type="dxa"/>
            <w:tcBorders/>
            <w:vAlign w:val="bottom"/>
          </w:tcPr>
          <w:p>
            <w:pPr>
              <w:pStyle w:val="TableContents"/>
              <w:bidi w:val="0"/>
              <w:spacing w:before="0" w:after="283"/>
              <w:jc w:val="left"/>
              <w:rPr/>
            </w:pPr>
            <w:r>
              <w:rPr/>
              <w:t> </w:t>
            </w:r>
          </w:p>
        </w:tc>
        <w:tc>
          <w:tcPr>
            <w:tcW w:w="3394" w:type="dxa"/>
            <w:gridSpan w:val="3"/>
            <w:tcBorders/>
          </w:tcPr>
          <w:p>
            <w:pPr>
              <w:pStyle w:val="TableContents"/>
              <w:pBdr>
                <w:bottom w:val="single" w:sz="2" w:space="1" w:color="000000"/>
              </w:pBdr>
              <w:bidi w:val="0"/>
              <w:spacing w:before="0" w:after="20"/>
              <w:jc w:val="left"/>
              <w:rPr/>
            </w:pPr>
            <w:r>
              <w:rPr/>
              <w:t> </w:t>
            </w:r>
          </w:p>
        </w:tc>
      </w:tr>
      <w:tr>
        <w:trPr/>
        <w:tc>
          <w:tcPr>
            <w:tcW w:w="62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84" w:type="dxa"/>
            <w:tcBorders/>
          </w:tcPr>
          <w:p>
            <w:pPr>
              <w:pStyle w:val="TableContents"/>
              <w:bidi w:val="0"/>
              <w:spacing w:before="0" w:after="0"/>
              <w:jc w:val="both"/>
              <w:rPr/>
            </w:pPr>
            <w:r>
              <w:rPr/>
              <w:t> </w:t>
            </w:r>
            <w:r>
              <w:rPr>
                <w:rFonts w:ascii="Times New Roman" w:hAnsi="Times New Roman"/>
                <w:sz w:val="24"/>
              </w:rPr>
              <w:t>Name:</w:t>
            </w:r>
          </w:p>
        </w:tc>
        <w:tc>
          <w:tcPr>
            <w:tcW w:w="60" w:type="dxa"/>
            <w:tcBorders/>
            <w:vAlign w:val="bottom"/>
          </w:tcPr>
          <w:p>
            <w:pPr>
              <w:pStyle w:val="TableContents"/>
              <w:bidi w:val="0"/>
              <w:spacing w:before="0" w:after="283"/>
              <w:jc w:val="left"/>
              <w:rPr/>
            </w:pPr>
            <w:r>
              <w:rPr/>
              <w:t> </w:t>
            </w:r>
          </w:p>
        </w:tc>
        <w:tc>
          <w:tcPr>
            <w:tcW w:w="2550" w:type="dxa"/>
            <w:tcBorders/>
          </w:tcPr>
          <w:p>
            <w:pPr>
              <w:pStyle w:val="TableContents"/>
              <w:bidi w:val="0"/>
              <w:spacing w:before="0" w:after="283"/>
              <w:jc w:val="left"/>
              <w:rPr>
                <w:sz w:val="4"/>
                <w:szCs w:val="4"/>
              </w:rPr>
            </w:pPr>
            <w:r>
              <w:rPr>
                <w:sz w:val="4"/>
                <w:szCs w:val="4"/>
              </w:rPr>
            </w:r>
          </w:p>
        </w:tc>
      </w:tr>
      <w:tr>
        <w:trPr/>
        <w:tc>
          <w:tcPr>
            <w:tcW w:w="62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84" w:type="dxa"/>
            <w:tcBorders/>
          </w:tcPr>
          <w:p>
            <w:pPr>
              <w:pStyle w:val="TableContents"/>
              <w:bidi w:val="0"/>
              <w:spacing w:before="0" w:after="0"/>
              <w:jc w:val="both"/>
              <w:rPr/>
            </w:pPr>
            <w:r>
              <w:rPr/>
              <w:t> </w:t>
            </w:r>
            <w:r>
              <w:rPr>
                <w:rFonts w:ascii="Times New Roman" w:hAnsi="Times New Roman"/>
                <w:sz w:val="24"/>
              </w:rPr>
              <w:t>Title:</w:t>
            </w:r>
          </w:p>
        </w:tc>
        <w:tc>
          <w:tcPr>
            <w:tcW w:w="60" w:type="dxa"/>
            <w:tcBorders/>
            <w:vAlign w:val="bottom"/>
          </w:tcPr>
          <w:p>
            <w:pPr>
              <w:pStyle w:val="TableContents"/>
              <w:bidi w:val="0"/>
              <w:spacing w:before="0" w:after="283"/>
              <w:jc w:val="left"/>
              <w:rPr/>
            </w:pPr>
            <w:r>
              <w:rPr/>
              <w:t> </w:t>
            </w:r>
          </w:p>
        </w:tc>
        <w:tc>
          <w:tcPr>
            <w:tcW w:w="2550"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67"/>
        <w:gridCol w:w="60"/>
        <w:gridCol w:w="3255"/>
      </w:tblGrid>
      <w:tr>
        <w:trPr/>
        <w:tc>
          <w:tcPr>
            <w:tcW w:w="76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55" w:type="dxa"/>
            <w:tcBorders/>
            <w:vAlign w:val="center"/>
          </w:tcPr>
          <w:p>
            <w:pPr>
              <w:pStyle w:val="TableContents"/>
              <w:bidi w:val="0"/>
              <w:spacing w:before="0" w:after="283"/>
              <w:jc w:val="left"/>
              <w:rPr>
                <w:sz w:val="4"/>
                <w:szCs w:val="4"/>
              </w:rPr>
            </w:pPr>
            <w:r>
              <w:rPr>
                <w:sz w:val="4"/>
                <w:szCs w:val="4"/>
              </w:rPr>
            </w:r>
          </w:p>
        </w:tc>
      </w:tr>
      <w:tr>
        <w:trPr/>
        <w:tc>
          <w:tcPr>
            <w:tcW w:w="767" w:type="dxa"/>
            <w:tcBorders/>
          </w:tcPr>
          <w:p>
            <w:pPr>
              <w:pStyle w:val="TableContents"/>
              <w:bidi w:val="0"/>
              <w:spacing w:before="0" w:after="0"/>
              <w:jc w:val="both"/>
              <w:rPr>
                <w:rFonts w:ascii="Times New Roman" w:hAnsi="Times New Roman"/>
                <w:sz w:val="24"/>
              </w:rPr>
            </w:pPr>
            <w:r>
              <w:rPr>
                <w:rFonts w:ascii="Times New Roman" w:hAnsi="Times New Roman"/>
                <w:sz w:val="24"/>
              </w:rPr>
              <w:t>Attest: 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255" w:type="dxa"/>
            <w:tcBorders>
              <w:bottom w:val="single" w:sz="2" w:space="0" w:color="000000"/>
            </w:tcBorders>
            <w:tcMar>
              <w:bottom w:w="28" w:type="dxa"/>
            </w:tcMar>
          </w:tcPr>
          <w:p>
            <w:pPr>
              <w:pStyle w:val="TableContents"/>
              <w:bidi w:val="0"/>
              <w:spacing w:before="0" w:after="283"/>
              <w:jc w:val="left"/>
              <w:rPr/>
            </w:pPr>
            <w:r>
              <w:rPr/>
              <w:t> </w:t>
            </w:r>
          </w:p>
        </w:tc>
      </w:tr>
      <w:tr>
        <w:trPr/>
        <w:tc>
          <w:tcPr>
            <w:tcW w:w="76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55" w:type="dxa"/>
            <w:tcBorders/>
          </w:tcPr>
          <w:p>
            <w:pPr>
              <w:pStyle w:val="TableContents"/>
              <w:bidi w:val="0"/>
              <w:spacing w:before="0" w:after="0"/>
              <w:jc w:val="both"/>
              <w:rPr/>
            </w:pPr>
            <w:r>
              <w:rPr/>
              <w:t> </w:t>
            </w:r>
            <w:r>
              <w:rPr>
                <w:rFonts w:ascii="Times New Roman" w:hAnsi="Times New Roman"/>
                <w:sz w:val="24"/>
              </w:rPr>
              <w:t>Name:</w:t>
            </w:r>
          </w:p>
          <w:p>
            <w:pPr>
              <w:pStyle w:val="TableContents"/>
              <w:bidi w:val="0"/>
              <w:spacing w:before="0" w:after="20"/>
              <w:jc w:val="both"/>
              <w:rPr/>
            </w:pPr>
            <w:r>
              <w:rPr/>
              <w:t> </w:t>
            </w:r>
            <w:r>
              <w:rPr>
                <w:rFonts w:ascii="Times New Roman" w:hAnsi="Times New Roman"/>
                <w:sz w:val="24"/>
              </w:rPr>
              <w:t>Title:</w:t>
            </w:r>
          </w:p>
        </w:tc>
      </w:tr>
    </w:tbl>
    <w:p>
      <w:pPr>
        <w:pStyle w:val="TextBody"/>
        <w:bidi w:val="0"/>
        <w:spacing w:before="2400" w:after="0"/>
        <w:jc w:val="center"/>
        <w:rPr>
          <w:rFonts w:ascii="Times New Roman" w:hAnsi="Times New Roman"/>
          <w:i/>
          <w:sz w:val="20"/>
        </w:rPr>
      </w:pPr>
      <w:r>
        <w:rPr>
          <w:rFonts w:ascii="Times New Roman" w:hAnsi="Times New Roman"/>
          <w:i/>
          <w:sz w:val="20"/>
        </w:rPr>
        <w:t xml:space="preserve">Signature Page to Note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4"/>
        </w:rPr>
      </w:pPr>
      <w:r>
        <w:rPr>
          <w:rFonts w:ascii="Times New Roman" w:hAnsi="Times New Roman"/>
          <w:b/>
          <w:sz w:val="24"/>
        </w:rPr>
        <w:t xml:space="preserve">TRUSTEE’S CERTIFICATE OF AUTHENTICATION </w:t>
      </w:r>
    </w:p>
    <w:p>
      <w:pPr>
        <w:pStyle w:val="TextBody"/>
        <w:bidi w:val="0"/>
        <w:spacing w:before="240" w:after="0"/>
        <w:jc w:val="both"/>
        <w:rPr>
          <w:rFonts w:ascii="Times New Roman" w:hAnsi="Times New Roman"/>
          <w:sz w:val="24"/>
        </w:rPr>
      </w:pPr>
      <w:r>
        <w:rPr>
          <w:rFonts w:ascii="Times New Roman" w:hAnsi="Times New Roman"/>
          <w:sz w:val="24"/>
        </w:rPr>
        <w:t xml:space="preserve">This is one of the Securities of the series designated as the 5.750% Notes due 2033, and issued under the Indenture as described herein.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070"/>
        <w:gridCol w:w="199"/>
        <w:gridCol w:w="2813"/>
      </w:tblGrid>
      <w:tr>
        <w:trPr/>
        <w:tc>
          <w:tcPr>
            <w:tcW w:w="1070"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281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both"/>
              <w:rPr>
                <w:rFonts w:ascii="Times New Roman" w:hAnsi="Times New Roman"/>
                <w:b/>
                <w:sz w:val="24"/>
              </w:rPr>
            </w:pPr>
            <w:r>
              <w:rPr>
                <w:rFonts w:ascii="Times New Roman" w:hAnsi="Times New Roman"/>
                <w:b/>
                <w:sz w:val="24"/>
              </w:rPr>
              <w:t>DEUTSCHE BANK TRUST</w:t>
            </w:r>
          </w:p>
          <w:p>
            <w:pPr>
              <w:pStyle w:val="TableContents"/>
              <w:bidi w:val="0"/>
              <w:spacing w:before="0" w:after="20"/>
              <w:jc w:val="both"/>
              <w:rPr>
                <w:rFonts w:ascii="Times New Roman" w:hAnsi="Times New Roman"/>
                <w:sz w:val="24"/>
              </w:rPr>
            </w:pPr>
            <w:r>
              <w:rPr>
                <w:rFonts w:ascii="Times New Roman" w:hAnsi="Times New Roman"/>
                <w:b/>
                <w:sz w:val="24"/>
              </w:rPr>
              <w:t xml:space="preserve">COMPANY AMERICAS, </w:t>
            </w:r>
            <w:r>
              <w:rPr>
                <w:rFonts w:ascii="Times New Roman" w:hAnsi="Times New Roman"/>
                <w:sz w:val="24"/>
              </w:rPr>
              <w:t>as Trustee</w:t>
            </w:r>
          </w:p>
        </w:tc>
      </w:tr>
      <w:tr>
        <w:trPr>
          <w:trHeight w:val="240" w:hRule="atLeast"/>
        </w:trPr>
        <w:tc>
          <w:tcPr>
            <w:tcW w:w="1070" w:type="dxa"/>
            <w:tcBorders/>
            <w:vAlign w:val="center"/>
          </w:tcPr>
          <w:p>
            <w:pPr>
              <w:pStyle w:val="TableContents"/>
              <w:bidi w:val="0"/>
              <w:spacing w:before="0" w:after="283"/>
              <w:jc w:val="left"/>
              <w:rPr>
                <w:sz w:val="4"/>
                <w:szCs w:val="4"/>
              </w:rPr>
            </w:pPr>
            <w:r>
              <w:rPr>
                <w:sz w:val="4"/>
                <w:szCs w:val="4"/>
              </w:rPr>
            </w:r>
          </w:p>
        </w:tc>
        <w:tc>
          <w:tcPr>
            <w:tcW w:w="3012" w:type="dxa"/>
            <w:gridSpan w:val="2"/>
            <w:tcBorders/>
            <w:vAlign w:val="center"/>
          </w:tcPr>
          <w:p>
            <w:pPr>
              <w:pStyle w:val="TableContents"/>
              <w:bidi w:val="0"/>
              <w:spacing w:before="0" w:after="283"/>
              <w:jc w:val="left"/>
              <w:rPr>
                <w:sz w:val="4"/>
                <w:szCs w:val="4"/>
              </w:rPr>
            </w:pPr>
            <w:r>
              <w:rPr>
                <w:sz w:val="4"/>
                <w:szCs w:val="4"/>
              </w:rPr>
            </w:r>
          </w:p>
        </w:tc>
      </w:tr>
      <w:tr>
        <w:trPr/>
        <w:tc>
          <w:tcPr>
            <w:tcW w:w="1070" w:type="dxa"/>
            <w:tcBorders/>
          </w:tcPr>
          <w:p>
            <w:pPr>
              <w:pStyle w:val="TableContents"/>
              <w:bidi w:val="0"/>
              <w:spacing w:before="0" w:after="0"/>
              <w:jc w:val="both"/>
              <w:rPr>
                <w:rFonts w:ascii="Times New Roman" w:hAnsi="Times New Roman"/>
                <w:sz w:val="24"/>
              </w:rPr>
            </w:pPr>
            <w:r>
              <w:rPr>
                <w:rFonts w:ascii="Times New Roman" w:hAnsi="Times New Roman"/>
                <w:sz w:val="24"/>
              </w:rPr>
              <w:t>By: </w:t>
            </w:r>
          </w:p>
        </w:tc>
        <w:tc>
          <w:tcPr>
            <w:tcW w:w="199" w:type="dxa"/>
            <w:tcBorders/>
            <w:vAlign w:val="bottom"/>
          </w:tcPr>
          <w:p>
            <w:pPr>
              <w:pStyle w:val="TableContents"/>
              <w:bidi w:val="0"/>
              <w:spacing w:before="0" w:after="283"/>
              <w:jc w:val="left"/>
              <w:rPr/>
            </w:pPr>
            <w:r>
              <w:rPr/>
              <w:t> </w:t>
            </w:r>
          </w:p>
        </w:tc>
        <w:tc>
          <w:tcPr>
            <w:tcW w:w="2813" w:type="dxa"/>
            <w:tcBorders/>
          </w:tcPr>
          <w:p>
            <w:pPr>
              <w:pStyle w:val="TableContents"/>
              <w:pBdr>
                <w:bottom w:val="single" w:sz="2" w:space="1" w:color="000000"/>
              </w:pBdr>
              <w:bidi w:val="0"/>
              <w:spacing w:before="0" w:after="20"/>
              <w:jc w:val="left"/>
              <w:rPr/>
            </w:pPr>
            <w:r>
              <w:rPr/>
              <w:t> </w:t>
            </w:r>
          </w:p>
        </w:tc>
      </w:tr>
    </w:tbl>
    <w:p>
      <w:pPr>
        <w:pStyle w:val="TextBody"/>
        <w:bidi w:val="0"/>
        <w:spacing w:before="480" w:after="0"/>
        <w:jc w:val="both"/>
        <w:rPr>
          <w:rFonts w:ascii="Times New Roman" w:hAnsi="Times New Roman"/>
          <w:sz w:val="24"/>
        </w:rPr>
      </w:pPr>
      <w:r>
        <w:rPr>
          <w:rFonts w:ascii="Times New Roman" w:hAnsi="Times New Roman"/>
          <w:sz w:val="24"/>
        </w:rPr>
        <w:t xml:space="preserve">THIS CERTIFICATE OF THE TRUSTEE SIGNED ON THE SECURITIES WILL NOT BE CONSTRUED AS A REPRESENTATION OR WARRANTY BY THE TRUSTEE AS TO THE VALIDITY OF THE INDENTURE OR OF THE SECURITIES OR OF THEIR ISSUANCE AND THE TRUSTEE WILL IN NO RESPECT BE LIABLE OR ANSWERABLE FOR THE USE MADE OF SUCH SECURITIES OR ANY OF THEM OR THE PROCEEDS THEREOF. THIS CERTIFICATE OF THE TRUSTEE SIGNED ON THE SECURITIES WILL, HOWEVER, BE A REPRESENTATION AND WARRANTY BY THE TRUSTEE THAT THE SECURITIES HAVE BEEN DULY AUTHENTICATED BY OR ON BEHALF OF THE TRUSTEE PURSUANT TO THE PROVISIONS OF THE INDENTURE. </w:t>
      </w:r>
    </w:p>
    <w:p>
      <w:pPr>
        <w:pStyle w:val="TextBody"/>
        <w:bidi w:val="0"/>
        <w:spacing w:before="2400" w:after="0"/>
        <w:jc w:val="center"/>
        <w:rPr>
          <w:rFonts w:ascii="Times New Roman" w:hAnsi="Times New Roman"/>
          <w:i/>
          <w:sz w:val="20"/>
        </w:rPr>
      </w:pPr>
      <w:r>
        <w:rPr>
          <w:rFonts w:ascii="Times New Roman" w:hAnsi="Times New Roman"/>
          <w:i/>
          <w:sz w:val="20"/>
        </w:rPr>
        <w:t xml:space="preserve">Signature Page to Trustee’s Certificate of Note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4"/>
        </w:rPr>
      </w:pPr>
      <w:r>
        <w:rPr>
          <w:rFonts w:ascii="Times New Roman" w:hAnsi="Times New Roman"/>
          <w:b/>
          <w:sz w:val="24"/>
        </w:rPr>
        <w:t xml:space="preserve">[Reverse of Security] </w:t>
      </w:r>
    </w:p>
    <w:p>
      <w:pPr>
        <w:pStyle w:val="TextBody"/>
        <w:bidi w:val="0"/>
        <w:spacing w:before="240" w:after="0"/>
        <w:jc w:val="both"/>
        <w:rPr>
          <w:rFonts w:ascii="Times New Roman" w:hAnsi="Times New Roman"/>
          <w:sz w:val="24"/>
        </w:rPr>
      </w:pPr>
      <w:r>
        <w:rPr>
          <w:rFonts w:ascii="Times New Roman" w:hAnsi="Times New Roman"/>
          <w:sz w:val="24"/>
        </w:rPr>
        <w:t xml:space="preserve">This Security is one of a duly authorized issue of securities of the Company designated as its 5.750% Notes due 2033 (herein called the “Securities”) issued under an indenture, dated as of March 20, 2025 (herein called the “TR Finance Indenture”), among the Company, Thomson Reuters Corporation (“TRC”), West Publishing Corporation (“West Publishing”), Thomson Reuters Applications Inc. (“Thomson Reuters Applications”) and Thomson Reuters (Tax &amp; Accounting) Inc. (“Thomson Reuters (Tax &amp; Accounting)” and together, with West Publishing and Thomson Reuters Applications, the “Subsidiary Guarantors”), Deutsche Bank Trust Company Americas, as U.S. trustee (herein called the “Trustee”, which term includes any successor trustee under the Indenture), and Computershare Trust Company of Canada, as Canadian trustee (the “Canadian Trustee”), and a Sixth Supplemental Indenture, dated as of September 17, 2026, among the Company, TRC, the Subsidiary Guarantors, the Trustee and the Canadian Trustee (the “Sixth Supplemental Indenture” and, together with the TR Finance Indenture, referred to herein as the “Indenture”), to which Indenture and all indentures supplemental thereto reference is hereby made for a statement of the respective rights, limitations of rights, duties, obligations and immunities thereunder of the Company, the Trustee and the Holders, and of the terms upon which the Securities are, and are to be, authenticated and delivered. This Security is a global Security representing US$[●] aggregate principal amount of the Securities. </w:t>
      </w:r>
    </w:p>
    <w:p>
      <w:pPr>
        <w:pStyle w:val="TextBody"/>
        <w:bidi w:val="0"/>
        <w:spacing w:before="240" w:after="0"/>
        <w:jc w:val="both"/>
        <w:rPr>
          <w:rFonts w:ascii="Times New Roman" w:hAnsi="Times New Roman"/>
          <w:sz w:val="24"/>
        </w:rPr>
      </w:pPr>
      <w:r>
        <w:rPr>
          <w:rFonts w:ascii="Times New Roman" w:hAnsi="Times New Roman"/>
          <w:sz w:val="24"/>
        </w:rPr>
        <w:t xml:space="preserve">The Securities will be direct, unsecured obligations of the Company and will be fully and unconditionally guaranteed by TRC and the Subsidiary Guarantors. </w:t>
      </w:r>
    </w:p>
    <w:p>
      <w:pPr>
        <w:pStyle w:val="TextBody"/>
        <w:bidi w:val="0"/>
        <w:spacing w:before="240" w:after="0"/>
        <w:jc w:val="both"/>
        <w:rPr>
          <w:rFonts w:ascii="Times New Roman" w:hAnsi="Times New Roman"/>
          <w:sz w:val="24"/>
        </w:rPr>
      </w:pPr>
      <w:r>
        <w:rPr>
          <w:rFonts w:ascii="Times New Roman" w:hAnsi="Times New Roman"/>
          <w:sz w:val="24"/>
        </w:rPr>
        <w:t xml:space="preserve">Payment of the principal of (and premium, if any, on) and interest on this Security will be made at the office or agency of the Company maintained or caused to be maintained for that purpose in New York, New York or at such other office or agency of the Company as may be maintained or caused to be maintained for such purpose, in such coin or currency of the United States of America as at the time of payment is legal tender for payment of public and private debts; provided, however, that payment of the principal (and premium, if any) and interest may be made at the option of the Company (i) by check mailed to the address of the Person entitled thereto as such address shall appear on the Security Register or (ii) by wire transfer to an account maintained by the payee located in the United States or Canada; provided, that principal paid in relation to any Security, redeemed at the option of the Company or upon Maturity, shall be paid to the Holder of such Security only upon presentation and surrender of such Security to such office or agency referred to above. </w:t>
      </w:r>
    </w:p>
    <w:p>
      <w:pPr>
        <w:pStyle w:val="TextBody"/>
        <w:bidi w:val="0"/>
        <w:spacing w:before="240" w:after="0"/>
        <w:jc w:val="both"/>
        <w:rPr>
          <w:rFonts w:ascii="Times New Roman" w:hAnsi="Times New Roman"/>
          <w:sz w:val="24"/>
        </w:rPr>
      </w:pPr>
      <w:r>
        <w:rPr>
          <w:rFonts w:ascii="Times New Roman" w:hAnsi="Times New Roman"/>
          <w:sz w:val="24"/>
        </w:rPr>
        <w:t xml:space="preserve">This Security is not subject to any sinking fund. </w:t>
      </w:r>
    </w:p>
    <w:p>
      <w:pPr>
        <w:pStyle w:val="TextBody"/>
        <w:bidi w:val="0"/>
        <w:spacing w:before="240" w:after="0"/>
        <w:jc w:val="both"/>
        <w:rPr>
          <w:rFonts w:ascii="Times New Roman" w:hAnsi="Times New Roman"/>
          <w:sz w:val="24"/>
        </w:rPr>
      </w:pPr>
      <w:r>
        <w:rPr>
          <w:rFonts w:ascii="Times New Roman" w:hAnsi="Times New Roman"/>
          <w:sz w:val="24"/>
        </w:rPr>
        <w:t xml:space="preserve">Any Person who assumes the Company’s obligations hereunder pursuant to Article Eight of the TR Finance Indenture and who is domiciled in or under any jurisdiction other than a state of the United States will pay to the Holders such other additional amounts as may be payable under the Sixth Supplemental Indenture, and the Securities will be redeemable, at such Person’s option, in whole and not in part, at any time, on the other terms and conditions as set forth in the Sixth Supplemental Indenture.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- 2 -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The Company may redeem the Security at its option, in whole or in part, at any time and from time to time, at the applicable Redemption Price and on the other terms and conditions as set forth in the Sixth Supplemental Indenture. </w:t>
      </w:r>
    </w:p>
    <w:p>
      <w:pPr>
        <w:pStyle w:val="TextBody"/>
        <w:bidi w:val="0"/>
        <w:spacing w:before="240" w:after="0"/>
        <w:jc w:val="both"/>
        <w:rPr>
          <w:rFonts w:ascii="Times New Roman" w:hAnsi="Times New Roman"/>
          <w:sz w:val="24"/>
        </w:rPr>
      </w:pPr>
      <w:r>
        <w:rPr>
          <w:rFonts w:ascii="Times New Roman" w:hAnsi="Times New Roman"/>
          <w:sz w:val="24"/>
        </w:rPr>
        <w:t xml:space="preserve">In the case of any redemption of Securities, interest installments whose Stated Maturity is on or prior to the Redemption Date will be payable to the Holders of such Securities of record at the close of business on the relevant record date referred to on the face hereof. Securities (or portions thereof) for whose redemption provision is made in accordance with the Indenture shall cease to bear interest from and after the Redemption Date. </w:t>
      </w:r>
    </w:p>
    <w:p>
      <w:pPr>
        <w:pStyle w:val="TextBody"/>
        <w:bidi w:val="0"/>
        <w:spacing w:before="240" w:after="0"/>
        <w:jc w:val="both"/>
        <w:rPr>
          <w:rFonts w:ascii="Times New Roman" w:hAnsi="Times New Roman"/>
          <w:sz w:val="24"/>
        </w:rPr>
      </w:pPr>
      <w:r>
        <w:rPr>
          <w:rFonts w:ascii="Times New Roman" w:hAnsi="Times New Roman"/>
          <w:sz w:val="24"/>
        </w:rPr>
        <w:t xml:space="preserve">In the event of redemption of this Security in part only, a new Security or Securities for the unredeemed portion hereof shall be issued in the name of the Holder hereof upon the cancellation hereof. </w:t>
      </w:r>
    </w:p>
    <w:p>
      <w:pPr>
        <w:pStyle w:val="TextBody"/>
        <w:bidi w:val="0"/>
        <w:spacing w:before="240" w:after="0"/>
        <w:jc w:val="both"/>
        <w:rPr>
          <w:rFonts w:ascii="Times New Roman" w:hAnsi="Times New Roman"/>
          <w:sz w:val="24"/>
        </w:rPr>
      </w:pPr>
      <w:r>
        <w:rPr>
          <w:rFonts w:ascii="Times New Roman" w:hAnsi="Times New Roman"/>
          <w:sz w:val="24"/>
        </w:rPr>
        <w:t xml:space="preserve">The Securities will be subject to certain restrictive covenants as provided in the Sixth Supplemental Indenture. In addition, upon the occurrence of a Change of Control Triggering Event, unless the Company has exercised its right to redeem the Securities, the Company will be required to make an offer to purchase the Securities at a price equal to 101% of their principal amount, plus accrued and unpaid interest to the date of repurchase, in accordance with the terms and conditions as set forth in the Sixth Supplemental Indenture. </w:t>
      </w:r>
    </w:p>
    <w:p>
      <w:pPr>
        <w:pStyle w:val="TextBody"/>
        <w:bidi w:val="0"/>
        <w:spacing w:before="240" w:after="0"/>
        <w:jc w:val="both"/>
        <w:rPr>
          <w:rFonts w:ascii="Times New Roman" w:hAnsi="Times New Roman"/>
          <w:sz w:val="24"/>
        </w:rPr>
      </w:pPr>
      <w:r>
        <w:rPr>
          <w:rFonts w:ascii="Times New Roman" w:hAnsi="Times New Roman"/>
          <w:sz w:val="24"/>
        </w:rPr>
        <w:t xml:space="preserve">If an Event of Default (including any additional Events of Default as set forth in the Sixth Supplemental Indenture) shall occur and be continuing, the principal of the Securities may be declared due and payable in the manner and with the effect provided in the Indenture. </w:t>
      </w:r>
    </w:p>
    <w:p>
      <w:pPr>
        <w:pStyle w:val="TextBody"/>
        <w:bidi w:val="0"/>
        <w:spacing w:before="240" w:after="0"/>
        <w:jc w:val="both"/>
        <w:rPr>
          <w:rFonts w:ascii="Times New Roman" w:hAnsi="Times New Roman"/>
          <w:sz w:val="24"/>
        </w:rPr>
      </w:pPr>
      <w:r>
        <w:rPr>
          <w:rFonts w:ascii="Times New Roman" w:hAnsi="Times New Roman"/>
          <w:sz w:val="24"/>
        </w:rPr>
        <w:t xml:space="preserve">The Indenture contains provisions for defeasance at any time of (a) the entire indebtedness of the Company on this Security and (b) certain restrictive covenants and the related Defaults and Events of Default, in each case upon compliance by the Company with certain conditions set forth therein, which provisions apply to this Security. </w:t>
      </w:r>
    </w:p>
    <w:p>
      <w:pPr>
        <w:pStyle w:val="TextBody"/>
        <w:bidi w:val="0"/>
        <w:spacing w:before="240" w:after="0"/>
        <w:jc w:val="both"/>
        <w:rPr>
          <w:rFonts w:ascii="Times New Roman" w:hAnsi="Times New Roman"/>
          <w:sz w:val="24"/>
        </w:rPr>
      </w:pPr>
      <w:r>
        <w:rPr>
          <w:rFonts w:ascii="Times New Roman" w:hAnsi="Times New Roman"/>
          <w:sz w:val="24"/>
        </w:rPr>
        <w:t xml:space="preserve">The Company has the right at any time, without notice to or consent of the Holders, to designate one of its Wholly-Owned Subsidiaries (as defined in the Sixth Supplemental Indenture) to assume, as co-obligor (a “Co-Obligor”) on a joint and several basis with the Company, all obligations of the Company under the Indenture (insofar as it applies to the Securities) and the Securities, provided that the conditions set out in the Indenture are satisfied. The obligations of the Co-Obligor under the Securities shall rank equally with all of the Co-Obligor’s other unsecured and unsubordinated obligations. </w:t>
      </w:r>
    </w:p>
    <w:p>
      <w:pPr>
        <w:pStyle w:val="TextBody"/>
        <w:bidi w:val="0"/>
        <w:spacing w:before="240" w:after="0"/>
        <w:jc w:val="both"/>
        <w:rPr>
          <w:rFonts w:ascii="Times New Roman" w:hAnsi="Times New Roman"/>
          <w:sz w:val="24"/>
        </w:rPr>
      </w:pPr>
      <w:r>
        <w:rPr>
          <w:rFonts w:ascii="Times New Roman" w:hAnsi="Times New Roman"/>
          <w:sz w:val="24"/>
        </w:rPr>
        <w:t xml:space="preserve">The Indenture permits, with certain exceptions as therein provided, the amendment thereof and the modification of the rights and obligations of the Company and the rights of the Holders of the Securities of such series affected thereby under the Indenture at any time by the Company and the Trustee with the consent of the Holders of not less than a majority in aggregate principal amount of all affected Securities at the time Outstanding. The Indenture also contains provisions permitting the Holders of specified percentages in aggregate principal amount of the Securities at the time Outstanding, on behalf of the Holders of all the Securities affected thereby, to waive compliance by the Company with certain provisions of the Indenture and certain past defaults under the Indenture and their consequences. Any such consent or waiver by or on behalf of the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- 3 -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 </w:t>
      </w:r>
    </w:p>
    <w:p>
      <w:pPr>
        <w:pStyle w:val="TextBody"/>
        <w:bidi w:val="0"/>
        <w:spacing w:before="240" w:after="0"/>
        <w:jc w:val="both"/>
        <w:rPr>
          <w:rFonts w:ascii="Times New Roman" w:hAnsi="Times New Roman"/>
          <w:sz w:val="24"/>
        </w:rPr>
      </w:pPr>
      <w:r>
        <w:rPr>
          <w:rFonts w:ascii="Times New Roman" w:hAnsi="Times New Roman"/>
          <w:sz w:val="24"/>
        </w:rPr>
        <w:t xml:space="preserve">The Company may from time to time, without notice to or the consent of the Holders, create and issue further Securities ranking </w:t>
      </w:r>
      <w:r>
        <w:rPr>
          <w:rFonts w:ascii="Times New Roman" w:hAnsi="Times New Roman"/>
          <w:i/>
          <w:sz w:val="24"/>
        </w:rPr>
        <w:t>pari passu</w:t>
      </w:r>
      <w:r>
        <w:rPr>
          <w:rFonts w:ascii="Times New Roman" w:hAnsi="Times New Roman"/>
          <w:sz w:val="24"/>
        </w:rPr>
        <w:t xml:space="preserve"> with the Securities in all respects (or in all respects except for the payment of interest accruing prior to the issue date of the Securities or except for the first payment of interest following the issue date of the Securities) and so that such further Securities may be consolidated and form a single series with the Securities and have the same terms as to status, redemption or otherwise as the Securities. </w:t>
      </w:r>
    </w:p>
    <w:p>
      <w:pPr>
        <w:pStyle w:val="TextBody"/>
        <w:bidi w:val="0"/>
        <w:spacing w:before="240" w:after="0"/>
        <w:jc w:val="both"/>
        <w:rPr>
          <w:rFonts w:ascii="Times New Roman" w:hAnsi="Times New Roman"/>
          <w:sz w:val="24"/>
        </w:rPr>
      </w:pPr>
      <w:r>
        <w:rPr>
          <w:rFonts w:ascii="Times New Roman" w:hAnsi="Times New Roman"/>
          <w:sz w:val="24"/>
        </w:rPr>
        <w:t xml:space="preserve">No reference herein to the Indenture and no provision of this Security or of the Indenture shall alter or impair the obligation of the Company, which is absolute and unconditional, to pay the principal of (and premium, if any, on) and interest on this Security at the times, place, and rate, and in the coin or currency, herein prescribed. </w:t>
      </w:r>
    </w:p>
    <w:p>
      <w:pPr>
        <w:pStyle w:val="TextBody"/>
        <w:bidi w:val="0"/>
        <w:spacing w:before="240" w:after="0"/>
        <w:jc w:val="both"/>
        <w:rPr>
          <w:rFonts w:ascii="Times New Roman" w:hAnsi="Times New Roman"/>
          <w:sz w:val="24"/>
        </w:rPr>
      </w:pPr>
      <w:r>
        <w:rPr>
          <w:rFonts w:ascii="Times New Roman" w:hAnsi="Times New Roman"/>
          <w:sz w:val="24"/>
        </w:rPr>
        <w:t xml:space="preserve">As provided in the Indenture and subject to certain limitations therein set forth, the transfer of this Security is registerable on the Security Register of the Company, upon surrender of this Security for registration of transfer at the office or agency of the Company maintained or caused to be maintained for such purpose or at a central register maintained by the Trustee at the Corporate Trust Office in New York, New York, duly endorsed by, or accompanied by a written instrument of transfer in form satisfactory to the Company and the Security Registrar duly executed by, the Holder hereof or his attorney duly authorized in writing, and thereupon one or more new Securities, of authorized denominations and for the same aggregate principal amount, will be issued to the designated transferee or transferees. </w:t>
      </w:r>
    </w:p>
    <w:p>
      <w:pPr>
        <w:pStyle w:val="TextBody"/>
        <w:bidi w:val="0"/>
        <w:spacing w:before="240" w:after="0"/>
        <w:jc w:val="both"/>
        <w:rPr>
          <w:rFonts w:ascii="Times New Roman" w:hAnsi="Times New Roman"/>
          <w:sz w:val="24"/>
        </w:rPr>
      </w:pPr>
      <w:r>
        <w:rPr>
          <w:rFonts w:ascii="Times New Roman" w:hAnsi="Times New Roman"/>
          <w:sz w:val="24"/>
        </w:rPr>
        <w:t xml:space="preserve">The Securities are issuable only in registered form without coupons in denominations of US$2,000 and integral multiples of US$1,000 in excess thereof. As provided in the Indenture and subject to certain limitations therein set forth, the Securities are exchangeable for a like aggregate principal amount of Securities of a different authorized denomination, as requested by the Holder surrendering the same. </w:t>
      </w:r>
    </w:p>
    <w:p>
      <w:pPr>
        <w:pStyle w:val="TextBody"/>
        <w:bidi w:val="0"/>
        <w:spacing w:before="240" w:after="0"/>
        <w:jc w:val="both"/>
        <w:rPr>
          <w:rFonts w:ascii="Times New Roman" w:hAnsi="Times New Roman"/>
          <w:sz w:val="24"/>
        </w:rPr>
      </w:pPr>
      <w:r>
        <w:rPr>
          <w:rFonts w:ascii="Times New Roman" w:hAnsi="Times New Roman"/>
          <w:sz w:val="24"/>
        </w:rPr>
        <w:t xml:space="preserve">No service charge shall be made for any registration of transfer or exchange of Securities, but the Company may require payment of a sum sufficient to cover any tax or other governmental charge imposed in connection therewith, other than certain exchanges as specified in the Indenture. </w:t>
      </w:r>
    </w:p>
    <w:p>
      <w:pPr>
        <w:pStyle w:val="TextBody"/>
        <w:bidi w:val="0"/>
        <w:spacing w:before="240" w:after="0"/>
        <w:jc w:val="both"/>
        <w:rPr>
          <w:rFonts w:ascii="Times New Roman" w:hAnsi="Times New Roman"/>
          <w:sz w:val="24"/>
        </w:rPr>
      </w:pPr>
      <w:r>
        <w:rPr>
          <w:rFonts w:ascii="Times New Roman" w:hAnsi="Times New Roman"/>
          <w:sz w:val="24"/>
        </w:rPr>
        <w:t xml:space="preserve">Prior to the time of due presentment of this Security for registration of transfer, the Company, the Trustee and any agent of the Company or the Trustee may treat the Person in whose name this Security is registered as the owner hereof for all purposes, whether or not this Security be overdue, and none of the Company, the Trustee or any agent shall be affected by notice to the contrary. </w:t>
      </w:r>
    </w:p>
    <w:p>
      <w:pPr>
        <w:pStyle w:val="TextBody"/>
        <w:bidi w:val="0"/>
        <w:spacing w:before="240" w:after="0"/>
        <w:jc w:val="both"/>
        <w:rPr>
          <w:rFonts w:ascii="Times New Roman" w:hAnsi="Times New Roman"/>
          <w:sz w:val="24"/>
        </w:rPr>
      </w:pPr>
      <w:r>
        <w:rPr>
          <w:rFonts w:ascii="Times New Roman" w:hAnsi="Times New Roman"/>
          <w:sz w:val="24"/>
        </w:rPr>
        <w:t xml:space="preserve">The Paying Agent for the Securities initially is Deutsche Bank Trust Company Americas. </w:t>
      </w:r>
    </w:p>
    <w:p>
      <w:pPr>
        <w:pStyle w:val="TextBody"/>
        <w:bidi w:val="0"/>
        <w:spacing w:before="240" w:after="0"/>
        <w:jc w:val="both"/>
        <w:rPr>
          <w:rFonts w:ascii="Times New Roman" w:hAnsi="Times New Roman"/>
          <w:sz w:val="24"/>
        </w:rPr>
      </w:pPr>
      <w:r>
        <w:rPr>
          <w:rFonts w:ascii="Times New Roman" w:hAnsi="Times New Roman"/>
          <w:sz w:val="24"/>
        </w:rPr>
        <w:t xml:space="preserve">Any money that the Company deposits with the Trustee or any Paying Agent or held by the Company in trust for the payment of principal of (or premium, if any) or any interest on the Securities that remains unclaimed for two years after the date upon which the principal, premium,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- 4 - </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if any, or interest are due and payable, will be repaid to the Company upon the Company’s request subject to the mandatory provisions of any applicable unclaimed property law. After that time, unless otherwise required by mandatory provisions of any unclaimed property law, the Holder will be able to seek any payment to which that Holder may be entitled to collect only from the Company. </w:t>
      </w:r>
    </w:p>
    <w:p>
      <w:pPr>
        <w:pStyle w:val="TextBody"/>
        <w:bidi w:val="0"/>
        <w:spacing w:before="240" w:after="0"/>
        <w:jc w:val="both"/>
        <w:rPr>
          <w:rFonts w:ascii="Times New Roman" w:hAnsi="Times New Roman"/>
          <w:sz w:val="24"/>
        </w:rPr>
      </w:pPr>
      <w:r>
        <w:rPr>
          <w:rFonts w:ascii="Times New Roman" w:hAnsi="Times New Roman"/>
          <w:sz w:val="24"/>
        </w:rPr>
        <w:t xml:space="preserve">The Company’s obligation to pay the principal of (or premium, if any) and interest on the Securities will cease if the Securities are not presented for payment within a period of ten years and a claim for interest is not made within five years from the date on which such principal, premium, if any, or interest, as the case may be, becomes due and payable. </w:t>
      </w:r>
    </w:p>
    <w:p>
      <w:pPr>
        <w:pStyle w:val="TextBody"/>
        <w:bidi w:val="0"/>
        <w:spacing w:before="240" w:after="0"/>
        <w:jc w:val="both"/>
        <w:rPr>
          <w:rFonts w:ascii="Times New Roman" w:hAnsi="Times New Roman"/>
          <w:sz w:val="24"/>
        </w:rPr>
      </w:pPr>
      <w:r>
        <w:rPr>
          <w:rFonts w:ascii="Times New Roman" w:hAnsi="Times New Roman"/>
          <w:sz w:val="24"/>
        </w:rPr>
        <w:t xml:space="preserve">The Indenture and this Security shall be governed by and construed in accordance with the laws of the State of New York. The exercise, performance or discharge by the Canadian Trustee of any of its rights, powers, duties or responsibilities thereunder shall be construed in accordance with the laws of the Province of Ontario and the federal laws of Canada applicable thereto. </w:t>
      </w:r>
    </w:p>
    <w:p>
      <w:pPr>
        <w:pStyle w:val="TextBody"/>
        <w:bidi w:val="0"/>
        <w:spacing w:before="240" w:after="0"/>
        <w:jc w:val="both"/>
        <w:rPr>
          <w:rFonts w:ascii="Times New Roman" w:hAnsi="Times New Roman"/>
          <w:sz w:val="24"/>
        </w:rPr>
      </w:pPr>
      <w:r>
        <w:rPr>
          <w:rFonts w:ascii="Times New Roman" w:hAnsi="Times New Roman"/>
          <w:sz w:val="24"/>
        </w:rPr>
        <w:t xml:space="preserve">All terms used in this Security which are defined in the Indenture shall have the meanings assigned to them in the Indenture.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54</Pages>
  <Words>19413</Words>
  <Characters>99042</Characters>
  <CharactersWithSpaces>118634</CharactersWithSpaces>
  <Paragraphs>833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