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pPr>
      <w:bookmarkStart w:id="0" w:name="q3_2026_interim_report.htm"/>
      <w:bookmarkStart w:id="1" w:name="ksq3_2026_interim_report"/>
      <w:bookmarkEnd w:id="0"/>
      <w:bookmarkEnd w:id="1"/>
      <w:r>
        <w:t> </w:t>
      </w:r>
      <w:r>
        <mc:AlternateContent>
          <mc:Choice Requires="wps">
            <w:drawing>
              <wp:anchor behindDoc="0" distT="0" distB="0" distL="0" distR="0" simplePos="0" locked="0" layoutInCell="1" allowOverlap="1" relativeHeight="163">
                <wp:simplePos x="0" y="0"/>
                <wp:positionH relativeFrom="page">
                  <wp:posOffset>666750</wp:posOffset>
                </wp:positionH>
                <wp:positionV relativeFrom="page">
                  <wp:posOffset>247650</wp:posOffset>
                </wp:positionV>
                <wp:extent cx="2816860" cy="137160"/>
                <wp:effectExtent l="0" t="0" r="0" b="0"/>
                <wp:wrapNone/>
                <wp:docPr id="1" name="Frame4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666750</wp:posOffset>
                </wp:positionH>
                <wp:positionV relativeFrom="page">
                  <wp:posOffset>247650</wp:posOffset>
                </wp:positionV>
                <wp:extent cx="2816860" cy="137160"/>
                <wp:effectExtent l="0" t="0" r="0" b="0"/>
                <wp:wrapNone/>
                <wp:docPr id="2" name="Frame4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-276225</wp:posOffset>
                </wp:positionH>
                <wp:positionV relativeFrom="page">
                  <wp:posOffset>0</wp:posOffset>
                </wp:positionV>
                <wp:extent cx="7560310" cy="2355850"/>
                <wp:effectExtent l="0" t="0" r="0" b="0"/>
                <wp:wrapNone/>
                <wp:docPr id="3" name="Frame4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1" descr=""/>
                                          <pic:cNvPicPr>
                                            <a:picLocks noChangeAspect="1" noChangeArrowheads="1"/>
                                          </pic:cNvPicPr>
                                        </pic:nvPicPr>
                                        <pic:blipFill>
                                          <a:blip r:embed="rId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1" descr=""/>
                                    <pic:cNvPicPr>
                                      <a:picLocks noChangeAspect="1" noChangeArrowheads="1"/>
                                    </pic:cNvPicPr>
                                  </pic:nvPicPr>
                                  <pic:blipFill>
                                    <a:blip r:embed="rId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676275</wp:posOffset>
                </wp:positionH>
                <wp:positionV relativeFrom="page">
                  <wp:posOffset>247650</wp:posOffset>
                </wp:positionV>
                <wp:extent cx="2778760" cy="137160"/>
                <wp:effectExtent l="0" t="0" r="0" b="0"/>
                <wp:wrapNone/>
                <wp:docPr id="6" name="Frame4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-276225</wp:posOffset>
                </wp:positionH>
                <wp:positionV relativeFrom="page">
                  <wp:posOffset>0</wp:posOffset>
                </wp:positionV>
                <wp:extent cx="7560310" cy="2346325"/>
                <wp:effectExtent l="0" t="0" r="0" b="0"/>
                <wp:wrapNone/>
                <wp:docPr id="7" name="Frame4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0" descr=""/>
                                          <pic:cNvPicPr>
                                            <a:picLocks noChangeAspect="1" noChangeArrowheads="1"/>
                                          </pic:cNvPicPr>
                                        </pic:nvPicPr>
                                        <pic:blipFill>
                                          <a:blip r:embed="rId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0" descr=""/>
                                    <pic:cNvPicPr>
                                      <a:picLocks noChangeAspect="1" noChangeArrowheads="1"/>
                                    </pic:cNvPicPr>
                                  </pic:nvPicPr>
                                  <pic:blipFill>
                                    <a:blip r:embed="rId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666750</wp:posOffset>
                </wp:positionH>
                <wp:positionV relativeFrom="page">
                  <wp:posOffset>247650</wp:posOffset>
                </wp:positionV>
                <wp:extent cx="2816860" cy="137160"/>
                <wp:effectExtent l="0" t="0" r="0" b="0"/>
                <wp:wrapNone/>
                <wp:docPr id="10" name="Frame4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-276225</wp:posOffset>
                </wp:positionH>
                <wp:positionV relativeFrom="page">
                  <wp:posOffset>0</wp:posOffset>
                </wp:positionV>
                <wp:extent cx="7560310" cy="2355850"/>
                <wp:effectExtent l="0" t="0" r="0" b="0"/>
                <wp:wrapNone/>
                <wp:docPr id="11" name="Frame4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1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9" descr=""/>
                                          <pic:cNvPicPr>
                                            <a:picLocks noChangeAspect="1" noChangeArrowheads="1"/>
                                          </pic:cNvPicPr>
                                        </pic:nvPicPr>
                                        <pic:blipFill>
                                          <a:blip r:embed="rId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1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9" descr=""/>
                                    <pic:cNvPicPr>
                                      <a:picLocks noChangeAspect="1" noChangeArrowheads="1"/>
                                    </pic:cNvPicPr>
                                  </pic:nvPicPr>
                                  <pic:blipFill>
                                    <a:blip r:embed="rId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page">
                  <wp:posOffset>676275</wp:posOffset>
                </wp:positionH>
                <wp:positionV relativeFrom="page">
                  <wp:posOffset>247650</wp:posOffset>
                </wp:positionV>
                <wp:extent cx="2778760" cy="137160"/>
                <wp:effectExtent l="0" t="0" r="0" b="0"/>
                <wp:wrapNone/>
                <wp:docPr id="14" name="Frame4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-276225</wp:posOffset>
                </wp:positionH>
                <wp:positionV relativeFrom="page">
                  <wp:posOffset>0</wp:posOffset>
                </wp:positionV>
                <wp:extent cx="7560310" cy="2346325"/>
                <wp:effectExtent l="0" t="0" r="0" b="0"/>
                <wp:wrapNone/>
                <wp:docPr id="15" name="Frame4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8" descr=""/>
                                          <pic:cNvPicPr>
                                            <a:picLocks noChangeAspect="1" noChangeArrowheads="1"/>
                                          </pic:cNvPicPr>
                                        </pic:nvPicPr>
                                        <pic:blipFill>
                                          <a:blip r:embed="rId8"/>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1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8" descr=""/>
                                    <pic:cNvPicPr>
                                      <a:picLocks noChangeAspect="1" noChangeArrowheads="1"/>
                                    </pic:cNvPicPr>
                                  </pic:nvPicPr>
                                  <pic:blipFill>
                                    <a:blip r:embed="rId9"/>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-276225</wp:posOffset>
                </wp:positionH>
                <wp:positionV relativeFrom="page">
                  <wp:posOffset>0</wp:posOffset>
                </wp:positionV>
                <wp:extent cx="7560310" cy="2346325"/>
                <wp:effectExtent l="0" t="0" r="0" b="0"/>
                <wp:wrapNone/>
                <wp:docPr id="18" name="Frame5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2" descr=""/>
                                          <pic:cNvPicPr>
                                            <a:picLocks noChangeAspect="1" noChangeArrowheads="1"/>
                                          </pic:cNvPicPr>
                                        </pic:nvPicPr>
                                        <pic:blipFill>
                                          <a:blip r:embed="rId1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2" descr=""/>
                                    <pic:cNvPicPr>
                                      <a:picLocks noChangeAspect="1" noChangeArrowheads="1"/>
                                    </pic:cNvPicPr>
                                  </pic:nvPicPr>
                                  <pic:blipFill>
                                    <a:blip r:embed="rId1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page">
                  <wp:posOffset>-276225</wp:posOffset>
                </wp:positionH>
                <wp:positionV relativeFrom="page">
                  <wp:posOffset>0</wp:posOffset>
                </wp:positionV>
                <wp:extent cx="7560310" cy="2355850"/>
                <wp:effectExtent l="0" t="0" r="0" b="0"/>
                <wp:wrapNone/>
                <wp:docPr id="21" name="Frame4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7" descr=""/>
                                          <pic:cNvPicPr>
                                            <a:picLocks noChangeAspect="1" noChangeArrowheads="1"/>
                                          </pic:cNvPicPr>
                                        </pic:nvPicPr>
                                        <pic:blipFill>
                                          <a:blip r:embed="rId1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7" descr=""/>
                                    <pic:cNvPicPr>
                                      <a:picLocks noChangeAspect="1" noChangeArrowheads="1"/>
                                    </pic:cNvPicPr>
                                  </pic:nvPicPr>
                                  <pic:blipFill>
                                    <a:blip r:embed="rId1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2">
                <wp:simplePos x="0" y="0"/>
                <wp:positionH relativeFrom="page">
                  <wp:posOffset>676275</wp:posOffset>
                </wp:positionH>
                <wp:positionV relativeFrom="page">
                  <wp:posOffset>247650</wp:posOffset>
                </wp:positionV>
                <wp:extent cx="2778760" cy="137160"/>
                <wp:effectExtent l="0" t="0" r="0" b="0"/>
                <wp:wrapNone/>
                <wp:docPr id="24" name="Frame3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01">
                <wp:simplePos x="0" y="0"/>
                <wp:positionH relativeFrom="page">
                  <wp:posOffset>-276225</wp:posOffset>
                </wp:positionH>
                <wp:positionV relativeFrom="page">
                  <wp:posOffset>0</wp:posOffset>
                </wp:positionV>
                <wp:extent cx="7560310" cy="2346325"/>
                <wp:effectExtent l="0" t="0" r="0" b="0"/>
                <wp:wrapNone/>
                <wp:docPr id="25" name="Frame3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1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1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1">
                <wp:simplePos x="0" y="0"/>
                <wp:positionH relativeFrom="page">
                  <wp:posOffset>666750</wp:posOffset>
                </wp:positionH>
                <wp:positionV relativeFrom="page">
                  <wp:posOffset>247650</wp:posOffset>
                </wp:positionV>
                <wp:extent cx="2816860" cy="137160"/>
                <wp:effectExtent l="0" t="0" r="0" b="0"/>
                <wp:wrapNone/>
                <wp:docPr id="28" name="Frame3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99">
                <wp:simplePos x="0" y="0"/>
                <wp:positionH relativeFrom="page">
                  <wp:posOffset>-276225</wp:posOffset>
                </wp:positionH>
                <wp:positionV relativeFrom="page">
                  <wp:posOffset>0</wp:posOffset>
                </wp:positionV>
                <wp:extent cx="7560310" cy="2355850"/>
                <wp:effectExtent l="0" t="0" r="0" b="0"/>
                <wp:wrapNone/>
                <wp:docPr id="29" name="Frame3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1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1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0">
                <wp:simplePos x="0" y="0"/>
                <wp:positionH relativeFrom="page">
                  <wp:posOffset>676275</wp:posOffset>
                </wp:positionH>
                <wp:positionV relativeFrom="page">
                  <wp:posOffset>247650</wp:posOffset>
                </wp:positionV>
                <wp:extent cx="2778760" cy="137160"/>
                <wp:effectExtent l="0" t="0" r="0" b="0"/>
                <wp:wrapNone/>
                <wp:docPr id="32" name="Frame3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97">
                <wp:simplePos x="0" y="0"/>
                <wp:positionH relativeFrom="page">
                  <wp:posOffset>-276225</wp:posOffset>
                </wp:positionH>
                <wp:positionV relativeFrom="page">
                  <wp:posOffset>0</wp:posOffset>
                </wp:positionV>
                <wp:extent cx="7560310" cy="2346325"/>
                <wp:effectExtent l="0" t="0" r="0" b="0"/>
                <wp:wrapNone/>
                <wp:docPr id="33" name="Frame3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3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 descr=""/>
                                          <pic:cNvPicPr>
                                            <a:picLocks noChangeAspect="1" noChangeArrowheads="1"/>
                                          </pic:cNvPicPr>
                                        </pic:nvPicPr>
                                        <pic:blipFill>
                                          <a:blip r:embed="rId18"/>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19"/>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-276225</wp:posOffset>
                </wp:positionH>
                <wp:positionV relativeFrom="page">
                  <wp:posOffset>0</wp:posOffset>
                </wp:positionV>
                <wp:extent cx="7560310" cy="2346325"/>
                <wp:effectExtent l="0" t="0" r="0" b="0"/>
                <wp:wrapNone/>
                <wp:docPr id="36" name="Frame5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2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3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6" descr=""/>
                                    <pic:cNvPicPr>
                                      <a:picLocks noChangeAspect="1" noChangeArrowheads="1"/>
                                    </pic:cNvPicPr>
                                  </pic:nvPicPr>
                                  <pic:blipFill>
                                    <a:blip r:embed="rId2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-276225</wp:posOffset>
                </wp:positionH>
                <wp:positionV relativeFrom="page">
                  <wp:posOffset>0</wp:posOffset>
                </wp:positionV>
                <wp:extent cx="7560310" cy="2346325"/>
                <wp:effectExtent l="0" t="0" r="0" b="0"/>
                <wp:wrapNone/>
                <wp:docPr id="39" name="Frame6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22"/>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23"/>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666750</wp:posOffset>
                </wp:positionH>
                <wp:positionV relativeFrom="page">
                  <wp:posOffset>247650</wp:posOffset>
                </wp:positionV>
                <wp:extent cx="2816860" cy="137160"/>
                <wp:effectExtent l="0" t="0" r="0" b="0"/>
                <wp:wrapNone/>
                <wp:docPr id="42" name="Frame6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-276225</wp:posOffset>
                </wp:positionH>
                <wp:positionV relativeFrom="page">
                  <wp:posOffset>0</wp:posOffset>
                </wp:positionV>
                <wp:extent cx="7560310" cy="2355850"/>
                <wp:effectExtent l="0" t="0" r="0" b="0"/>
                <wp:wrapNone/>
                <wp:docPr id="43" name="Frame6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24"/>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25"/>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676275</wp:posOffset>
                </wp:positionH>
                <wp:positionV relativeFrom="page">
                  <wp:posOffset>247650</wp:posOffset>
                </wp:positionV>
                <wp:extent cx="2778760" cy="137160"/>
                <wp:effectExtent l="0" t="0" r="0" b="0"/>
                <wp:wrapNone/>
                <wp:docPr id="46" name="Frame6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-276225</wp:posOffset>
                </wp:positionH>
                <wp:positionV relativeFrom="page">
                  <wp:posOffset>0</wp:posOffset>
                </wp:positionV>
                <wp:extent cx="7560310" cy="2346325"/>
                <wp:effectExtent l="0" t="0" r="0" b="0"/>
                <wp:wrapNone/>
                <wp:docPr id="47" name="Frame6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26"/>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27"/>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666750</wp:posOffset>
                </wp:positionH>
                <wp:positionV relativeFrom="page">
                  <wp:posOffset>247650</wp:posOffset>
                </wp:positionV>
                <wp:extent cx="2816860" cy="137160"/>
                <wp:effectExtent l="0" t="0" r="0" b="0"/>
                <wp:wrapNone/>
                <wp:docPr id="50" name="Frame6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-276225</wp:posOffset>
                </wp:positionH>
                <wp:positionV relativeFrom="page">
                  <wp:posOffset>0</wp:posOffset>
                </wp:positionV>
                <wp:extent cx="7560310" cy="2355850"/>
                <wp:effectExtent l="0" t="0" r="0" b="0"/>
                <wp:wrapNone/>
                <wp:docPr id="51" name="Frame6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28"/>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5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7" descr=""/>
                                    <pic:cNvPicPr>
                                      <a:picLocks noChangeAspect="1" noChangeArrowheads="1"/>
                                    </pic:cNvPicPr>
                                  </pic:nvPicPr>
                                  <pic:blipFill>
                                    <a:blip r:embed="rId29"/>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676275</wp:posOffset>
                </wp:positionH>
                <wp:positionV relativeFrom="page">
                  <wp:posOffset>247650</wp:posOffset>
                </wp:positionV>
                <wp:extent cx="2778760" cy="137160"/>
                <wp:effectExtent l="0" t="0" r="0" b="0"/>
                <wp:wrapNone/>
                <wp:docPr id="54" name="Frame5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59">
                <wp:simplePos x="0" y="0"/>
                <wp:positionH relativeFrom="page">
                  <wp:posOffset>666750</wp:posOffset>
                </wp:positionH>
                <wp:positionV relativeFrom="page">
                  <wp:posOffset>247650</wp:posOffset>
                </wp:positionV>
                <wp:extent cx="2816860" cy="137160"/>
                <wp:effectExtent l="0" t="0" r="0" b="0"/>
                <wp:wrapNone/>
                <wp:docPr id="55" name="Frame3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666750</wp:posOffset>
                </wp:positionH>
                <wp:positionV relativeFrom="page">
                  <wp:posOffset>247650</wp:posOffset>
                </wp:positionV>
                <wp:extent cx="2816860" cy="137160"/>
                <wp:effectExtent l="0" t="0" r="0" b="0"/>
                <wp:wrapNone/>
                <wp:docPr id="56" name="Frame5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-276225</wp:posOffset>
                </wp:positionH>
                <wp:positionV relativeFrom="page">
                  <wp:posOffset>0</wp:posOffset>
                </wp:positionV>
                <wp:extent cx="7560310" cy="2355850"/>
                <wp:effectExtent l="0" t="0" r="0" b="0"/>
                <wp:wrapNone/>
                <wp:docPr id="57" name="Frame5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30"/>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5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5" descr=""/>
                                    <pic:cNvPicPr>
                                      <a:picLocks noChangeAspect="1" noChangeArrowheads="1"/>
                                    </pic:cNvPicPr>
                                  </pic:nvPicPr>
                                  <pic:blipFill>
                                    <a:blip r:embed="rId31"/>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676275</wp:posOffset>
                </wp:positionH>
                <wp:positionV relativeFrom="page">
                  <wp:posOffset>247650</wp:posOffset>
                </wp:positionV>
                <wp:extent cx="2778760" cy="137160"/>
                <wp:effectExtent l="0" t="0" r="0" b="0"/>
                <wp:wrapNone/>
                <wp:docPr id="60" name="Frame5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-276225</wp:posOffset>
                </wp:positionH>
                <wp:positionV relativeFrom="page">
                  <wp:posOffset>0</wp:posOffset>
                </wp:positionV>
                <wp:extent cx="7560310" cy="2346325"/>
                <wp:effectExtent l="0" t="0" r="0" b="0"/>
                <wp:wrapNone/>
                <wp:docPr id="61" name="Frame5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6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4" descr=""/>
                                          <pic:cNvPicPr>
                                            <a:picLocks noChangeAspect="1" noChangeArrowheads="1"/>
                                          </pic:cNvPicPr>
                                        </pic:nvPicPr>
                                        <pic:blipFill>
                                          <a:blip r:embed="rId32"/>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6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4" descr=""/>
                                    <pic:cNvPicPr>
                                      <a:picLocks noChangeAspect="1" noChangeArrowheads="1"/>
                                    </pic:cNvPicPr>
                                  </pic:nvPicPr>
                                  <pic:blipFill>
                                    <a:blip r:embed="rId33"/>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page">
                  <wp:posOffset>666750</wp:posOffset>
                </wp:positionH>
                <wp:positionV relativeFrom="page">
                  <wp:posOffset>247650</wp:posOffset>
                </wp:positionV>
                <wp:extent cx="2816860" cy="137160"/>
                <wp:effectExtent l="0" t="0" r="0" b="0"/>
                <wp:wrapNone/>
                <wp:docPr id="64" name="Frame5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-276225</wp:posOffset>
                </wp:positionH>
                <wp:positionV relativeFrom="page">
                  <wp:posOffset>0</wp:posOffset>
                </wp:positionV>
                <wp:extent cx="7560310" cy="2355850"/>
                <wp:effectExtent l="0" t="0" r="0" b="0"/>
                <wp:wrapNone/>
                <wp:docPr id="65" name="Frame5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 descr=""/>
                                          <pic:cNvPicPr>
                                            <a:picLocks noChangeAspect="1" noChangeArrowheads="1"/>
                                          </pic:cNvPicPr>
                                        </pic:nvPicPr>
                                        <pic:blipFill>
                                          <a:blip r:embed="rId34"/>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6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 descr=""/>
                                    <pic:cNvPicPr>
                                      <a:picLocks noChangeAspect="1" noChangeArrowheads="1"/>
                                    </pic:cNvPicPr>
                                  </pic:nvPicPr>
                                  <pic:blipFill>
                                    <a:blip r:embed="rId35"/>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676275</wp:posOffset>
                </wp:positionH>
                <wp:positionV relativeFrom="page">
                  <wp:posOffset>247650</wp:posOffset>
                </wp:positionV>
                <wp:extent cx="2778760" cy="137160"/>
                <wp:effectExtent l="0" t="0" r="0" b="0"/>
                <wp:wrapNone/>
                <wp:docPr id="68" name="Frame5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71">
                <wp:simplePos x="0" y="0"/>
                <wp:positionH relativeFrom="page">
                  <wp:posOffset>-276225</wp:posOffset>
                </wp:positionH>
                <wp:positionV relativeFrom="page">
                  <wp:posOffset>0</wp:posOffset>
                </wp:positionV>
                <wp:extent cx="7560310" cy="2355850"/>
                <wp:effectExtent l="0" t="0" r="0" b="0"/>
                <wp:wrapNone/>
                <wp:docPr id="69" name="Frame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3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 descr=""/>
                                    <pic:cNvPicPr>
                                      <a:picLocks noChangeAspect="1" noChangeArrowheads="1"/>
                                    </pic:cNvPicPr>
                                  </pic:nvPicPr>
                                  <pic:blipFill>
                                    <a:blip r:embed="rId3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-276225</wp:posOffset>
                </wp:positionH>
                <wp:positionV relativeFrom="page">
                  <wp:posOffset>0</wp:posOffset>
                </wp:positionV>
                <wp:extent cx="7560310" cy="2355850"/>
                <wp:effectExtent l="0" t="0" r="0" b="0"/>
                <wp:wrapNone/>
                <wp:docPr id="72" name="Frame1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7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5" descr=""/>
                                          <pic:cNvPicPr>
                                            <a:picLocks noChangeAspect="1" noChangeArrowheads="1"/>
                                          </pic:cNvPicPr>
                                        </pic:nvPicPr>
                                        <pic:blipFill>
                                          <a:blip r:embed="rId38"/>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7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5" descr=""/>
                                    <pic:cNvPicPr>
                                      <a:picLocks noChangeAspect="1" noChangeArrowheads="1"/>
                                    </pic:cNvPicPr>
                                  </pic:nvPicPr>
                                  <pic:blipFill>
                                    <a:blip r:embed="rId39"/>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0">
                <wp:simplePos x="0" y="0"/>
                <wp:positionH relativeFrom="page">
                  <wp:posOffset>676275</wp:posOffset>
                </wp:positionH>
                <wp:positionV relativeFrom="page">
                  <wp:posOffset>247650</wp:posOffset>
                </wp:positionV>
                <wp:extent cx="2778760" cy="137160"/>
                <wp:effectExtent l="0" t="0" r="0" b="0"/>
                <wp:wrapNone/>
                <wp:docPr id="75" name="Frame1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77">
                <wp:simplePos x="0" y="0"/>
                <wp:positionH relativeFrom="page">
                  <wp:posOffset>-276225</wp:posOffset>
                </wp:positionH>
                <wp:positionV relativeFrom="page">
                  <wp:posOffset>0</wp:posOffset>
                </wp:positionV>
                <wp:extent cx="7560310" cy="2346325"/>
                <wp:effectExtent l="0" t="0" r="0" b="0"/>
                <wp:wrapNone/>
                <wp:docPr id="76" name="Frame1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4" descr=""/>
                                          <pic:cNvPicPr>
                                            <a:picLocks noChangeAspect="1" noChangeArrowheads="1"/>
                                          </pic:cNvPicPr>
                                        </pic:nvPicPr>
                                        <pic:blipFill>
                                          <a:blip r:embed="rId4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7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4" descr=""/>
                                    <pic:cNvPicPr>
                                      <a:picLocks noChangeAspect="1" noChangeArrowheads="1"/>
                                    </pic:cNvPicPr>
                                  </pic:nvPicPr>
                                  <pic:blipFill>
                                    <a:blip r:embed="rId4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49">
                <wp:simplePos x="0" y="0"/>
                <wp:positionH relativeFrom="page">
                  <wp:posOffset>666750</wp:posOffset>
                </wp:positionH>
                <wp:positionV relativeFrom="page">
                  <wp:posOffset>247650</wp:posOffset>
                </wp:positionV>
                <wp:extent cx="2816860" cy="137160"/>
                <wp:effectExtent l="0" t="0" r="0" b="0"/>
                <wp:wrapNone/>
                <wp:docPr id="79" name="Frame1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75">
                <wp:simplePos x="0" y="0"/>
                <wp:positionH relativeFrom="page">
                  <wp:posOffset>-276225</wp:posOffset>
                </wp:positionH>
                <wp:positionV relativeFrom="page">
                  <wp:posOffset>0</wp:posOffset>
                </wp:positionV>
                <wp:extent cx="7560310" cy="2355850"/>
                <wp:effectExtent l="0" t="0" r="0" b="0"/>
                <wp:wrapNone/>
                <wp:docPr id="80" name="Frame1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8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3" descr=""/>
                                          <pic:cNvPicPr>
                                            <a:picLocks noChangeAspect="1" noChangeArrowheads="1"/>
                                          </pic:cNvPicPr>
                                        </pic:nvPicPr>
                                        <pic:blipFill>
                                          <a:blip r:embed="rId4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8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3" descr=""/>
                                    <pic:cNvPicPr>
                                      <a:picLocks noChangeAspect="1" noChangeArrowheads="1"/>
                                    </pic:cNvPicPr>
                                  </pic:nvPicPr>
                                  <pic:blipFill>
                                    <a:blip r:embed="rId4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48">
                <wp:simplePos x="0" y="0"/>
                <wp:positionH relativeFrom="page">
                  <wp:posOffset>676275</wp:posOffset>
                </wp:positionH>
                <wp:positionV relativeFrom="page">
                  <wp:posOffset>247650</wp:posOffset>
                </wp:positionV>
                <wp:extent cx="2778760" cy="137160"/>
                <wp:effectExtent l="0" t="0" r="0" b="0"/>
                <wp:wrapNone/>
                <wp:docPr id="83" name="Frame1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73">
                <wp:simplePos x="0" y="0"/>
                <wp:positionH relativeFrom="page">
                  <wp:posOffset>-276225</wp:posOffset>
                </wp:positionH>
                <wp:positionV relativeFrom="page">
                  <wp:posOffset>0</wp:posOffset>
                </wp:positionV>
                <wp:extent cx="7560310" cy="2346325"/>
                <wp:effectExtent l="0" t="0" r="0" b="0"/>
                <wp:wrapNone/>
                <wp:docPr id="84" name="Frame1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8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2" descr=""/>
                                          <pic:cNvPicPr>
                                            <a:picLocks noChangeAspect="1" noChangeArrowheads="1"/>
                                          </pic:cNvPicPr>
                                        </pic:nvPicPr>
                                        <pic:blipFill>
                                          <a:blip r:embed="rId4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8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2" descr=""/>
                                    <pic:cNvPicPr>
                                      <a:picLocks noChangeAspect="1" noChangeArrowheads="1"/>
                                    </pic:cNvPicPr>
                                  </pic:nvPicPr>
                                  <pic:blipFill>
                                    <a:blip r:embed="rId4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47">
                <wp:simplePos x="0" y="0"/>
                <wp:positionH relativeFrom="page">
                  <wp:posOffset>666750</wp:posOffset>
                </wp:positionH>
                <wp:positionV relativeFrom="page">
                  <wp:posOffset>247650</wp:posOffset>
                </wp:positionV>
                <wp:extent cx="2816860" cy="137160"/>
                <wp:effectExtent l="0" t="0" r="0" b="0"/>
                <wp:wrapNone/>
                <wp:docPr id="87" name="Frame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51">
                <wp:simplePos x="0" y="0"/>
                <wp:positionH relativeFrom="page">
                  <wp:posOffset>666750</wp:posOffset>
                </wp:positionH>
                <wp:positionV relativeFrom="page">
                  <wp:posOffset>247650</wp:posOffset>
                </wp:positionV>
                <wp:extent cx="2816860" cy="137160"/>
                <wp:effectExtent l="0" t="0" r="0" b="0"/>
                <wp:wrapNone/>
                <wp:docPr id="88" name="Frame1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46">
                <wp:simplePos x="0" y="0"/>
                <wp:positionH relativeFrom="page">
                  <wp:posOffset>676275</wp:posOffset>
                </wp:positionH>
                <wp:positionV relativeFrom="page">
                  <wp:posOffset>247650</wp:posOffset>
                </wp:positionV>
                <wp:extent cx="2778760" cy="137160"/>
                <wp:effectExtent l="0" t="0" r="0" b="0"/>
                <wp:wrapNone/>
                <wp:docPr id="89" name="Frame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-276225</wp:posOffset>
                </wp:positionH>
                <wp:positionV relativeFrom="page">
                  <wp:posOffset>0</wp:posOffset>
                </wp:positionV>
                <wp:extent cx="7560310" cy="2346325"/>
                <wp:effectExtent l="0" t="0" r="0" b="0"/>
                <wp:wrapNone/>
                <wp:docPr id="90" name="Frame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 descr=""/>
                                          <pic:cNvPicPr>
                                            <a:picLocks noChangeAspect="1" noChangeArrowheads="1"/>
                                          </pic:cNvPicPr>
                                        </pic:nvPicPr>
                                        <pic:blipFill>
                                          <a:blip r:embed="rId46"/>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 descr=""/>
                                    <pic:cNvPicPr>
                                      <a:picLocks noChangeAspect="1" noChangeArrowheads="1"/>
                                    </pic:cNvPicPr>
                                  </pic:nvPicPr>
                                  <pic:blipFill>
                                    <a:blip r:embed="rId47"/>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45">
                <wp:simplePos x="0" y="0"/>
                <wp:positionH relativeFrom="page">
                  <wp:posOffset>666750</wp:posOffset>
                </wp:positionH>
                <wp:positionV relativeFrom="page">
                  <wp:posOffset>247650</wp:posOffset>
                </wp:positionV>
                <wp:extent cx="2816860" cy="137160"/>
                <wp:effectExtent l="0" t="0" r="0" b="0"/>
                <wp:wrapNone/>
                <wp:docPr id="93" name="Frame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-276225</wp:posOffset>
                </wp:positionH>
                <wp:positionV relativeFrom="page">
                  <wp:posOffset>0</wp:posOffset>
                </wp:positionV>
                <wp:extent cx="7560310" cy="2355850"/>
                <wp:effectExtent l="0" t="0" r="0" b="0"/>
                <wp:wrapNone/>
                <wp:docPr id="94" name="Frame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9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 descr=""/>
                                          <pic:cNvPicPr>
                                            <a:picLocks noChangeAspect="1" noChangeArrowheads="1"/>
                                          </pic:cNvPicPr>
                                        </pic:nvPicPr>
                                        <pic:blipFill>
                                          <a:blip r:embed="rId48"/>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49"/>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676275</wp:posOffset>
                </wp:positionH>
                <wp:positionV relativeFrom="page">
                  <wp:posOffset>247650</wp:posOffset>
                </wp:positionV>
                <wp:extent cx="2778760" cy="137160"/>
                <wp:effectExtent l="0" t="0" r="0" b="0"/>
                <wp:wrapNone/>
                <wp:docPr id="97" name="Frame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457200</wp:posOffset>
                </wp:positionH>
                <wp:positionV relativeFrom="page">
                  <wp:posOffset>8114030</wp:posOffset>
                </wp:positionV>
                <wp:extent cx="6403340" cy="175260"/>
                <wp:effectExtent l="0" t="0" r="0" b="0"/>
                <wp:wrapNone/>
                <wp:docPr id="98" name="Frame2"/>
                <a:graphic xmlns:a="http://schemas.openxmlformats.org/drawingml/2006/main">
                  <a:graphicData uri="http://schemas.microsoft.com/office/word/2010/wordprocessingShape">
                    <wps:wsp>
                      <wps:cNvSpPr txBox="1"/>
                      <wps:spPr>
                        <a:xfrm>
                          <a:off x="0" y="0"/>
                          <a:ext cx="6403340" cy="175260"/>
                        </a:xfrm>
                        <a:prstGeom prst="rect"/>
                        <a:solidFill>
                          <a:srgbClr val="FFFFFF"/>
                        </a:solidFill>
                      </wps:spPr>
                      <wps:txbx>
                        <w:txbxContent>
                          <w:p>
                            <w:pPr>
                              <w:pStyle w:val="TextBody"/>
                              <w:bidi w:val="0"/>
                              <w:spacing w:before="0" w:after="283"/>
                              <w:jc w:val="left"/>
                            </w:pPr>
                            <w:r/>
                          </w:p>
                        </w:txbxContent>
                      </wps:txbx>
                      <wps:bodyPr anchor="t" lIns="0" tIns="0" rIns="0" bIns="0">
                        <a:noAutofit/>
                      </wps:bodyPr>
                    </wps:wsp>
                  </a:graphicData>
                </a:graphic>
              </wp:anchor>
            </w:drawing>
          </mc:Choice>
          <mc:Fallback>
            <w:pict>
              <v:rect style="position:absolute;rotation:-0;width:504.2pt;height:13.8pt;mso-wrap-distance-left:0pt;mso-wrap-distance-right:0pt;mso-wrap-distance-top:0pt;mso-wrap-distance-bottom:0pt;margin-top:638.9pt;mso-position-vertical-relative:page;margin-left:36pt;mso-position-horizontal-relative:page">
                <v:textbox>
                  <w:txbxContent>
                    <w:p>
                      <w:pPr>
                        <w:pStyle w:val="TextBody"/>
                        <w:bidi w:val="0"/>
                        <w:spacing w:before="0" w:after="283"/>
                        <w:jc w:val="left"/>
                      </w:pPr>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428625</wp:posOffset>
                </wp:positionH>
                <wp:positionV relativeFrom="page">
                  <wp:posOffset>552450</wp:posOffset>
                </wp:positionV>
                <wp:extent cx="6355715" cy="175260"/>
                <wp:effectExtent l="0" t="0" r="0" b="0"/>
                <wp:wrapNone/>
                <wp:docPr id="99" name="Frame1"/>
                <a:graphic xmlns:a="http://schemas.openxmlformats.org/drawingml/2006/main">
                  <a:graphicData uri="http://schemas.microsoft.com/office/word/2010/wordprocessingShape">
                    <wps:wsp>
                      <wps:cNvSpPr txBox="1"/>
                      <wps:spPr>
                        <a:xfrm>
                          <a:off x="0" y="0"/>
                          <a:ext cx="6355715" cy="175260"/>
                        </a:xfrm>
                        <a:prstGeom prst="rect"/>
                        <a:solidFill>
                          <a:srgbClr val="FFFFFF"/>
                        </a:solidFill>
                      </wps:spPr>
                      <wps:txbx>
                        <w:txbxContent>
                          <w:p>
                            <w:pPr>
                              <w:pStyle w:val="TextBody"/>
                              <w:bidi w:val="0"/>
                              <w:spacing w:before="0" w:after="283"/>
                              <w:jc w:val="left"/>
                            </w:pPr>
                            <w:r/>
                          </w:p>
                        </w:txbxContent>
                      </wps:txbx>
                      <wps:bodyPr anchor="t" lIns="0" tIns="0" rIns="0" bIns="0">
                        <a:noAutofit/>
                      </wps:bodyPr>
                    </wps:wsp>
                  </a:graphicData>
                </a:graphic>
              </wp:anchor>
            </w:drawing>
          </mc:Choice>
          <mc:Fallback>
            <w:pict>
              <v:rect style="position:absolute;rotation:-0;width:500.45pt;height:13.8pt;mso-wrap-distance-left:0pt;mso-wrap-distance-right:0pt;mso-wrap-distance-top:0pt;mso-wrap-distance-bottom:0pt;margin-top:43.5pt;mso-position-vertical-relative:page;margin-left:33.75pt;mso-position-horizontal-relative:page">
                <v:textbox>
                  <w:txbxContent>
                    <w:p>
                      <w:pPr>
                        <w:pStyle w:val="TextBody"/>
                        <w:bidi w:val="0"/>
                        <w:spacing w:before="0" w:after="283"/>
                        <w:jc w:val="left"/>
                      </w:pPr>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676275</wp:posOffset>
                </wp:positionH>
                <wp:positionV relativeFrom="page">
                  <wp:posOffset>247650</wp:posOffset>
                </wp:positionV>
                <wp:extent cx="2778760" cy="137160"/>
                <wp:effectExtent l="0" t="0" r="0" b="0"/>
                <wp:wrapNone/>
                <wp:docPr id="100" name="Frame6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1">
                <wp:simplePos x="0" y="0"/>
                <wp:positionH relativeFrom="page">
                  <wp:posOffset>-276225</wp:posOffset>
                </wp:positionH>
                <wp:positionV relativeFrom="page">
                  <wp:posOffset>0</wp:posOffset>
                </wp:positionV>
                <wp:extent cx="7560310" cy="2346325"/>
                <wp:effectExtent l="0" t="0" r="0" b="0"/>
                <wp:wrapNone/>
                <wp:docPr id="101" name="Frame1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0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6" descr=""/>
                                          <pic:cNvPicPr>
                                            <a:picLocks noChangeAspect="1" noChangeArrowheads="1"/>
                                          </pic:cNvPicPr>
                                        </pic:nvPicPr>
                                        <pic:blipFill>
                                          <a:blip r:embed="rId5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1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6" descr=""/>
                                    <pic:cNvPicPr>
                                      <a:picLocks noChangeAspect="1" noChangeArrowheads="1"/>
                                    </pic:cNvPicPr>
                                  </pic:nvPicPr>
                                  <pic:blipFill>
                                    <a:blip r:embed="rId5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2">
                <wp:simplePos x="0" y="0"/>
                <wp:positionH relativeFrom="page">
                  <wp:posOffset>676275</wp:posOffset>
                </wp:positionH>
                <wp:positionV relativeFrom="page">
                  <wp:posOffset>247650</wp:posOffset>
                </wp:positionV>
                <wp:extent cx="2778760" cy="137160"/>
                <wp:effectExtent l="0" t="0" r="0" b="0"/>
                <wp:wrapNone/>
                <wp:docPr id="104" name="Frame1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3">
                <wp:simplePos x="0" y="0"/>
                <wp:positionH relativeFrom="page">
                  <wp:posOffset>-276225</wp:posOffset>
                </wp:positionH>
                <wp:positionV relativeFrom="page">
                  <wp:posOffset>0</wp:posOffset>
                </wp:positionV>
                <wp:extent cx="7560310" cy="2355850"/>
                <wp:effectExtent l="0" t="0" r="0" b="0"/>
                <wp:wrapNone/>
                <wp:docPr id="105" name="Frame2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10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7" descr=""/>
                                          <pic:cNvPicPr>
                                            <a:picLocks noChangeAspect="1" noChangeArrowheads="1"/>
                                          </pic:cNvPicPr>
                                        </pic:nvPicPr>
                                        <pic:blipFill>
                                          <a:blip r:embed="rId5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10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7" descr=""/>
                                    <pic:cNvPicPr>
                                      <a:picLocks noChangeAspect="1" noChangeArrowheads="1"/>
                                    </pic:cNvPicPr>
                                  </pic:nvPicPr>
                                  <pic:blipFill>
                                    <a:blip r:embed="rId5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3">
                <wp:simplePos x="0" y="0"/>
                <wp:positionH relativeFrom="page">
                  <wp:posOffset>666750</wp:posOffset>
                </wp:positionH>
                <wp:positionV relativeFrom="page">
                  <wp:posOffset>247650</wp:posOffset>
                </wp:positionV>
                <wp:extent cx="2816860" cy="137160"/>
                <wp:effectExtent l="0" t="0" r="0" b="0"/>
                <wp:wrapNone/>
                <wp:docPr id="108" name="Frame2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5">
                <wp:simplePos x="0" y="0"/>
                <wp:positionH relativeFrom="page">
                  <wp:posOffset>-276225</wp:posOffset>
                </wp:positionH>
                <wp:positionV relativeFrom="page">
                  <wp:posOffset>0</wp:posOffset>
                </wp:positionV>
                <wp:extent cx="7560310" cy="2346325"/>
                <wp:effectExtent l="0" t="0" r="0" b="0"/>
                <wp:wrapNone/>
                <wp:docPr id="109" name="Frame2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1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8" descr=""/>
                                          <pic:cNvPicPr>
                                            <a:picLocks noChangeAspect="1" noChangeArrowheads="1"/>
                                          </pic:cNvPicPr>
                                        </pic:nvPicPr>
                                        <pic:blipFill>
                                          <a:blip r:embed="rId5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11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8" descr=""/>
                                    <pic:cNvPicPr>
                                      <a:picLocks noChangeAspect="1" noChangeArrowheads="1"/>
                                    </pic:cNvPicPr>
                                  </pic:nvPicPr>
                                  <pic:blipFill>
                                    <a:blip r:embed="rId5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4">
                <wp:simplePos x="0" y="0"/>
                <wp:positionH relativeFrom="page">
                  <wp:posOffset>676275</wp:posOffset>
                </wp:positionH>
                <wp:positionV relativeFrom="page">
                  <wp:posOffset>247650</wp:posOffset>
                </wp:positionV>
                <wp:extent cx="2778760" cy="137160"/>
                <wp:effectExtent l="0" t="0" r="0" b="0"/>
                <wp:wrapNone/>
                <wp:docPr id="112" name="Frame2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7">
                <wp:simplePos x="0" y="0"/>
                <wp:positionH relativeFrom="page">
                  <wp:posOffset>-276225</wp:posOffset>
                </wp:positionH>
                <wp:positionV relativeFrom="page">
                  <wp:posOffset>0</wp:posOffset>
                </wp:positionV>
                <wp:extent cx="7560310" cy="2355850"/>
                <wp:effectExtent l="0" t="0" r="0" b="0"/>
                <wp:wrapNone/>
                <wp:docPr id="113" name="Frame2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11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9" descr=""/>
                                          <pic:cNvPicPr>
                                            <a:picLocks noChangeAspect="1" noChangeArrowheads="1"/>
                                          </pic:cNvPicPr>
                                        </pic:nvPicPr>
                                        <pic:blipFill>
                                          <a:blip r:embed="rId5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11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9" descr=""/>
                                    <pic:cNvPicPr>
                                      <a:picLocks noChangeAspect="1" noChangeArrowheads="1"/>
                                    </pic:cNvPicPr>
                                  </pic:nvPicPr>
                                  <pic:blipFill>
                                    <a:blip r:embed="rId5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5">
                <wp:simplePos x="0" y="0"/>
                <wp:positionH relativeFrom="page">
                  <wp:posOffset>666750</wp:posOffset>
                </wp:positionH>
                <wp:positionV relativeFrom="page">
                  <wp:posOffset>247650</wp:posOffset>
                </wp:positionV>
                <wp:extent cx="2816860" cy="137160"/>
                <wp:effectExtent l="0" t="0" r="0" b="0"/>
                <wp:wrapNone/>
                <wp:docPr id="116" name="Frame2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-276225</wp:posOffset>
                </wp:positionH>
                <wp:positionV relativeFrom="page">
                  <wp:posOffset>0</wp:posOffset>
                </wp:positionV>
                <wp:extent cx="7560310" cy="2346325"/>
                <wp:effectExtent l="0" t="0" r="0" b="0"/>
                <wp:wrapNone/>
                <wp:docPr id="117" name="Frame2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1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0" descr=""/>
                                          <pic:cNvPicPr>
                                            <a:picLocks noChangeAspect="1" noChangeArrowheads="1"/>
                                          </pic:cNvPicPr>
                                        </pic:nvPicPr>
                                        <pic:blipFill>
                                          <a:blip r:embed="rId58"/>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11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0" descr=""/>
                                    <pic:cNvPicPr>
                                      <a:picLocks noChangeAspect="1" noChangeArrowheads="1"/>
                                    </pic:cNvPicPr>
                                  </pic:nvPicPr>
                                  <pic:blipFill>
                                    <a:blip r:embed="rId59"/>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6">
                <wp:simplePos x="0" y="0"/>
                <wp:positionH relativeFrom="page">
                  <wp:posOffset>676275</wp:posOffset>
                </wp:positionH>
                <wp:positionV relativeFrom="page">
                  <wp:posOffset>247650</wp:posOffset>
                </wp:positionV>
                <wp:extent cx="2778760" cy="137160"/>
                <wp:effectExtent l="0" t="0" r="0" b="0"/>
                <wp:wrapNone/>
                <wp:docPr id="120" name="Frame2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-276225</wp:posOffset>
                </wp:positionH>
                <wp:positionV relativeFrom="page">
                  <wp:posOffset>0</wp:posOffset>
                </wp:positionV>
                <wp:extent cx="7560310" cy="2355850"/>
                <wp:effectExtent l="0" t="0" r="0" b="0"/>
                <wp:wrapNone/>
                <wp:docPr id="121" name="Frame2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1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1" descr=""/>
                                          <pic:cNvPicPr>
                                            <a:picLocks noChangeAspect="1" noChangeArrowheads="1"/>
                                          </pic:cNvPicPr>
                                        </pic:nvPicPr>
                                        <pic:blipFill>
                                          <a:blip r:embed="rId60"/>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12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1" descr=""/>
                                    <pic:cNvPicPr>
                                      <a:picLocks noChangeAspect="1" noChangeArrowheads="1"/>
                                    </pic:cNvPicPr>
                                  </pic:nvPicPr>
                                  <pic:blipFill>
                                    <a:blip r:embed="rId61"/>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7">
                <wp:simplePos x="0" y="0"/>
                <wp:positionH relativeFrom="page">
                  <wp:posOffset>666750</wp:posOffset>
                </wp:positionH>
                <wp:positionV relativeFrom="page">
                  <wp:posOffset>247650</wp:posOffset>
                </wp:positionV>
                <wp:extent cx="2816860" cy="137160"/>
                <wp:effectExtent l="0" t="0" r="0" b="0"/>
                <wp:wrapNone/>
                <wp:docPr id="124" name="Frame2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93">
                <wp:simplePos x="0" y="0"/>
                <wp:positionH relativeFrom="page">
                  <wp:posOffset>-276225</wp:posOffset>
                </wp:positionH>
                <wp:positionV relativeFrom="page">
                  <wp:posOffset>0</wp:posOffset>
                </wp:positionV>
                <wp:extent cx="7560310" cy="2346325"/>
                <wp:effectExtent l="0" t="0" r="0" b="0"/>
                <wp:wrapNone/>
                <wp:docPr id="125" name="Frame3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1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2" descr=""/>
                                          <pic:cNvPicPr>
                                            <a:picLocks noChangeAspect="1" noChangeArrowheads="1"/>
                                          </pic:cNvPicPr>
                                        </pic:nvPicPr>
                                        <pic:blipFill>
                                          <a:blip r:embed="rId62"/>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1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2" descr=""/>
                                    <pic:cNvPicPr>
                                      <a:picLocks noChangeAspect="1" noChangeArrowheads="1"/>
                                    </pic:cNvPicPr>
                                  </pic:nvPicPr>
                                  <pic:blipFill>
                                    <a:blip r:embed="rId63"/>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58">
                <wp:simplePos x="0" y="0"/>
                <wp:positionH relativeFrom="page">
                  <wp:posOffset>676275</wp:posOffset>
                </wp:positionH>
                <wp:positionV relativeFrom="page">
                  <wp:posOffset>247650</wp:posOffset>
                </wp:positionV>
                <wp:extent cx="2778760" cy="137160"/>
                <wp:effectExtent l="0" t="0" r="0" b="0"/>
                <wp:wrapNone/>
                <wp:docPr id="128" name="Frame3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95">
                <wp:simplePos x="0" y="0"/>
                <wp:positionH relativeFrom="page">
                  <wp:posOffset>-276225</wp:posOffset>
                </wp:positionH>
                <wp:positionV relativeFrom="page">
                  <wp:posOffset>0</wp:posOffset>
                </wp:positionV>
                <wp:extent cx="7560310" cy="2355850"/>
                <wp:effectExtent l="0" t="0" r="0" b="0"/>
                <wp:wrapNone/>
                <wp:docPr id="129" name="Frame3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1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3" descr=""/>
                                          <pic:cNvPicPr>
                                            <a:picLocks noChangeAspect="1" noChangeArrowheads="1"/>
                                          </pic:cNvPicPr>
                                        </pic:nvPicPr>
                                        <pic:blipFill>
                                          <a:blip r:embed="rId64"/>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1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3" descr=""/>
                                    <pic:cNvPicPr>
                                      <a:picLocks noChangeAspect="1" noChangeArrowheads="1"/>
                                    </pic:cNvPicPr>
                                  </pic:nvPicPr>
                                  <pic:blipFill>
                                    <a:blip r:embed="rId65"/>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07">
                <wp:simplePos x="0" y="0"/>
                <wp:positionH relativeFrom="page">
                  <wp:posOffset>-285750</wp:posOffset>
                </wp:positionH>
                <wp:positionV relativeFrom="page">
                  <wp:posOffset>0</wp:posOffset>
                </wp:positionV>
                <wp:extent cx="7560310" cy="664845"/>
                <wp:effectExtent l="0" t="0" r="0" b="0"/>
                <wp:wrapNone/>
                <wp:docPr id="132" name="Frame10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3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1" descr=""/>
                                          <pic:cNvPicPr>
                                            <a:picLocks noChangeAspect="1" noChangeArrowheads="1"/>
                                          </pic:cNvPicPr>
                                        </pic:nvPicPr>
                                        <pic:blipFill>
                                          <a:blip r:embed="rId66"/>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3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1" descr=""/>
                                    <pic:cNvPicPr>
                                      <a:picLocks noChangeAspect="1" noChangeArrowheads="1"/>
                                    </pic:cNvPicPr>
                                  </pic:nvPicPr>
                                  <pic:blipFill>
                                    <a:blip r:embed="rId67"/>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-285750</wp:posOffset>
                </wp:positionH>
                <wp:positionV relativeFrom="page">
                  <wp:posOffset>0</wp:posOffset>
                </wp:positionV>
                <wp:extent cx="7560310" cy="664845"/>
                <wp:effectExtent l="0" t="0" r="0" b="0"/>
                <wp:wrapNone/>
                <wp:docPr id="135" name="Frame11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3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5" descr=""/>
                                          <pic:cNvPicPr>
                                            <a:picLocks noChangeAspect="1" noChangeArrowheads="1"/>
                                          </pic:cNvPicPr>
                                        </pic:nvPicPr>
                                        <pic:blipFill>
                                          <a:blip r:embed="rId68"/>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3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5" descr=""/>
                                    <pic:cNvPicPr>
                                      <a:picLocks noChangeAspect="1" noChangeArrowheads="1"/>
                                    </pic:cNvPicPr>
                                  </pic:nvPicPr>
                                  <pic:blipFill>
                                    <a:blip r:embed="rId69"/>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0">
                <wp:simplePos x="0" y="0"/>
                <wp:positionH relativeFrom="page">
                  <wp:posOffset>647700</wp:posOffset>
                </wp:positionH>
                <wp:positionV relativeFrom="page">
                  <wp:posOffset>238125</wp:posOffset>
                </wp:positionV>
                <wp:extent cx="2814955" cy="137160"/>
                <wp:effectExtent l="0" t="0" r="0" b="0"/>
                <wp:wrapNone/>
                <wp:docPr id="138" name="Frame11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-276225</wp:posOffset>
                </wp:positionH>
                <wp:positionV relativeFrom="page">
                  <wp:posOffset>0</wp:posOffset>
                </wp:positionV>
                <wp:extent cx="7560310" cy="664845"/>
                <wp:effectExtent l="0" t="0" r="0" b="0"/>
                <wp:wrapNone/>
                <wp:docPr id="139" name="Frame11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4" descr=""/>
                                          <pic:cNvPicPr>
                                            <a:picLocks noChangeAspect="1" noChangeArrowheads="1"/>
                                          </pic:cNvPicPr>
                                        </pic:nvPicPr>
                                        <pic:blipFill>
                                          <a:blip r:embed="rId70"/>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4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4" descr=""/>
                                    <pic:cNvPicPr>
                                      <a:picLocks noChangeAspect="1" noChangeArrowheads="1"/>
                                    </pic:cNvPicPr>
                                  </pic:nvPicPr>
                                  <pic:blipFill>
                                    <a:blip r:embed="rId71"/>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page">
                  <wp:posOffset>685800</wp:posOffset>
                </wp:positionH>
                <wp:positionV relativeFrom="page">
                  <wp:posOffset>228600</wp:posOffset>
                </wp:positionV>
                <wp:extent cx="2776855" cy="137160"/>
                <wp:effectExtent l="0" t="0" r="0" b="0"/>
                <wp:wrapNone/>
                <wp:docPr id="142" name="Frame11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page">
                  <wp:posOffset>-285750</wp:posOffset>
                </wp:positionH>
                <wp:positionV relativeFrom="page">
                  <wp:posOffset>0</wp:posOffset>
                </wp:positionV>
                <wp:extent cx="7560310" cy="664845"/>
                <wp:effectExtent l="0" t="0" r="0" b="0"/>
                <wp:wrapNone/>
                <wp:docPr id="143" name="Frame11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4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3" descr=""/>
                                          <pic:cNvPicPr>
                                            <a:picLocks noChangeAspect="1" noChangeArrowheads="1"/>
                                          </pic:cNvPicPr>
                                        </pic:nvPicPr>
                                        <pic:blipFill>
                                          <a:blip r:embed="rId72"/>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4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3" descr=""/>
                                    <pic:cNvPicPr>
                                      <a:picLocks noChangeAspect="1" noChangeArrowheads="1"/>
                                    </pic:cNvPicPr>
                                  </pic:nvPicPr>
                                  <pic:blipFill>
                                    <a:blip r:embed="rId73"/>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8">
                <wp:simplePos x="0" y="0"/>
                <wp:positionH relativeFrom="page">
                  <wp:posOffset>647700</wp:posOffset>
                </wp:positionH>
                <wp:positionV relativeFrom="page">
                  <wp:posOffset>238125</wp:posOffset>
                </wp:positionV>
                <wp:extent cx="2814955" cy="137160"/>
                <wp:effectExtent l="0" t="0" r="0" b="0"/>
                <wp:wrapNone/>
                <wp:docPr id="146" name="Frame11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13">
                <wp:simplePos x="0" y="0"/>
                <wp:positionH relativeFrom="page">
                  <wp:posOffset>-276225</wp:posOffset>
                </wp:positionH>
                <wp:positionV relativeFrom="page">
                  <wp:posOffset>0</wp:posOffset>
                </wp:positionV>
                <wp:extent cx="7560310" cy="664845"/>
                <wp:effectExtent l="0" t="0" r="0" b="0"/>
                <wp:wrapNone/>
                <wp:docPr id="147" name="Frame11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4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62" descr=""/>
                                          <pic:cNvPicPr>
                                            <a:picLocks noChangeAspect="1" noChangeArrowheads="1"/>
                                          </pic:cNvPicPr>
                                        </pic:nvPicPr>
                                        <pic:blipFill>
                                          <a:blip r:embed="rId74"/>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4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2" descr=""/>
                                    <pic:cNvPicPr>
                                      <a:picLocks noChangeAspect="1" noChangeArrowheads="1"/>
                                    </pic:cNvPicPr>
                                  </pic:nvPicPr>
                                  <pic:blipFill>
                                    <a:blip r:embed="rId75"/>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7">
                <wp:simplePos x="0" y="0"/>
                <wp:positionH relativeFrom="page">
                  <wp:posOffset>685800</wp:posOffset>
                </wp:positionH>
                <wp:positionV relativeFrom="page">
                  <wp:posOffset>228600</wp:posOffset>
                </wp:positionV>
                <wp:extent cx="2776855" cy="137160"/>
                <wp:effectExtent l="0" t="0" r="0" b="0"/>
                <wp:wrapNone/>
                <wp:docPr id="150" name="Frame10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01">
                <wp:simplePos x="0" y="0"/>
                <wp:positionH relativeFrom="page">
                  <wp:posOffset>685800</wp:posOffset>
                </wp:positionH>
                <wp:positionV relativeFrom="page">
                  <wp:posOffset>228600</wp:posOffset>
                </wp:positionV>
                <wp:extent cx="2776855" cy="137160"/>
                <wp:effectExtent l="0" t="0" r="0" b="0"/>
                <wp:wrapNone/>
                <wp:docPr id="151" name="Frame11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647700</wp:posOffset>
                </wp:positionH>
                <wp:positionV relativeFrom="page">
                  <wp:posOffset>238125</wp:posOffset>
                </wp:positionV>
                <wp:extent cx="2814955" cy="137160"/>
                <wp:effectExtent l="0" t="0" r="0" b="0"/>
                <wp:wrapNone/>
                <wp:docPr id="152" name="Frame10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09">
                <wp:simplePos x="0" y="0"/>
                <wp:positionH relativeFrom="page">
                  <wp:posOffset>-276225</wp:posOffset>
                </wp:positionH>
                <wp:positionV relativeFrom="page">
                  <wp:posOffset>0</wp:posOffset>
                </wp:positionV>
                <wp:extent cx="7560310" cy="664845"/>
                <wp:effectExtent l="0" t="0" r="0" b="0"/>
                <wp:wrapNone/>
                <wp:docPr id="153" name="Frame10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5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0" descr=""/>
                                          <pic:cNvPicPr>
                                            <a:picLocks noChangeAspect="1" noChangeArrowheads="1"/>
                                          </pic:cNvPicPr>
                                        </pic:nvPicPr>
                                        <pic:blipFill>
                                          <a:blip r:embed="rId76"/>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5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0" descr=""/>
                                    <pic:cNvPicPr>
                                      <a:picLocks noChangeAspect="1" noChangeArrowheads="1"/>
                                    </pic:cNvPicPr>
                                  </pic:nvPicPr>
                                  <pic:blipFill>
                                    <a:blip r:embed="rId77"/>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685800</wp:posOffset>
                </wp:positionH>
                <wp:positionV relativeFrom="page">
                  <wp:posOffset>228600</wp:posOffset>
                </wp:positionV>
                <wp:extent cx="2776855" cy="137160"/>
                <wp:effectExtent l="0" t="0" r="0" b="0"/>
                <wp:wrapNone/>
                <wp:docPr id="156" name="Frame10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-285750</wp:posOffset>
                </wp:positionH>
                <wp:positionV relativeFrom="page">
                  <wp:posOffset>0</wp:posOffset>
                </wp:positionV>
                <wp:extent cx="7560310" cy="664845"/>
                <wp:effectExtent l="0" t="0" r="0" b="0"/>
                <wp:wrapNone/>
                <wp:docPr id="157" name="Frame10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5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9" descr=""/>
                                          <pic:cNvPicPr>
                                            <a:picLocks noChangeAspect="1" noChangeArrowheads="1"/>
                                          </pic:cNvPicPr>
                                        </pic:nvPicPr>
                                        <pic:blipFill>
                                          <a:blip r:embed="rId78"/>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9" descr=""/>
                                    <pic:cNvPicPr>
                                      <a:picLocks noChangeAspect="1" noChangeArrowheads="1"/>
                                    </pic:cNvPicPr>
                                  </pic:nvPicPr>
                                  <pic:blipFill>
                                    <a:blip r:embed="rId79"/>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647700</wp:posOffset>
                </wp:positionH>
                <wp:positionV relativeFrom="page">
                  <wp:posOffset>238125</wp:posOffset>
                </wp:positionV>
                <wp:extent cx="2814955" cy="137160"/>
                <wp:effectExtent l="0" t="0" r="0" b="0"/>
                <wp:wrapNone/>
                <wp:docPr id="160" name="Frame10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-276225</wp:posOffset>
                </wp:positionH>
                <wp:positionV relativeFrom="page">
                  <wp:posOffset>0</wp:posOffset>
                </wp:positionV>
                <wp:extent cx="7560310" cy="664845"/>
                <wp:effectExtent l="0" t="0" r="0" b="0"/>
                <wp:wrapNone/>
                <wp:docPr id="161" name="Frame10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8" descr=""/>
                                          <pic:cNvPicPr>
                                            <a:picLocks noChangeAspect="1" noChangeArrowheads="1"/>
                                          </pic:cNvPicPr>
                                        </pic:nvPicPr>
                                        <pic:blipFill>
                                          <a:blip r:embed="rId80"/>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8" descr=""/>
                                    <pic:cNvPicPr>
                                      <a:picLocks noChangeAspect="1" noChangeArrowheads="1"/>
                                    </pic:cNvPicPr>
                                  </pic:nvPicPr>
                                  <pic:blipFill>
                                    <a:blip r:embed="rId81"/>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685800</wp:posOffset>
                </wp:positionH>
                <wp:positionV relativeFrom="page">
                  <wp:posOffset>228600</wp:posOffset>
                </wp:positionV>
                <wp:extent cx="2776855" cy="137160"/>
                <wp:effectExtent l="0" t="0" r="0" b="0"/>
                <wp:wrapNone/>
                <wp:docPr id="164" name="Frame101"/>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05">
                <wp:simplePos x="0" y="0"/>
                <wp:positionH relativeFrom="page">
                  <wp:posOffset>685800</wp:posOffset>
                </wp:positionH>
                <wp:positionV relativeFrom="page">
                  <wp:posOffset>228600</wp:posOffset>
                </wp:positionV>
                <wp:extent cx="2776855" cy="137160"/>
                <wp:effectExtent l="0" t="0" r="0" b="0"/>
                <wp:wrapNone/>
                <wp:docPr id="165" name="Frame12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09">
                <wp:simplePos x="0" y="0"/>
                <wp:positionH relativeFrom="page">
                  <wp:posOffset>685800</wp:posOffset>
                </wp:positionH>
                <wp:positionV relativeFrom="page">
                  <wp:posOffset>228600</wp:posOffset>
                </wp:positionV>
                <wp:extent cx="2776855" cy="137160"/>
                <wp:effectExtent l="0" t="0" r="0" b="0"/>
                <wp:wrapNone/>
                <wp:docPr id="166" name="Frame13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-285750</wp:posOffset>
                </wp:positionH>
                <wp:positionV relativeFrom="page">
                  <wp:posOffset>0</wp:posOffset>
                </wp:positionV>
                <wp:extent cx="7560310" cy="664845"/>
                <wp:effectExtent l="0" t="0" r="0" b="0"/>
                <wp:wrapNone/>
                <wp:docPr id="167" name="Frame13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6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73" descr=""/>
                                          <pic:cNvPicPr>
                                            <a:picLocks noChangeAspect="1" noChangeArrowheads="1"/>
                                          </pic:cNvPicPr>
                                        </pic:nvPicPr>
                                        <pic:blipFill>
                                          <a:blip r:embed="rId82"/>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6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73" descr=""/>
                                    <pic:cNvPicPr>
                                      <a:picLocks noChangeAspect="1" noChangeArrowheads="1"/>
                                    </pic:cNvPicPr>
                                  </pic:nvPicPr>
                                  <pic:blipFill>
                                    <a:blip r:embed="rId83"/>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8">
                <wp:simplePos x="0" y="0"/>
                <wp:positionH relativeFrom="page">
                  <wp:posOffset>647700</wp:posOffset>
                </wp:positionH>
                <wp:positionV relativeFrom="page">
                  <wp:posOffset>238125</wp:posOffset>
                </wp:positionV>
                <wp:extent cx="2814955" cy="137160"/>
                <wp:effectExtent l="0" t="0" r="0" b="0"/>
                <wp:wrapNone/>
                <wp:docPr id="170" name="Frame13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page">
                  <wp:posOffset>-276225</wp:posOffset>
                </wp:positionH>
                <wp:positionV relativeFrom="page">
                  <wp:posOffset>0</wp:posOffset>
                </wp:positionV>
                <wp:extent cx="7560310" cy="664845"/>
                <wp:effectExtent l="0" t="0" r="0" b="0"/>
                <wp:wrapNone/>
                <wp:docPr id="171" name="Frame13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72" descr=""/>
                                          <pic:cNvPicPr>
                                            <a:picLocks noChangeAspect="1" noChangeArrowheads="1"/>
                                          </pic:cNvPicPr>
                                        </pic:nvPicPr>
                                        <pic:blipFill>
                                          <a:blip r:embed="rId84"/>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2" descr=""/>
                                    <pic:cNvPicPr>
                                      <a:picLocks noChangeAspect="1" noChangeArrowheads="1"/>
                                    </pic:cNvPicPr>
                                  </pic:nvPicPr>
                                  <pic:blipFill>
                                    <a:blip r:embed="rId85"/>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7">
                <wp:simplePos x="0" y="0"/>
                <wp:positionH relativeFrom="page">
                  <wp:posOffset>685800</wp:posOffset>
                </wp:positionH>
                <wp:positionV relativeFrom="page">
                  <wp:posOffset>228600</wp:posOffset>
                </wp:positionV>
                <wp:extent cx="2776855" cy="137160"/>
                <wp:effectExtent l="0" t="0" r="0" b="0"/>
                <wp:wrapNone/>
                <wp:docPr id="174" name="Frame12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11">
                <wp:simplePos x="0" y="0"/>
                <wp:positionH relativeFrom="page">
                  <wp:posOffset>-285750</wp:posOffset>
                </wp:positionH>
                <wp:positionV relativeFrom="page">
                  <wp:posOffset>0</wp:posOffset>
                </wp:positionV>
                <wp:extent cx="7560310" cy="664845"/>
                <wp:effectExtent l="0" t="0" r="0" b="0"/>
                <wp:wrapNone/>
                <wp:docPr id="175" name="Frame12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1" descr=""/>
                                          <pic:cNvPicPr>
                                            <a:picLocks noChangeAspect="1" noChangeArrowheads="1"/>
                                          </pic:cNvPicPr>
                                        </pic:nvPicPr>
                                        <pic:blipFill>
                                          <a:blip r:embed="rId86"/>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1" descr=""/>
                                    <pic:cNvPicPr>
                                      <a:picLocks noChangeAspect="1" noChangeArrowheads="1"/>
                                    </pic:cNvPicPr>
                                  </pic:nvPicPr>
                                  <pic:blipFill>
                                    <a:blip r:embed="rId87"/>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6">
                <wp:simplePos x="0" y="0"/>
                <wp:positionH relativeFrom="page">
                  <wp:posOffset>647700</wp:posOffset>
                </wp:positionH>
                <wp:positionV relativeFrom="page">
                  <wp:posOffset>238125</wp:posOffset>
                </wp:positionV>
                <wp:extent cx="2814955" cy="137160"/>
                <wp:effectExtent l="0" t="0" r="0" b="0"/>
                <wp:wrapNone/>
                <wp:docPr id="178" name="Frame12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page">
                  <wp:posOffset>-276225</wp:posOffset>
                </wp:positionH>
                <wp:positionV relativeFrom="page">
                  <wp:posOffset>0</wp:posOffset>
                </wp:positionV>
                <wp:extent cx="7560310" cy="664845"/>
                <wp:effectExtent l="0" t="0" r="0" b="0"/>
                <wp:wrapNone/>
                <wp:docPr id="179" name="Frame12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0" descr=""/>
                                          <pic:cNvPicPr>
                                            <a:picLocks noChangeAspect="1" noChangeArrowheads="1"/>
                                          </pic:cNvPicPr>
                                        </pic:nvPicPr>
                                        <pic:blipFill>
                                          <a:blip r:embed="rId88"/>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8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0" descr=""/>
                                    <pic:cNvPicPr>
                                      <a:picLocks noChangeAspect="1" noChangeArrowheads="1"/>
                                    </pic:cNvPicPr>
                                  </pic:nvPicPr>
                                  <pic:blipFill>
                                    <a:blip r:embed="rId89"/>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-285750</wp:posOffset>
                </wp:positionH>
                <wp:positionV relativeFrom="page">
                  <wp:posOffset>0</wp:posOffset>
                </wp:positionV>
                <wp:extent cx="7560310" cy="664845"/>
                <wp:effectExtent l="0" t="0" r="0" b="0"/>
                <wp:wrapNone/>
                <wp:docPr id="182" name="Frame10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8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57" descr=""/>
                                          <pic:cNvPicPr>
                                            <a:picLocks noChangeAspect="1" noChangeArrowheads="1"/>
                                          </pic:cNvPicPr>
                                        </pic:nvPicPr>
                                        <pic:blipFill>
                                          <a:blip r:embed="rId90"/>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8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57" descr=""/>
                                    <pic:cNvPicPr>
                                      <a:picLocks noChangeAspect="1" noChangeArrowheads="1"/>
                                    </pic:cNvPicPr>
                                  </pic:nvPicPr>
                                  <pic:blipFill>
                                    <a:blip r:embed="rId91"/>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-285750</wp:posOffset>
                </wp:positionH>
                <wp:positionV relativeFrom="page">
                  <wp:posOffset>0</wp:posOffset>
                </wp:positionV>
                <wp:extent cx="7560310" cy="664845"/>
                <wp:effectExtent l="0" t="0" r="0" b="0"/>
                <wp:wrapNone/>
                <wp:docPr id="185" name="Frame12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8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69" descr=""/>
                                          <pic:cNvPicPr>
                                            <a:picLocks noChangeAspect="1" noChangeArrowheads="1"/>
                                          </pic:cNvPicPr>
                                        </pic:nvPicPr>
                                        <pic:blipFill>
                                          <a:blip r:embed="rId92"/>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8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9" descr=""/>
                                    <pic:cNvPicPr>
                                      <a:picLocks noChangeAspect="1" noChangeArrowheads="1"/>
                                    </pic:cNvPicPr>
                                  </pic:nvPicPr>
                                  <pic:blipFill>
                                    <a:blip r:embed="rId93"/>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4">
                <wp:simplePos x="0" y="0"/>
                <wp:positionH relativeFrom="page">
                  <wp:posOffset>647700</wp:posOffset>
                </wp:positionH>
                <wp:positionV relativeFrom="page">
                  <wp:posOffset>238125</wp:posOffset>
                </wp:positionV>
                <wp:extent cx="2814955" cy="137160"/>
                <wp:effectExtent l="0" t="0" r="0" b="0"/>
                <wp:wrapNone/>
                <wp:docPr id="188" name="Frame12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page">
                  <wp:posOffset>-276225</wp:posOffset>
                </wp:positionH>
                <wp:positionV relativeFrom="page">
                  <wp:posOffset>0</wp:posOffset>
                </wp:positionV>
                <wp:extent cx="7560310" cy="664845"/>
                <wp:effectExtent l="0" t="0" r="0" b="0"/>
                <wp:wrapNone/>
                <wp:docPr id="189" name="Frame12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90"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8" descr=""/>
                                          <pic:cNvPicPr>
                                            <a:picLocks noChangeAspect="1" noChangeArrowheads="1"/>
                                          </pic:cNvPicPr>
                                        </pic:nvPicPr>
                                        <pic:blipFill>
                                          <a:blip r:embed="rId94"/>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9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8" descr=""/>
                                    <pic:cNvPicPr>
                                      <a:picLocks noChangeAspect="1" noChangeArrowheads="1"/>
                                    </pic:cNvPicPr>
                                  </pic:nvPicPr>
                                  <pic:blipFill>
                                    <a:blip r:embed="rId95"/>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3">
                <wp:simplePos x="0" y="0"/>
                <wp:positionH relativeFrom="page">
                  <wp:posOffset>685800</wp:posOffset>
                </wp:positionH>
                <wp:positionV relativeFrom="page">
                  <wp:posOffset>228600</wp:posOffset>
                </wp:positionV>
                <wp:extent cx="2776855" cy="137160"/>
                <wp:effectExtent l="0" t="0" r="0" b="0"/>
                <wp:wrapNone/>
                <wp:docPr id="192" name="Frame121"/>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-285750</wp:posOffset>
                </wp:positionH>
                <wp:positionV relativeFrom="page">
                  <wp:posOffset>0</wp:posOffset>
                </wp:positionV>
                <wp:extent cx="7560310" cy="664845"/>
                <wp:effectExtent l="0" t="0" r="0" b="0"/>
                <wp:wrapNone/>
                <wp:docPr id="193" name="Frame12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19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7" descr=""/>
                                          <pic:cNvPicPr>
                                            <a:picLocks noChangeAspect="1" noChangeArrowheads="1"/>
                                          </pic:cNvPicPr>
                                        </pic:nvPicPr>
                                        <pic:blipFill>
                                          <a:blip r:embed="rId96"/>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19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67" descr=""/>
                                    <pic:cNvPicPr>
                                      <a:picLocks noChangeAspect="1" noChangeArrowheads="1"/>
                                    </pic:cNvPicPr>
                                  </pic:nvPicPr>
                                  <pic:blipFill>
                                    <a:blip r:embed="rId97"/>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202">
                <wp:simplePos x="0" y="0"/>
                <wp:positionH relativeFrom="page">
                  <wp:posOffset>647700</wp:posOffset>
                </wp:positionH>
                <wp:positionV relativeFrom="page">
                  <wp:posOffset>238125</wp:posOffset>
                </wp:positionV>
                <wp:extent cx="2814955" cy="137160"/>
                <wp:effectExtent l="0" t="0" r="0" b="0"/>
                <wp:wrapNone/>
                <wp:docPr id="196" name="Frame11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-276225</wp:posOffset>
                </wp:positionH>
                <wp:positionV relativeFrom="page">
                  <wp:posOffset>0</wp:posOffset>
                </wp:positionV>
                <wp:extent cx="7560310" cy="664845"/>
                <wp:effectExtent l="0" t="0" r="0" b="0"/>
                <wp:wrapNone/>
                <wp:docPr id="197" name="Frame11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19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66" descr=""/>
                                          <pic:cNvPicPr>
                                            <a:picLocks noChangeAspect="1" noChangeArrowheads="1"/>
                                          </pic:cNvPicPr>
                                        </pic:nvPicPr>
                                        <pic:blipFill>
                                          <a:blip r:embed="rId98"/>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1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6" descr=""/>
                                    <pic:cNvPicPr>
                                      <a:picLocks noChangeAspect="1" noChangeArrowheads="1"/>
                                    </pic:cNvPicPr>
                                  </pic:nvPicPr>
                                  <pic:blipFill>
                                    <a:blip r:embed="rId99"/>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676275</wp:posOffset>
                </wp:positionH>
                <wp:positionV relativeFrom="page">
                  <wp:posOffset>247650</wp:posOffset>
                </wp:positionV>
                <wp:extent cx="2778760" cy="137160"/>
                <wp:effectExtent l="0" t="0" r="0" b="0"/>
                <wp:wrapNone/>
                <wp:docPr id="200" name="Frame75"/>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676275</wp:posOffset>
                </wp:positionH>
                <wp:positionV relativeFrom="page">
                  <wp:posOffset>247650</wp:posOffset>
                </wp:positionV>
                <wp:extent cx="2778760" cy="137160"/>
                <wp:effectExtent l="0" t="0" r="0" b="0"/>
                <wp:wrapNone/>
                <wp:docPr id="201" name="Frame83"/>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-276225</wp:posOffset>
                </wp:positionH>
                <wp:positionV relativeFrom="page">
                  <wp:posOffset>0</wp:posOffset>
                </wp:positionV>
                <wp:extent cx="7560310" cy="2346325"/>
                <wp:effectExtent l="0" t="0" r="0" b="0"/>
                <wp:wrapNone/>
                <wp:docPr id="202" name="Frame82"/>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0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48" descr=""/>
                                          <pic:cNvPicPr>
                                            <a:picLocks noChangeAspect="1" noChangeArrowheads="1"/>
                                          </pic:cNvPicPr>
                                        </pic:nvPicPr>
                                        <pic:blipFill>
                                          <a:blip r:embed="rId10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0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48" descr=""/>
                                    <pic:cNvPicPr>
                                      <a:picLocks noChangeAspect="1" noChangeArrowheads="1"/>
                                    </pic:cNvPicPr>
                                  </pic:nvPicPr>
                                  <pic:blipFill>
                                    <a:blip r:embed="rId10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3">
                <wp:simplePos x="0" y="0"/>
                <wp:positionH relativeFrom="page">
                  <wp:posOffset>666750</wp:posOffset>
                </wp:positionH>
                <wp:positionV relativeFrom="page">
                  <wp:posOffset>247650</wp:posOffset>
                </wp:positionV>
                <wp:extent cx="2816860" cy="137160"/>
                <wp:effectExtent l="0" t="0" r="0" b="0"/>
                <wp:wrapNone/>
                <wp:docPr id="205" name="Frame81"/>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-276225</wp:posOffset>
                </wp:positionH>
                <wp:positionV relativeFrom="page">
                  <wp:posOffset>0</wp:posOffset>
                </wp:positionV>
                <wp:extent cx="7560310" cy="2355850"/>
                <wp:effectExtent l="0" t="0" r="0" b="0"/>
                <wp:wrapNone/>
                <wp:docPr id="206" name="Frame80"/>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0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47" descr=""/>
                                          <pic:cNvPicPr>
                                            <a:picLocks noChangeAspect="1" noChangeArrowheads="1"/>
                                          </pic:cNvPicPr>
                                        </pic:nvPicPr>
                                        <pic:blipFill>
                                          <a:blip r:embed="rId10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0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7" descr=""/>
                                    <pic:cNvPicPr>
                                      <a:picLocks noChangeAspect="1" noChangeArrowheads="1"/>
                                    </pic:cNvPicPr>
                                  </pic:nvPicPr>
                                  <pic:blipFill>
                                    <a:blip r:embed="rId10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676275</wp:posOffset>
                </wp:positionH>
                <wp:positionV relativeFrom="page">
                  <wp:posOffset>247650</wp:posOffset>
                </wp:positionV>
                <wp:extent cx="2778760" cy="137160"/>
                <wp:effectExtent l="0" t="0" r="0" b="0"/>
                <wp:wrapNone/>
                <wp:docPr id="209" name="Frame79"/>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-276225</wp:posOffset>
                </wp:positionH>
                <wp:positionV relativeFrom="page">
                  <wp:posOffset>0</wp:posOffset>
                </wp:positionV>
                <wp:extent cx="7560310" cy="2346325"/>
                <wp:effectExtent l="0" t="0" r="0" b="0"/>
                <wp:wrapNone/>
                <wp:docPr id="210" name="Frame78"/>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1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6" descr=""/>
                                          <pic:cNvPicPr>
                                            <a:picLocks noChangeAspect="1" noChangeArrowheads="1"/>
                                          </pic:cNvPicPr>
                                        </pic:nvPicPr>
                                        <pic:blipFill>
                                          <a:blip r:embed="rId10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1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46" descr=""/>
                                    <pic:cNvPicPr>
                                      <a:picLocks noChangeAspect="1" noChangeArrowheads="1"/>
                                    </pic:cNvPicPr>
                                  </pic:nvPicPr>
                                  <pic:blipFill>
                                    <a:blip r:embed="rId10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666750</wp:posOffset>
                </wp:positionH>
                <wp:positionV relativeFrom="page">
                  <wp:posOffset>247650</wp:posOffset>
                </wp:positionV>
                <wp:extent cx="2816860" cy="137160"/>
                <wp:effectExtent l="0" t="0" r="0" b="0"/>
                <wp:wrapNone/>
                <wp:docPr id="213" name="Frame77"/>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-276225</wp:posOffset>
                </wp:positionH>
                <wp:positionV relativeFrom="page">
                  <wp:posOffset>0</wp:posOffset>
                </wp:positionV>
                <wp:extent cx="7560310" cy="2355850"/>
                <wp:effectExtent l="0" t="0" r="0" b="0"/>
                <wp:wrapNone/>
                <wp:docPr id="214" name="Frame76"/>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1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45" descr=""/>
                                          <pic:cNvPicPr>
                                            <a:picLocks noChangeAspect="1" noChangeArrowheads="1"/>
                                          </pic:cNvPicPr>
                                        </pic:nvPicPr>
                                        <pic:blipFill>
                                          <a:blip r:embed="rId10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1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5" descr=""/>
                                    <pic:cNvPicPr>
                                      <a:picLocks noChangeAspect="1" noChangeArrowheads="1"/>
                                    </pic:cNvPicPr>
                                  </pic:nvPicPr>
                                  <pic:blipFill>
                                    <a:blip r:embed="rId10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-276225</wp:posOffset>
                </wp:positionH>
                <wp:positionV relativeFrom="page">
                  <wp:posOffset>0</wp:posOffset>
                </wp:positionV>
                <wp:extent cx="7560310" cy="2355850"/>
                <wp:effectExtent l="0" t="0" r="0" b="0"/>
                <wp:wrapNone/>
                <wp:docPr id="217" name="Frame84"/>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1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9" descr=""/>
                                          <pic:cNvPicPr>
                                            <a:picLocks noChangeAspect="1" noChangeArrowheads="1"/>
                                          </pic:cNvPicPr>
                                        </pic:nvPicPr>
                                        <pic:blipFill>
                                          <a:blip r:embed="rId108"/>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1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49" descr=""/>
                                    <pic:cNvPicPr>
                                      <a:picLocks noChangeAspect="1" noChangeArrowheads="1"/>
                                    </pic:cNvPicPr>
                                  </pic:nvPicPr>
                                  <pic:blipFill>
                                    <a:blip r:embed="rId109"/>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-276225</wp:posOffset>
                </wp:positionH>
                <wp:positionV relativeFrom="page">
                  <wp:posOffset>0</wp:posOffset>
                </wp:positionV>
                <wp:extent cx="7560310" cy="2346325"/>
                <wp:effectExtent l="0" t="0" r="0" b="0"/>
                <wp:wrapNone/>
                <wp:docPr id="220" name="Frame74"/>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44" descr=""/>
                                          <pic:cNvPicPr>
                                            <a:picLocks noChangeAspect="1" noChangeArrowheads="1"/>
                                          </pic:cNvPicPr>
                                        </pic:nvPicPr>
                                        <pic:blipFill>
                                          <a:blip r:embed="rId11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44" descr=""/>
                                    <pic:cNvPicPr>
                                      <a:picLocks noChangeAspect="1" noChangeArrowheads="1"/>
                                    </pic:cNvPicPr>
                                  </pic:nvPicPr>
                                  <pic:blipFill>
                                    <a:blip r:embed="rId11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666750</wp:posOffset>
                </wp:positionH>
                <wp:positionV relativeFrom="page">
                  <wp:posOffset>247650</wp:posOffset>
                </wp:positionV>
                <wp:extent cx="2816860" cy="137160"/>
                <wp:effectExtent l="0" t="0" r="0" b="0"/>
                <wp:wrapNone/>
                <wp:docPr id="223" name="Frame73"/>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-276225</wp:posOffset>
                </wp:positionH>
                <wp:positionV relativeFrom="page">
                  <wp:posOffset>0</wp:posOffset>
                </wp:positionV>
                <wp:extent cx="7560310" cy="2355850"/>
                <wp:effectExtent l="0" t="0" r="0" b="0"/>
                <wp:wrapNone/>
                <wp:docPr id="224" name="Frame72"/>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2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43" descr=""/>
                                          <pic:cNvPicPr>
                                            <a:picLocks noChangeAspect="1" noChangeArrowheads="1"/>
                                          </pic:cNvPicPr>
                                        </pic:nvPicPr>
                                        <pic:blipFill>
                                          <a:blip r:embed="rId11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2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43" descr=""/>
                                    <pic:cNvPicPr>
                                      <a:picLocks noChangeAspect="1" noChangeArrowheads="1"/>
                                    </pic:cNvPicPr>
                                  </pic:nvPicPr>
                                  <pic:blipFill>
                                    <a:blip r:embed="rId11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676275</wp:posOffset>
                </wp:positionH>
                <wp:positionV relativeFrom="page">
                  <wp:posOffset>247650</wp:posOffset>
                </wp:positionV>
                <wp:extent cx="2778760" cy="137160"/>
                <wp:effectExtent l="0" t="0" r="0" b="0"/>
                <wp:wrapNone/>
                <wp:docPr id="227" name="Frame71"/>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-276225</wp:posOffset>
                </wp:positionH>
                <wp:positionV relativeFrom="page">
                  <wp:posOffset>0</wp:posOffset>
                </wp:positionV>
                <wp:extent cx="7560310" cy="2346325"/>
                <wp:effectExtent l="0" t="0" r="0" b="0"/>
                <wp:wrapNone/>
                <wp:docPr id="228" name="Frame7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2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2" descr=""/>
                                          <pic:cNvPicPr>
                                            <a:picLocks noChangeAspect="1" noChangeArrowheads="1"/>
                                          </pic:cNvPicPr>
                                        </pic:nvPicPr>
                                        <pic:blipFill>
                                          <a:blip r:embed="rId11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3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2" descr=""/>
                                    <pic:cNvPicPr>
                                      <a:picLocks noChangeAspect="1" noChangeArrowheads="1"/>
                                    </pic:cNvPicPr>
                                  </pic:nvPicPr>
                                  <pic:blipFill>
                                    <a:blip r:embed="rId11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666750</wp:posOffset>
                </wp:positionH>
                <wp:positionV relativeFrom="page">
                  <wp:posOffset>247650</wp:posOffset>
                </wp:positionV>
                <wp:extent cx="2816860" cy="137160"/>
                <wp:effectExtent l="0" t="0" r="0" b="0"/>
                <wp:wrapNone/>
                <wp:docPr id="231" name="Frame6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-276225</wp:posOffset>
                </wp:positionH>
                <wp:positionV relativeFrom="page">
                  <wp:posOffset>0</wp:posOffset>
                </wp:positionV>
                <wp:extent cx="7560310" cy="2355850"/>
                <wp:effectExtent l="0" t="0" r="0" b="0"/>
                <wp:wrapNone/>
                <wp:docPr id="232" name="Frame6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3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41" descr=""/>
                                          <pic:cNvPicPr>
                                            <a:picLocks noChangeAspect="1" noChangeArrowheads="1"/>
                                          </pic:cNvPicPr>
                                        </pic:nvPicPr>
                                        <pic:blipFill>
                                          <a:blip r:embed="rId116"/>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3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1" descr=""/>
                                    <pic:cNvPicPr>
                                      <a:picLocks noChangeAspect="1" noChangeArrowheads="1"/>
                                    </pic:cNvPicPr>
                                  </pic:nvPicPr>
                                  <pic:blipFill>
                                    <a:blip r:embed="rId117"/>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79">
                <wp:simplePos x="0" y="0"/>
                <wp:positionH relativeFrom="page">
                  <wp:posOffset>-276225</wp:posOffset>
                </wp:positionH>
                <wp:positionV relativeFrom="page">
                  <wp:posOffset>0</wp:posOffset>
                </wp:positionV>
                <wp:extent cx="7560310" cy="664845"/>
                <wp:effectExtent l="0" t="0" r="0" b="0"/>
                <wp:wrapNone/>
                <wp:docPr id="235" name="Frame13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23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4" descr=""/>
                                          <pic:cNvPicPr>
                                            <a:picLocks noChangeAspect="1" noChangeArrowheads="1"/>
                                          </pic:cNvPicPr>
                                        </pic:nvPicPr>
                                        <pic:blipFill>
                                          <a:blip r:embed="rId118"/>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23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4" descr=""/>
                                    <pic:cNvPicPr>
                                      <a:picLocks noChangeAspect="1" noChangeArrowheads="1"/>
                                    </pic:cNvPicPr>
                                  </pic:nvPicPr>
                                  <pic:blipFill>
                                    <a:blip r:embed="rId119"/>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666750</wp:posOffset>
                </wp:positionH>
                <wp:positionV relativeFrom="page">
                  <wp:posOffset>247650</wp:posOffset>
                </wp:positionV>
                <wp:extent cx="2816860" cy="137160"/>
                <wp:effectExtent l="0" t="0" r="0" b="0"/>
                <wp:wrapNone/>
                <wp:docPr id="238" name="Frame85"/>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-276225</wp:posOffset>
                </wp:positionH>
                <wp:positionV relativeFrom="page">
                  <wp:posOffset>0</wp:posOffset>
                </wp:positionV>
                <wp:extent cx="7560310" cy="2346325"/>
                <wp:effectExtent l="0" t="0" r="0" b="0"/>
                <wp:wrapNone/>
                <wp:docPr id="239" name="Frame86"/>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0" descr=""/>
                                          <pic:cNvPicPr>
                                            <a:picLocks noChangeAspect="1" noChangeArrowheads="1"/>
                                          </pic:cNvPicPr>
                                        </pic:nvPicPr>
                                        <pic:blipFill>
                                          <a:blip r:embed="rId120"/>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4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50" descr=""/>
                                    <pic:cNvPicPr>
                                      <a:picLocks noChangeAspect="1" noChangeArrowheads="1"/>
                                    </pic:cNvPicPr>
                                  </pic:nvPicPr>
                                  <pic:blipFill>
                                    <a:blip r:embed="rId121"/>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676275</wp:posOffset>
                </wp:positionH>
                <wp:positionV relativeFrom="page">
                  <wp:posOffset>247650</wp:posOffset>
                </wp:positionV>
                <wp:extent cx="2778760" cy="137160"/>
                <wp:effectExtent l="0" t="0" r="0" b="0"/>
                <wp:wrapNone/>
                <wp:docPr id="242" name="Frame87"/>
                <a:graphic xmlns:a="http://schemas.openxmlformats.org/drawingml/2006/main">
                  <a:graphicData uri="http://schemas.microsoft.com/office/word/2010/wordprocessingShape">
                    <wps:wsp>
                      <wps:cNvSpPr txBox="1"/>
                      <wps:spPr>
                        <a:xfrm>
                          <a:off x="0" y="0"/>
                          <a:ext cx="27787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8pt;height:10.8pt;mso-wrap-distance-left:0pt;mso-wrap-distance-right:0pt;mso-wrap-distance-top:0pt;mso-wrap-distance-bottom:0pt;margin-top:19.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-276225</wp:posOffset>
                </wp:positionH>
                <wp:positionV relativeFrom="page">
                  <wp:posOffset>0</wp:posOffset>
                </wp:positionV>
                <wp:extent cx="7560310" cy="2355850"/>
                <wp:effectExtent l="0" t="0" r="0" b="0"/>
                <wp:wrapNone/>
                <wp:docPr id="243" name="Frame88"/>
                <a:graphic xmlns:a="http://schemas.openxmlformats.org/drawingml/2006/main">
                  <a:graphicData uri="http://schemas.microsoft.com/office/word/2010/wordprocessingShape">
                    <wps:wsp>
                      <wps:cNvSpPr txBox="1"/>
                      <wps:spPr>
                        <a:xfrm>
                          <a:off x="0" y="0"/>
                          <a:ext cx="7560310" cy="2355850"/>
                        </a:xfrm>
                        <a:prstGeom prst="rect"/>
                        <a:solidFill>
                          <a:srgbClr val="FFFFFF"/>
                        </a:solidFill>
                      </wps:spPr>
                      <wps:txbx>
                        <w:txbxContent>
                          <w:p>
                            <w:pPr>
                              <w:pStyle w:val="TextBody"/>
                              <w:bidi w:val="0"/>
                              <w:jc w:val="left"/>
                            </w:pPr>
                            <w:r>
                              <w:drawing>
                                <wp:inline distT="0" distB="0" distL="0" distR="0">
                                  <wp:extent cx="8086725" cy="581025"/>
                                  <wp:effectExtent l="0" t="0" r="0" b="0"/>
                                  <wp:docPr id="24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51" descr=""/>
                                          <pic:cNvPicPr>
                                            <a:picLocks noChangeAspect="1" noChangeArrowheads="1"/>
                                          </pic:cNvPicPr>
                                        </pic:nvPicPr>
                                        <pic:blipFill>
                                          <a:blip r:embed="rId122"/>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5.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86725" cy="581025"/>
                            <wp:effectExtent l="0" t="0" r="0" b="0"/>
                            <wp:docPr id="24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51" descr=""/>
                                    <pic:cNvPicPr>
                                      <a:picLocks noChangeAspect="1" noChangeArrowheads="1"/>
                                    </pic:cNvPicPr>
                                  </pic:nvPicPr>
                                  <pic:blipFill>
                                    <a:blip r:embed="rId123"/>
                                    <a:stretch>
                                      <a:fillRect/>
                                    </a:stretch>
                                  </pic:blipFill>
                                  <pic:spPr bwMode="auto">
                                    <a:xfrm>
                                      <a:off x="0" y="0"/>
                                      <a:ext cx="8086725" cy="581025"/>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666750</wp:posOffset>
                </wp:positionH>
                <wp:positionV relativeFrom="page">
                  <wp:posOffset>247650</wp:posOffset>
                </wp:positionV>
                <wp:extent cx="2816860" cy="137160"/>
                <wp:effectExtent l="0" t="0" r="0" b="0"/>
                <wp:wrapNone/>
                <wp:docPr id="246" name="Frame89"/>
                <a:graphic xmlns:a="http://schemas.openxmlformats.org/drawingml/2006/main">
                  <a:graphicData uri="http://schemas.microsoft.com/office/word/2010/wordprocessingShape">
                    <wps:wsp>
                      <wps:cNvSpPr txBox="1"/>
                      <wps:spPr>
                        <a:xfrm>
                          <a:off x="0" y="0"/>
                          <a:ext cx="2816860"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8pt;height:10.8pt;mso-wrap-distance-left:0pt;mso-wrap-distance-right:0pt;mso-wrap-distance-top:0pt;mso-wrap-distance-bottom:0pt;margin-top:19.5pt;mso-position-vertical-relative:page;margin-left:5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-276225</wp:posOffset>
                </wp:positionH>
                <wp:positionV relativeFrom="page">
                  <wp:posOffset>0</wp:posOffset>
                </wp:positionV>
                <wp:extent cx="7560310" cy="2346325"/>
                <wp:effectExtent l="0" t="0" r="0" b="0"/>
                <wp:wrapNone/>
                <wp:docPr id="247" name="Frame90"/>
                <a:graphic xmlns:a="http://schemas.openxmlformats.org/drawingml/2006/main">
                  <a:graphicData uri="http://schemas.microsoft.com/office/word/2010/wordprocessingShape">
                    <wps:wsp>
                      <wps:cNvSpPr txBox="1"/>
                      <wps:spPr>
                        <a:xfrm>
                          <a:off x="0" y="0"/>
                          <a:ext cx="7560310" cy="2346325"/>
                        </a:xfrm>
                        <a:prstGeom prst="rect"/>
                        <a:solidFill>
                          <a:srgbClr val="FFFFFF"/>
                        </a:solidFill>
                      </wps:spPr>
                      <wps:txbx>
                        <w:txbxContent>
                          <w:p>
                            <w:pPr>
                              <w:pStyle w:val="TextBody"/>
                              <w:bidi w:val="0"/>
                              <w:jc w:val="left"/>
                            </w:pPr>
                            <w:r>
                              <w:drawing>
                                <wp:inline distT="0" distB="0" distL="0" distR="0">
                                  <wp:extent cx="8029575" cy="571500"/>
                                  <wp:effectExtent l="0" t="0" r="0" b="0"/>
                                  <wp:docPr id="24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52" descr=""/>
                                          <pic:cNvPicPr>
                                            <a:picLocks noChangeAspect="1" noChangeArrowheads="1"/>
                                          </pic:cNvPicPr>
                                        </pic:nvPicPr>
                                        <pic:blipFill>
                                          <a:blip r:embed="rId124"/>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wps:txbx>
                      <wps:bodyPr anchor="t" lIns="0" tIns="0" rIns="0" bIns="0">
                        <a:noAutofit/>
                      </wps:bodyPr>
                    </wps:wsp>
                  </a:graphicData>
                </a:graphic>
              </wp:anchor>
            </w:drawing>
          </mc:Choice>
          <mc:Fallback>
            <w:pict>
              <v:rect style="position:absolute;rotation:-0;width:595.3pt;height:184.75pt;mso-wrap-distance-left:0pt;mso-wrap-distance-right:0pt;mso-wrap-distance-top:0pt;mso-wrap-distance-bottom:0pt;margin-top:0pt;mso-position-vertical-relative:page;margin-left:-21.75pt;mso-position-horizontal-relative:page">
                <v:textbox inset="0in,0in,0in,0in">
                  <w:txbxContent>
                    <w:p>
                      <w:pPr>
                        <w:pStyle w:val="TextBody"/>
                        <w:bidi w:val="0"/>
                        <w:jc w:val="left"/>
                      </w:pPr>
                      <w:r>
                        <w:drawing>
                          <wp:inline distT="0" distB="0" distL="0" distR="0">
                            <wp:extent cx="8029575" cy="571500"/>
                            <wp:effectExtent l="0" t="0" r="0" b="0"/>
                            <wp:docPr id="24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52" descr=""/>
                                    <pic:cNvPicPr>
                                      <a:picLocks noChangeAspect="1" noChangeArrowheads="1"/>
                                    </pic:cNvPicPr>
                                  </pic:nvPicPr>
                                  <pic:blipFill>
                                    <a:blip r:embed="rId125"/>
                                    <a:stretch>
                                      <a:fillRect/>
                                    </a:stretch>
                                  </pic:blipFill>
                                  <pic:spPr bwMode="auto">
                                    <a:xfrm>
                                      <a:off x="0" y="0"/>
                                      <a:ext cx="8029575" cy="571500"/>
                                    </a:xfrm>
                                    <a:prstGeom prst="rect">
                                      <a:avLst/>
                                    </a:prstGeom>
                                  </pic:spPr>
                                </pic:pic>
                              </a:graphicData>
                            </a:graphic>
                          </wp:inline>
                        </w:drawing>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647700</wp:posOffset>
                </wp:positionH>
                <wp:positionV relativeFrom="page">
                  <wp:posOffset>238125</wp:posOffset>
                </wp:positionV>
                <wp:extent cx="2814955" cy="137160"/>
                <wp:effectExtent l="0" t="0" r="0" b="0"/>
                <wp:wrapNone/>
                <wp:docPr id="250" name="Frame9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-285750</wp:posOffset>
                </wp:positionH>
                <wp:positionV relativeFrom="page">
                  <wp:posOffset>0</wp:posOffset>
                </wp:positionV>
                <wp:extent cx="7560310" cy="664845"/>
                <wp:effectExtent l="0" t="0" r="0" b="0"/>
                <wp:wrapNone/>
                <wp:docPr id="251" name="Frame9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25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53" descr=""/>
                                          <pic:cNvPicPr>
                                            <a:picLocks noChangeAspect="1" noChangeArrowheads="1"/>
                                          </pic:cNvPicPr>
                                        </pic:nvPicPr>
                                        <pic:blipFill>
                                          <a:blip r:embed="rId126"/>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2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53" descr=""/>
                                    <pic:cNvPicPr>
                                      <a:picLocks noChangeAspect="1" noChangeArrowheads="1"/>
                                    </pic:cNvPicPr>
                                  </pic:nvPicPr>
                                  <pic:blipFill>
                                    <a:blip r:embed="rId127"/>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685800</wp:posOffset>
                </wp:positionH>
                <wp:positionV relativeFrom="page">
                  <wp:posOffset>228600</wp:posOffset>
                </wp:positionV>
                <wp:extent cx="2776855" cy="137160"/>
                <wp:effectExtent l="0" t="0" r="0" b="0"/>
                <wp:wrapNone/>
                <wp:docPr id="254" name="Frame9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-276225</wp:posOffset>
                </wp:positionH>
                <wp:positionV relativeFrom="page">
                  <wp:posOffset>0</wp:posOffset>
                </wp:positionV>
                <wp:extent cx="7560310" cy="664845"/>
                <wp:effectExtent l="0" t="0" r="0" b="0"/>
                <wp:wrapNone/>
                <wp:docPr id="255" name="Frame9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25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54" descr=""/>
                                          <pic:cNvPicPr>
                                            <a:picLocks noChangeAspect="1" noChangeArrowheads="1"/>
                                          </pic:cNvPicPr>
                                        </pic:nvPicPr>
                                        <pic:blipFill>
                                          <a:blip r:embed="rId128"/>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2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54" descr=""/>
                                    <pic:cNvPicPr>
                                      <a:picLocks noChangeAspect="1" noChangeArrowheads="1"/>
                                    </pic:cNvPicPr>
                                  </pic:nvPicPr>
                                  <pic:blipFill>
                                    <a:blip r:embed="rId129"/>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647700</wp:posOffset>
                </wp:positionH>
                <wp:positionV relativeFrom="page">
                  <wp:posOffset>238125</wp:posOffset>
                </wp:positionV>
                <wp:extent cx="2814955" cy="137160"/>
                <wp:effectExtent l="0" t="0" r="0" b="0"/>
                <wp:wrapNone/>
                <wp:docPr id="258" name="Frame9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-285750</wp:posOffset>
                </wp:positionH>
                <wp:positionV relativeFrom="page">
                  <wp:posOffset>0</wp:posOffset>
                </wp:positionV>
                <wp:extent cx="7560310" cy="664845"/>
                <wp:effectExtent l="0" t="0" r="0" b="0"/>
                <wp:wrapNone/>
                <wp:docPr id="259" name="Frame9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153400" cy="581025"/>
                                  <wp:effectExtent l="0" t="0" r="0" b="0"/>
                                  <wp:docPr id="2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55" descr=""/>
                                          <pic:cNvPicPr>
                                            <a:picLocks noChangeAspect="1" noChangeArrowheads="1"/>
                                          </pic:cNvPicPr>
                                        </pic:nvPicPr>
                                        <pic:blipFill>
                                          <a:blip r:embed="rId130"/>
                                          <a:stretch>
                                            <a:fillRect/>
                                          </a:stretch>
                                        </pic:blipFill>
                                        <pic:spPr bwMode="auto">
                                          <a:xfrm>
                                            <a:off x="0" y="0"/>
                                            <a:ext cx="8153400" cy="5810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pPr>
                      <w:r>
                        <w:drawing>
                          <wp:inline distT="0" distB="0" distL="0" distR="0">
                            <wp:extent cx="8153400" cy="581025"/>
                            <wp:effectExtent l="0" t="0" r="0" b="0"/>
                            <wp:docPr id="2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55" descr=""/>
                                    <pic:cNvPicPr>
                                      <a:picLocks noChangeAspect="1" noChangeArrowheads="1"/>
                                    </pic:cNvPicPr>
                                  </pic:nvPicPr>
                                  <pic:blipFill>
                                    <a:blip r:embed="rId131"/>
                                    <a:stretch>
                                      <a:fillRect/>
                                    </a:stretch>
                                  </pic:blipFill>
                                  <pic:spPr bwMode="auto">
                                    <a:xfrm>
                                      <a:off x="0" y="0"/>
                                      <a:ext cx="8153400" cy="58102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685800</wp:posOffset>
                </wp:positionH>
                <wp:positionV relativeFrom="page">
                  <wp:posOffset>228600</wp:posOffset>
                </wp:positionV>
                <wp:extent cx="2776855" cy="137160"/>
                <wp:effectExtent l="0" t="0" r="0" b="0"/>
                <wp:wrapNone/>
                <wp:docPr id="262" name="Frame9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page">
                  <wp:posOffset>-276225</wp:posOffset>
                </wp:positionH>
                <wp:positionV relativeFrom="page">
                  <wp:posOffset>0</wp:posOffset>
                </wp:positionV>
                <wp:extent cx="7560310" cy="664845"/>
                <wp:effectExtent l="0" t="0" r="0" b="0"/>
                <wp:wrapNone/>
                <wp:docPr id="263" name="Frame9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pPr>
                            <w:r>
                              <w:drawing>
                                <wp:inline distT="0" distB="0" distL="0" distR="0">
                                  <wp:extent cx="8067675" cy="571500"/>
                                  <wp:effectExtent l="0" t="0" r="0" b="0"/>
                                  <wp:docPr id="2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56" descr=""/>
                                          <pic:cNvPicPr>
                                            <a:picLocks noChangeAspect="1" noChangeArrowheads="1"/>
                                          </pic:cNvPicPr>
                                        </pic:nvPicPr>
                                        <pic:blipFill>
                                          <a:blip r:embed="rId132"/>
                                          <a:stretch>
                                            <a:fillRect/>
                                          </a:stretch>
                                        </pic:blipFill>
                                        <pic:spPr bwMode="auto">
                                          <a:xfrm>
                                            <a:off x="0" y="0"/>
                                            <a:ext cx="8067675" cy="5715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pPr>
                      <w:r>
                        <w:drawing>
                          <wp:inline distT="0" distB="0" distL="0" distR="0">
                            <wp:extent cx="8067675" cy="571500"/>
                            <wp:effectExtent l="0" t="0" r="0" b="0"/>
                            <wp:docPr id="2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56" descr=""/>
                                    <pic:cNvPicPr>
                                      <a:picLocks noChangeAspect="1" noChangeArrowheads="1"/>
                                    </pic:cNvPicPr>
                                  </pic:nvPicPr>
                                  <pic:blipFill>
                                    <a:blip r:embed="rId133"/>
                                    <a:stretch>
                                      <a:fillRect/>
                                    </a:stretch>
                                  </pic:blipFill>
                                  <pic:spPr bwMode="auto">
                                    <a:xfrm>
                                      <a:off x="0" y="0"/>
                                      <a:ext cx="8067675" cy="57150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647700</wp:posOffset>
                </wp:positionH>
                <wp:positionV relativeFrom="page">
                  <wp:posOffset>238125</wp:posOffset>
                </wp:positionV>
                <wp:extent cx="2814955" cy="137160"/>
                <wp:effectExtent l="0" t="0" r="0" b="0"/>
                <wp:wrapNone/>
                <wp:docPr id="266" name="Frame9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1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Third Quarter Report 2026</w:t>
                      </w:r>
                    </w:p>
                  </w:txbxContent>
                </v:textbox>
                <w10:wrap type="none"/>
              </v:rect>
            </w:pict>
          </mc:Fallback>
        </mc:AlternateConten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_____________________________________________________</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 _________________________________________</w:t>
      </w:r>
    </w:p>
    <w:p>
      <w:pPr>
        <w:pStyle w:val="TextBody"/>
        <w:bidi w:val="0"/>
        <w:spacing w:before="240" w:after="283"/>
        <w:jc w:val="center"/>
        <w:rPr>
          <w:rFonts w:ascii="Times New Roman" w:hAnsi="Times New Roman"/>
          <w:sz w:val="20"/>
        </w:rPr>
      </w:pPr>
      <w:r>
        <w:rPr>
          <w:rFonts w:ascii="Times New Roman" w:hAnsi="Times New Roman"/>
          <w:b/>
          <w:color w:val="000000"/>
          <w:sz w:val="20"/>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jc w:val="center"/>
      </w:pPr>
      <w:r>
        <w:t> </w:t>
      </w:r>
    </w:p>
    <w:tbl>
      <w:tblPr>
        <w:tblW w:w="3331" w:type="dxa"/>
        <w:jc w:val="left"/>
        <w:tblInd w:w="0" w:type="dxa"/>
        <w:tblLayout w:type="fixed"/>
        <w:tblCellMar>
          <w:top w:w="28" w:type="dxa"/>
          <w:left w:w="28" w:type="dxa"/>
          <w:bottom w:w="28" w:type="dxa"/>
          <w:right w:w="28" w:type="dxa"/>
        </w:tblCellMar>
      </w:tblPr>
      <w:tblGrid>
        <w:gridCol w:w="3331"/>
      </w:tblGrid>
      <w:tr>
        <w:tc>
          <w:tcPr>
            <w:tcW w:w="3331" w:type="dxa"/>
            <w:tcBorders/>
            <w:vAlign w:val="center"/>
          </w:tcPr>
          <w:p>
            <w:pPr>
              <w:pStyle w:val="TableContents"/>
              <w:bidi w:val="0"/>
              <w:spacing w:before="0" w:after="283"/>
              <w:jc w:val="left"/>
              <w:rPr>
                <w:sz w:val="4"/>
                <w:szCs w:val="4"/>
              </w:rPr>
            </w:pPr>
            <w:r>
              <w:rPr>
                <w:sz w:val="4"/>
                <w:szCs w:val="4"/>
              </w:rPr>
            </w:r>
          </w:p>
        </w:tc>
      </w:tr>
      <w:tr>
        <w:tc>
          <w:tcPr>
            <w:tcW w:w="33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For the month of November 2026</w:t>
            </w:r>
          </w:p>
          <w:p>
            <w:pPr>
              <w:pStyle w:val="TableContents"/>
              <w:bidi w:val="0"/>
              <w:jc w:val="center"/>
            </w:pPr>
            <w:r>
              <w:t> </w:t>
            </w:r>
          </w:p>
          <w:p>
            <w:pPr>
              <w:pStyle w:val="TableContents"/>
              <w:bidi w:val="0"/>
              <w:jc w:val="center"/>
              <w:rPr>
                <w:rFonts w:ascii="Times New Roman" w:hAnsi="Times New Roman"/>
                <w:b/>
                <w:color w:val="000000"/>
                <w:sz w:val="20"/>
              </w:rPr>
            </w:pPr>
            <w:r>
              <w:rPr>
                <w:rFonts w:ascii="Times New Roman" w:hAnsi="Times New Roman"/>
                <w:b/>
                <w:color w:val="000000"/>
                <w:sz w:val="20"/>
              </w:rPr>
              <w:t>Commission File Number: 001-31349</w:t>
            </w:r>
          </w:p>
          <w:p>
            <w:pPr>
              <w:pStyle w:val="TableContents"/>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ableContents"/>
              <w:bidi w:val="0"/>
              <w:spacing w:before="0" w:after="283"/>
              <w:jc w:val="left"/>
            </w:pPr>
            <w:r>
              <w:t> </w:t>
            </w:r>
          </w:p>
        </w:tc>
      </w:tr>
    </w:tbl>
    <w:p>
      <w:pPr>
        <w:pStyle w:val="TextBody"/>
        <w:bidi w:val="0"/>
        <w:jc w:val="left"/>
      </w:pPr>
      <w:r>
        <w:t> </w:t>
      </w:r>
    </w:p>
    <w:p>
      <w:pPr>
        <w:pStyle w:val="TextBody"/>
        <w:bidi w:val="0"/>
        <w:jc w:val="center"/>
        <w:rPr>
          <w:rFonts w:ascii="Times New Roman" w:hAnsi="Times New Roman"/>
          <w:b/>
          <w:color w:val="000000"/>
          <w:sz w:val="48"/>
        </w:rPr>
      </w:pPr>
      <w:r>
        <w:rPr>
          <w:rFonts w:ascii="Times New Roman" w:hAnsi="Times New Roman"/>
          <w:b/>
          <w:color w:val="000000"/>
          <w:sz w:val="48"/>
        </w:rPr>
        <w:t>THOMSON REUTERS CORPORATION</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jc w:val="center"/>
      </w:pPr>
      <w:r>
        <w:t> </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extBody"/>
        <w:bidi w:val="0"/>
        <w:spacing w:before="240" w:after="283"/>
        <w:jc w:val="center"/>
        <w:rPr>
          <w:rFonts w:ascii="Times New Roman" w:hAnsi="Times New Roman"/>
          <w:sz w:val="20"/>
        </w:rPr>
      </w:pPr>
      <w:r>
        <w:rPr>
          <w:rFonts w:ascii="Times New Roman" w:hAnsi="Times New Roman"/>
          <w:b/>
          <w:color w:val="000000"/>
          <w:sz w:val="20"/>
        </w:rPr>
        <w:t>19 Duncan Street, Toronto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Ontario M5H 3H1, Canada</w:t>
      </w:r>
    </w:p>
    <w:p>
      <w:pPr>
        <w:pStyle w:val="TextBody"/>
        <w:bidi w:val="0"/>
        <w:jc w:val="center"/>
        <w:rPr>
          <w:rFonts w:ascii="Times New Roman" w:hAnsi="Times New Roman"/>
          <w:b/>
          <w:color w:val="000000"/>
          <w:sz w:val="18"/>
        </w:rPr>
      </w:pPr>
      <w:r>
        <w:rPr>
          <w:rFonts w:ascii="Times New Roman" w:hAnsi="Times New Roman"/>
          <w:b/>
          <w:color w:val="000000"/>
          <w:sz w:val="18"/>
        </w:rPr>
        <w:t>(Address of principal executive office)</w:t>
      </w:r>
    </w:p>
    <w:p>
      <w:pPr>
        <w:pStyle w:val="TextBody"/>
        <w:bidi w:val="0"/>
        <w:spacing w:before="100" w:after="283"/>
        <w:jc w:val="center"/>
        <w:rPr>
          <w:rFonts w:ascii="Times New Roman" w:hAnsi="Times New Roman"/>
          <w:b/>
          <w:color w:val="000000"/>
          <w:sz w:val="12"/>
          <w:u w:val="single"/>
        </w:rPr>
      </w:pPr>
      <w:r>
        <w:rPr>
          <w:rFonts w:ascii="Times New Roman" w:hAnsi="Times New Roman"/>
          <w:b/>
          <w:color w:val="000000"/>
          <w:sz w:val="12"/>
          <w:u w:val="single"/>
        </w:rPr>
        <w:t>____________________________________________________</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Exhibit 99.1 and Exhibit 99.2 of this Form 6-K is incorporated by reference into, or as additional exhibits to, as applicable, the registrant’s outstanding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Thomson Reuters Corporation is voluntarily furnishing certifications by its Chief Executive Officer and Chief Financial Officer pursuant to Sections 302 and 906 of the Sarbanes-Oxley Act of 2002 as Exhibits 99.3-99.6 of this Form 6-K. </w:t>
      </w:r>
    </w:p>
    <w:p>
      <w:pPr>
        <w:pStyle w:val="TextBody"/>
        <w:bidi w:val="0"/>
        <w:spacing w:before="240" w:after="283"/>
        <w:jc w:val="left"/>
      </w:pPr>
      <w:r>
        <w:t> </w:t>
      </w:r>
    </w:p>
    <w:p>
      <w:pPr>
        <w:pStyle w:val="HorizontalLine"/>
        <w:pBdr>
          <w:bottom w:val="double" w:sz="2" w:space="0" w:color="808080"/>
        </w:pBdr>
        <w:bidi w:val="0"/>
        <w:spacing w:before="0" w:after="283"/>
        <w:jc w:val="left"/>
      </w:p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5715" w:type="dxa"/>
        <w:jc w:val="left"/>
        <w:tblInd w:w="0" w:type="dxa"/>
        <w:tblLayout w:type="fixed"/>
        <w:tblCellMar>
          <w:top w:w="28" w:type="dxa"/>
          <w:left w:w="28" w:type="dxa"/>
          <w:bottom w:w="28" w:type="dxa"/>
          <w:right w:w="28" w:type="dxa"/>
        </w:tblCellMar>
      </w:tblPr>
      <w:tblGrid>
        <w:gridCol w:w="2101"/>
        <w:gridCol w:w="428"/>
        <w:gridCol w:w="666"/>
        <w:gridCol w:w="2520"/>
      </w:tblGrid>
      <w:tr>
        <w:tc>
          <w:tcPr>
            <w:tcW w:w="210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3614"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THOMSON REUTERS CORPORATION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28" w:type="dxa"/>
            <w:tcBorders/>
            <w:tcMar>
              <w:top w:w="0" w:type="dxa"/>
              <w:left w:w="0" w:type="dxa"/>
              <w:bottom w:w="0" w:type="dxa"/>
              <w:right w:w="0" w:type="dxa"/>
            </w:tcMar>
            <w:vAlign w:val="center"/>
          </w:tcPr>
          <w:p>
            <w:pPr>
              <w:pStyle w:val="TableContents"/>
              <w:bidi w:val="0"/>
              <w:spacing w:before="0" w:after="283"/>
              <w:jc w:val="left"/>
            </w:pPr>
            <w:r>
              <w:t> </w:t>
            </w:r>
          </w:p>
        </w:tc>
        <w:tc>
          <w:tcPr>
            <w:tcW w:w="666" w:type="dxa"/>
            <w:tcBorders/>
            <w:tcMar>
              <w:top w:w="0" w:type="dxa"/>
              <w:left w:w="0" w:type="dxa"/>
              <w:bottom w:w="0" w:type="dxa"/>
              <w:right w:w="0" w:type="dxa"/>
            </w:tcMar>
            <w:vAlign w:val="center"/>
          </w:tcPr>
          <w:p>
            <w:pPr>
              <w:pStyle w:val="TableContents"/>
              <w:bidi w:val="0"/>
              <w:spacing w:before="0" w:after="283"/>
              <w:jc w:val="left"/>
            </w:pPr>
            <w:r>
              <w:t> </w:t>
            </w:r>
          </w:p>
        </w:tc>
        <w:tc>
          <w:tcPr>
            <w:tcW w:w="2520"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8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Jennifer Ruddick</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28" w:type="dxa"/>
            <w:tcBorders/>
            <w:tcMar>
              <w:top w:w="0" w:type="dxa"/>
              <w:left w:w="0" w:type="dxa"/>
              <w:bottom w:w="0" w:type="dxa"/>
              <w:right w:w="0" w:type="dxa"/>
            </w:tcMar>
            <w:vAlign w:val="center"/>
          </w:tcPr>
          <w:p>
            <w:pPr>
              <w:pStyle w:val="TableContents"/>
              <w:bidi w:val="0"/>
              <w:spacing w:before="0" w:after="283"/>
              <w:jc w:val="left"/>
            </w:pPr>
            <w: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Ruddick</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28" w:type="dxa"/>
            <w:tcBorders/>
            <w:tcMar>
              <w:top w:w="0" w:type="dxa"/>
              <w:left w:w="0" w:type="dxa"/>
              <w:bottom w:w="0" w:type="dxa"/>
              <w:right w:w="0" w:type="dxa"/>
            </w:tcMar>
            <w:vAlign w:val="center"/>
          </w:tcPr>
          <w:p>
            <w:pPr>
              <w:pStyle w:val="TableContents"/>
              <w:bidi w:val="0"/>
              <w:spacing w:before="0" w:after="283"/>
              <w:jc w:val="left"/>
            </w:pPr>
            <w: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Deputy Company Secretary</w:t>
            </w:r>
          </w:p>
        </w:tc>
      </w:tr>
      <w:tr>
        <w:tc>
          <w:tcPr>
            <w:tcW w:w="2101" w:type="dxa"/>
            <w:tcBorders/>
            <w:tcMar>
              <w:top w:w="0" w:type="dxa"/>
              <w:left w:w="0" w:type="dxa"/>
              <w:bottom w:w="0" w:type="dxa"/>
              <w:right w:w="0" w:type="dxa"/>
            </w:tcMar>
            <w:vAlign w:val="center"/>
          </w:tcPr>
          <w:p>
            <w:pPr>
              <w:pStyle w:val="TableContents"/>
              <w:bidi w:val="0"/>
              <w:spacing w:before="0" w:after="283"/>
              <w:jc w:val="left"/>
            </w:pPr>
            <w:r>
              <w:t> </w:t>
            </w:r>
          </w:p>
        </w:tc>
        <w:tc>
          <w:tcPr>
            <w:tcW w:w="428" w:type="dxa"/>
            <w:tcBorders/>
            <w:tcMar>
              <w:top w:w="0" w:type="dxa"/>
              <w:left w:w="0" w:type="dxa"/>
              <w:bottom w:w="0" w:type="dxa"/>
              <w:right w:w="0" w:type="dxa"/>
            </w:tcMar>
            <w:vAlign w:val="center"/>
          </w:tcPr>
          <w:p>
            <w:pPr>
              <w:pStyle w:val="TableContents"/>
              <w:bidi w:val="0"/>
              <w:spacing w:before="0" w:after="283"/>
              <w:jc w:val="left"/>
            </w:pPr>
            <w:r>
              <w:t> </w:t>
            </w:r>
          </w:p>
        </w:tc>
        <w:tc>
          <w:tcPr>
            <w:tcW w:w="666" w:type="dxa"/>
            <w:tcBorders/>
            <w:tcMar>
              <w:top w:w="0" w:type="dxa"/>
              <w:left w:w="0" w:type="dxa"/>
              <w:bottom w:w="0" w:type="dxa"/>
              <w:right w:w="0" w:type="dxa"/>
            </w:tcMar>
            <w:vAlign w:val="center"/>
          </w:tcPr>
          <w:p>
            <w:pPr>
              <w:pStyle w:val="TableContents"/>
              <w:bidi w:val="0"/>
              <w:spacing w:before="0" w:after="283"/>
              <w:jc w:val="left"/>
            </w:pPr>
            <w:r>
              <w:t> </w:t>
            </w:r>
          </w:p>
        </w:tc>
        <w:tc>
          <w:tcPr>
            <w:tcW w:w="2520" w:type="dxa"/>
            <w:tcBorders/>
            <w:tcMar>
              <w:top w:w="0" w:type="dxa"/>
              <w:left w:w="0" w:type="dxa"/>
              <w:bottom w:w="0" w:type="dxa"/>
              <w:right w:w="0" w:type="dxa"/>
            </w:tcMar>
            <w:vAlign w:val="center"/>
          </w:tcPr>
          <w:p>
            <w:pPr>
              <w:pStyle w:val="TableContents"/>
              <w:bidi w:val="0"/>
              <w:spacing w:before="0" w:after="283"/>
              <w:jc w:val="left"/>
            </w:pPr>
            <w:r>
              <w:t> </w:t>
            </w:r>
          </w:p>
        </w:tc>
      </w:tr>
      <w:t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2026</w:t>
            </w:r>
          </w:p>
        </w:tc>
        <w:tc>
          <w:tcPr>
            <w:tcW w:w="428" w:type="dxa"/>
            <w:tcBorders/>
            <w:tcMar>
              <w:top w:w="0" w:type="dxa"/>
              <w:left w:w="0" w:type="dxa"/>
              <w:bottom w:w="0" w:type="dxa"/>
              <w:right w:w="0" w:type="dxa"/>
            </w:tcMar>
            <w:vAlign w:val="center"/>
          </w:tcPr>
          <w:p>
            <w:pPr>
              <w:pStyle w:val="TableContents"/>
              <w:bidi w:val="0"/>
              <w:spacing w:before="0" w:after="283"/>
              <w:jc w:val="left"/>
            </w:pPr>
            <w:r>
              <w:t> </w:t>
            </w:r>
          </w:p>
        </w:tc>
        <w:tc>
          <w:tcPr>
            <w:tcW w:w="666" w:type="dxa"/>
            <w:tcBorders/>
            <w:tcMar>
              <w:top w:w="0" w:type="dxa"/>
              <w:left w:w="0" w:type="dxa"/>
              <w:bottom w:w="0" w:type="dxa"/>
              <w:right w:w="0" w:type="dxa"/>
            </w:tcMar>
            <w:vAlign w:val="center"/>
          </w:tcPr>
          <w:p>
            <w:pPr>
              <w:pStyle w:val="TableContents"/>
              <w:bidi w:val="0"/>
              <w:spacing w:before="0" w:after="283"/>
              <w:jc w:val="left"/>
            </w:pPr>
            <w:r>
              <w:t> </w:t>
            </w:r>
          </w:p>
        </w:tc>
        <w:tc>
          <w:tcPr>
            <w:tcW w:w="2520"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center"/>
      </w:pPr>
      <w: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pPr>
      <w:r>
        <w:t> </w:t>
      </w:r>
    </w:p>
    <w:tbl>
      <w:tblPr>
        <w:tblW w:w="10048" w:type="dxa"/>
        <w:jc w:val="left"/>
        <w:tblInd w:w="0" w:type="dxa"/>
        <w:tblLayout w:type="fixed"/>
        <w:tblCellMar>
          <w:top w:w="28" w:type="dxa"/>
          <w:left w:w="28" w:type="dxa"/>
          <w:bottom w:w="28" w:type="dxa"/>
          <w:right w:w="28" w:type="dxa"/>
        </w:tblCellMar>
      </w:tblPr>
      <w:tblGrid>
        <w:gridCol w:w="1426"/>
        <w:gridCol w:w="146"/>
        <w:gridCol w:w="8476"/>
      </w:tblGrid>
      <w:t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c>
          <w:tcPr>
            <w:tcW w:w="8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1.htm">
              <w:r>
                <w:rPr>
                  <w:rStyle w:val="InternetLink"/>
                  <w:rFonts w:ascii="Times New Roman" w:hAnsi="Times New Roman"/>
                  <w:color w:val="0000FF"/>
                  <w:sz w:val="20"/>
                  <w:u w:val="single"/>
                </w:rPr>
                <w:t>Management's Discussion and Analysis</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2.htm">
              <w:r>
                <w:rPr>
                  <w:rStyle w:val="InternetLink"/>
                  <w:rFonts w:ascii="Times New Roman" w:hAnsi="Times New Roman"/>
                  <w:color w:val="0000FF"/>
                  <w:sz w:val="20"/>
                  <w:u w:val="single"/>
                </w:rPr>
                <w:t>Unaudited Consolidated Financial Statements</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3.htm">
              <w:r>
                <w:rPr>
                  <w:rStyle w:val="InternetLink"/>
                  <w:rFonts w:ascii="Times New Roman" w:hAnsi="Times New Roman"/>
                  <w:color w:val="0000FF"/>
                  <w:sz w:val="20"/>
                  <w:u w:val="single"/>
                </w:rPr>
                <w:t>Certification of the Chief Executive Officer pursuant to Section 302 of the Sarbanes-Oxley Act of 2002</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4.htm">
              <w:r>
                <w:rPr>
                  <w:rStyle w:val="InternetLink"/>
                  <w:rFonts w:ascii="Times New Roman" w:hAnsi="Times New Roman"/>
                  <w:color w:val="0000FF"/>
                  <w:sz w:val="20"/>
                  <w:u w:val="single"/>
                </w:rPr>
                <w:t>Certification of the Chief Financial Officer pursuant to Section 302 of the Sarbanes-Oxley Act of 2002</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5.htm">
              <w:r>
                <w:rPr>
                  <w:rStyle w:val="InternetLink"/>
                  <w:rFonts w:ascii="Times New Roman" w:hAnsi="Times New Roman"/>
                  <w:color w:val="0000FF"/>
                  <w:sz w:val="20"/>
                  <w:u w:val="single"/>
                </w:rPr>
                <w:t>Certification of the Chief Executive Officer pursuant to Section 906 of the Sarbanes-Oxley Act of 2002</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hyperlink w:anchor="tri-ex99_6.htm">
              <w:r>
                <w:rPr>
                  <w:rStyle w:val="InternetLink"/>
                  <w:rFonts w:ascii="Times New Roman" w:hAnsi="Times New Roman"/>
                  <w:color w:val="0000FF"/>
                  <w:sz w:val="20"/>
                  <w:u w:val="single"/>
                </w:rPr>
                <w:t>Certification of the Chief Financial Officer pursuant to Section 906 of the Sarbanes-Oxley Act of 2002</w:t>
              </w:r>
            </w:hyperlink>
          </w:p>
        </w:tc>
      </w:tr>
      <w:tr>
        <w:tc>
          <w:tcPr>
            <w:tcW w:w="1426"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8476"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ind w:left="0" w:right="0" w:hanging="0"/>
        <w:jc w:val="center"/>
      </w:pPr>
      <w:bookmarkStart w:id="2" w:name="tri-ex99_1.htm"/>
      <w:bookmarkStart w:id="3" w:name="kstriex99_1"/>
      <w:bookmarkEnd w:id="2"/>
      <w:bookmarkEnd w:id="3"/>
      <w:r>
        <w:t> </w:t>
      </w:r>
      <w:r>
        <w:br w:type="page"/>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Times New Roman" w:hAnsi="Times New Roman"/>
          <w:sz w:val="20"/>
        </w:rPr>
      </w:pPr>
      <w:r>
        <w:rPr>
          <w:rFonts w:ascii="Clario;sans-serif" w:hAnsi="Clario;sans-serif"/>
          <w:color w:val="404040"/>
          <w:sz w:val="32"/>
        </w:rPr>
        <w:t xml:space="preserve">Management’s Discussion and Analysis </w:t>
      </w:r>
      <w:r>
        <w:rPr>
          <w:rFonts w:ascii="Times New Roman" w:hAnsi="Times New Roman"/>
          <w:b/>
          <w:color w:val="000000"/>
          <w:sz w:val="20"/>
        </w:rPr>
        <w:t>EXHIBIT 99.1</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This management’s discussion and analysis is designed to provide you with a narrative explanation through the eyes of our management of how we performed, as well as information about our financial condition and future prospects. As this management’s discussion and analysis is intended to supplement and complement our financial statements, we recommend that you read this in conjunction with our consolidated interim financial statements for the three and nine months ended September 30, 2026, our 2025 annual consolidated financial statements and our 2025 annual management’s discussion and analysis. This management's discussion and analysis contains forward-looking statements, which are subject to risks and uncertainties that could cause our actual results to differ materially from the forward-looking statements. Forward-looking statements include, but are not limited to, our 2026 outlooks and statements related to the impact of the sale of a 51% stake in the Global Print business on our operating results after the October 1, 2026 close date, the expected impacts from, and pre-tax gain on, the transaction, as well as other statements regarding general economic conditions and market trends and their anticipated effects on our business segments. For additional information related to forward-looking statements, material assumptions and material risks associated with them, please see the “Outlook,” and “Additional Information - Cautionary Note Concerning Factors That May Affect Future Results” sections of this management’s discussion and analysis. This management’s discussion and analysis is dated as of November 2, 2026, unless otherwise indicated.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We have organized our management’s discussion and analysis in the following key sections:</w:t>
      </w:r>
    </w:p>
    <w:tbl>
      <w:tblPr>
        <w:tblW w:w="10205" w:type="dxa"/>
        <w:jc w:val="left"/>
        <w:tblInd w:w="0" w:type="dxa"/>
        <w:tblLayout w:type="fixed"/>
        <w:tblCellMar>
          <w:top w:w="28" w:type="dxa"/>
          <w:left w:w="28" w:type="dxa"/>
          <w:bottom w:w="28" w:type="dxa"/>
          <w:right w:w="28" w:type="dxa"/>
        </w:tblCellMar>
      </w:tblPr>
      <w:tblGrid>
        <w:gridCol w:w="226"/>
        <w:gridCol w:w="9528"/>
        <w:gridCol w:w="451"/>
      </w:tblGrid>
      <w:tr>
        <w:tc>
          <w:tcPr>
            <w:tcW w:w="226" w:type="dxa"/>
            <w:tcBorders/>
            <w:vAlign w:val="center"/>
          </w:tcPr>
          <w:p>
            <w:pPr>
              <w:pStyle w:val="TableContents"/>
              <w:bidi w:val="0"/>
              <w:spacing w:before="0" w:after="283"/>
              <w:jc w:val="left"/>
              <w:rPr>
                <w:sz w:val="4"/>
                <w:szCs w:val="4"/>
              </w:rPr>
            </w:pPr>
            <w:r>
              <w:rPr>
                <w:sz w:val="4"/>
                <w:szCs w:val="4"/>
              </w:rPr>
            </w:r>
          </w:p>
        </w:tc>
        <w:tc>
          <w:tcPr>
            <w:tcW w:w="952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c>
          <w:tcPr>
            <w:tcW w:w="226" w:type="dxa"/>
            <w:tcBorders/>
            <w:tcMar>
              <w:top w:w="0" w:type="dxa"/>
              <w:left w:w="0" w:type="dxa"/>
              <w:bottom w:w="0" w:type="dxa"/>
              <w:right w:w="0" w:type="dxa"/>
            </w:tcMar>
            <w:vAlign w:val="center"/>
          </w:tcPr>
          <w:p>
            <w:pPr>
              <w:pStyle w:val="TableContents"/>
              <w:bidi w:val="0"/>
              <w:spacing w:before="0" w:after="283"/>
              <w:jc w:val="left"/>
            </w:pPr>
            <w:r>
              <w:t> </w:t>
            </w:r>
          </w:p>
        </w:tc>
        <w:tc>
          <w:tcPr>
            <w:tcW w:w="9528"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right"/>
            </w:pPr>
            <w:r>
              <w:t> </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Executive Summary</w:t>
            </w:r>
            <w:r>
              <w:rPr>
                <w:rFonts w:ascii="Clario;sans-serif" w:hAnsi="Clario;sans-serif"/>
                <w:color w:val="404040"/>
                <w:sz w:val="18"/>
              </w:rPr>
              <w:t> - an overview of our business and key financial highlights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3</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Results of Operations</w:t>
            </w:r>
            <w:r>
              <w:rPr>
                <w:rFonts w:ascii="Clario;sans-serif" w:hAnsi="Clario;sans-serif"/>
                <w:color w:val="404040"/>
                <w:sz w:val="18"/>
              </w:rPr>
              <w:t> - a comparison of our current and prior-year period results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4</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 xml:space="preserve">Liquidity and Capital Resources </w:t>
            </w:r>
            <w:r>
              <w:rPr>
                <w:rFonts w:ascii="Clario;sans-serif" w:hAnsi="Clario;sans-serif"/>
                <w:color w:val="404040"/>
                <w:sz w:val="18"/>
              </w:rPr>
              <w:t>- a discussion of our cash flow and debt</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11</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Outlook</w:t>
            </w:r>
            <w:r>
              <w:rPr>
                <w:rFonts w:ascii="Clario;sans-serif" w:hAnsi="Clario;sans-serif"/>
                <w:color w:val="404040"/>
                <w:sz w:val="18"/>
              </w:rPr>
              <w:t xml:space="preserve"> – our 2026 financial outlooks including material assumptions and material risks </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pPr>
            <w: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 xml:space="preserve">Related Party Transactions </w:t>
            </w:r>
            <w:r>
              <w:rPr>
                <w:rFonts w:ascii="Clario;sans-serif" w:hAnsi="Clario;sans-serif"/>
                <w:color w:val="404040"/>
                <w:sz w:val="18"/>
              </w:rPr>
              <w:t>- a discussion of transactions with our principal and controlling shareholder, Woodbridge (together with its affiliates), and other related parties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pPr>
            <w: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 xml:space="preserve">Subsequent Events </w:t>
            </w:r>
            <w:r>
              <w:rPr>
                <w:rFonts w:ascii="Clario;sans-serif" w:hAnsi="Clario;sans-serif"/>
                <w:color w:val="404040"/>
                <w:sz w:val="18"/>
              </w:rPr>
              <w:t>- a discussion of material events occurring after September 30, 2026 and through the date of this management's discussion and analysis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Changes in Accounting Policies</w:t>
            </w:r>
            <w:r>
              <w:rPr>
                <w:rFonts w:ascii="Clario;sans-serif" w:hAnsi="Clario;sans-serif"/>
                <w:color w:val="404040"/>
                <w:sz w:val="18"/>
              </w:rPr>
              <w:t> - a discussion of changes in our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c>
          <w:tcPr>
            <w:tcW w:w="226"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pPr>
            <w:r>
              <w:t> </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Critical Accounting Estimates and Judgments</w:t>
            </w:r>
            <w:r>
              <w:rPr>
                <w:rFonts w:ascii="Clario;sans-serif" w:hAnsi="Clario;sans-serif"/>
                <w:color w:val="404040"/>
                <w:sz w:val="18"/>
              </w:rPr>
              <w:t> - a discussion of critical estimates and judgments made by our management in applying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Additional Information</w:t>
            </w:r>
            <w:r>
              <w:rPr>
                <w:rFonts w:ascii="Clario;sans-serif" w:hAnsi="Clario;sans-serif"/>
                <w:color w:val="404040"/>
                <w:sz w:val="18"/>
              </w:rPr>
              <w:t> - other required disclosures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r>
        <w:tc>
          <w:tcPr>
            <w:tcW w:w="226"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28" w:type="dxa"/>
            <w:tcBorders/>
            <w:tcMar>
              <w:top w:w="0" w:type="dxa"/>
              <w:left w:w="0" w:type="dxa"/>
              <w:bottom w:w="0" w:type="dxa"/>
              <w:right w:w="0" w:type="dxa"/>
            </w:tcMar>
            <w:vAlign w:val="center"/>
          </w:tcPr>
          <w:p>
            <w:pPr>
              <w:pStyle w:val="TableContents"/>
              <w:bidi w:val="0"/>
              <w:spacing w:before="0" w:after="120"/>
              <w:jc w:val="left"/>
              <w:rPr>
                <w:rFonts w:ascii="Clario;sans-serif" w:hAnsi="Clario;sans-serif"/>
                <w:sz w:val="18"/>
              </w:rPr>
            </w:pPr>
            <w:r>
              <w:rPr>
                <w:rFonts w:ascii="Clario;sans-serif" w:hAnsi="Clario;sans-serif"/>
                <w:b/>
                <w:color w:val="404040"/>
                <w:sz w:val="18"/>
              </w:rPr>
              <w:t xml:space="preserve">Appendix </w:t>
            </w:r>
            <w:r>
              <w:rPr>
                <w:rFonts w:ascii="Clario;sans-serif" w:hAnsi="Clario;sans-serif"/>
                <w:color w:val="404040"/>
                <w:sz w:val="18"/>
              </w:rPr>
              <w:t>- supplemental information</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23</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Unless otherwise indicated or the context otherwise requires, references in this discussion to “we,” “our,” “us”, the “Company” and “Thomson Reuters” are to Thomson Reuters Corporation and our subsidiaries.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Basis of presentation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prepare our consolidated financial statements in U.S. dollars and in accordance with International Financial Reporting Standards (IFRS), as issued by the International Accounting Standards Board.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On October 1, 2026, the company sold a 51% stake in its Global Print business to capital accounts advised by KKR. In the three and nine months ended September 30, 2026, the Global Print business was reported as discontinued operations. Prior-year period amounts have been revised to reflect this change. Refer to the "Global Print Transaction" subsection within the "Executive Summary - Financial Highlights" section of this management's discussion and analysis for additional information. Also, see previous news release, "Thomson Reuters Provides Supplemental Financial Information Following Close of Global Print Transaction" available in the Investor Relations section of thomsonreuters.com and also filed with Canadian securities regulatory authorities and the U.S. Securities and Exchange Commission (SEC).</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Additionally, in the first quarter of 2026, we changed our segment reporting to reflect how we currently manage our segments. Prior period amounts have been revised to reflect the current presentation. Refer to the “Additional information” section of this management’s discussion and analysis for further information.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Other than earnings per share,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Use of non-IFRS financial measures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additional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See Appendix A of this management’s discussion and analysis for a description of our non-IFRS financial measures, including an explanation of why we believe they are useful measures of our performance. Refer to Appendix B for reconciliations of our non-IFRS financial measures to the most directly comparable IFRS measures.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Glossary of key terms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terms in this management’s discussion and analysis have the following meanings, unless otherwise indicated: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31"/>
        <w:gridCol w:w="8574"/>
      </w:tblGrid>
      <w:tr>
        <w:tc>
          <w:tcPr>
            <w:tcW w:w="1631" w:type="dxa"/>
            <w:tcBorders/>
            <w:vAlign w:val="center"/>
          </w:tcPr>
          <w:p>
            <w:pPr>
              <w:pStyle w:val="TableContents"/>
              <w:bidi w:val="0"/>
              <w:spacing w:before="0" w:after="283"/>
              <w:jc w:val="left"/>
              <w:rPr>
                <w:sz w:val="4"/>
                <w:szCs w:val="4"/>
              </w:rPr>
            </w:pPr>
            <w:r>
              <w:rPr>
                <w:sz w:val="4"/>
                <w:szCs w:val="4"/>
              </w:rPr>
            </w:r>
          </w:p>
        </w:tc>
        <w:tc>
          <w:tcPr>
            <w:tcW w:w="8574" w:type="dxa"/>
            <w:tcBorders/>
            <w:vAlign w:val="center"/>
          </w:tcPr>
          <w:p>
            <w:pPr>
              <w:pStyle w:val="TableContents"/>
              <w:bidi w:val="0"/>
              <w:spacing w:before="0" w:after="283"/>
              <w:jc w:val="left"/>
              <w:rPr>
                <w:sz w:val="4"/>
                <w:szCs w:val="4"/>
              </w:rPr>
            </w:pPr>
            <w:r>
              <w:rPr>
                <w:sz w:val="4"/>
                <w:szCs w:val="4"/>
              </w:rPr>
            </w:r>
          </w:p>
        </w:tc>
      </w:tr>
      <w:tr>
        <w:tc>
          <w:tcPr>
            <w:tcW w:w="1631" w:type="dxa"/>
            <w:tcBorders>
              <w:top w:val="single" w:sz="8" w:space="0" w:color="4D4D4D"/>
              <w:left w:val="single" w:sz="8" w:space="0" w:color="4D4D4D"/>
              <w:bottom w:val="single" w:sz="8" w:space="0" w:color="4D4D4D"/>
              <w:right w:val="single" w:sz="8" w:space="0" w:color="4D4D4D"/>
            </w:tcBorders>
            <w:vAlign w:val="center"/>
          </w:tcPr>
          <w:p>
            <w:pPr>
              <w:pStyle w:val="TableContents"/>
              <w:bidi w:val="0"/>
              <w:spacing w:before="0" w:after="283"/>
              <w:jc w:val="left"/>
              <w:rPr>
                <w:rFonts w:ascii="Clario;sans-serif" w:hAnsi="Clario;sans-serif"/>
                <w:sz w:val="18"/>
              </w:rPr>
            </w:pPr>
            <w:r>
              <w:rPr>
                <w:rFonts w:ascii="Clario;sans-serif" w:hAnsi="Clario;sans-serif"/>
                <w:b/>
                <w:caps/>
                <w:color w:val="404040"/>
                <w:sz w:val="18"/>
              </w:rPr>
              <w:t>t</w:t>
            </w:r>
            <w:r>
              <w:rPr>
                <w:rFonts w:ascii="Clario;sans-serif" w:hAnsi="Clario;sans-serif"/>
                <w:b/>
                <w:color w:val="404040"/>
                <w:sz w:val="18"/>
              </w:rPr>
              <w:t>erm</w:t>
            </w:r>
          </w:p>
        </w:tc>
        <w:tc>
          <w:tcPr>
            <w:tcW w:w="8574" w:type="dxa"/>
            <w:tcBorders>
              <w:top w:val="single" w:sz="8" w:space="0" w:color="4D4D4D"/>
              <w:bottom w:val="single" w:sz="8" w:space="0" w:color="4D4D4D"/>
              <w:right w:val="single" w:sz="8" w:space="0" w:color="4D4D4D"/>
            </w:tcBorders>
            <w:tcMar>
              <w:left w:w="0" w:type="dxa"/>
            </w:tcMar>
            <w:vAlign w:val="center"/>
          </w:tcPr>
          <w:p>
            <w:pPr>
              <w:pStyle w:val="TableContents"/>
              <w:bidi w:val="0"/>
              <w:spacing w:before="0" w:after="283"/>
              <w:jc w:val="left"/>
              <w:rPr>
                <w:rFonts w:ascii="Clario;sans-serif" w:hAnsi="Clario;sans-serif"/>
                <w:sz w:val="18"/>
              </w:rPr>
            </w:pPr>
            <w:r>
              <w:rPr>
                <w:rFonts w:ascii="Clario;sans-serif" w:hAnsi="Clario;sans-serif"/>
                <w:b/>
                <w:caps/>
                <w:color w:val="404040"/>
                <w:sz w:val="18"/>
              </w:rPr>
              <w:t>D</w:t>
            </w:r>
            <w:r>
              <w:rPr>
                <w:rFonts w:ascii="Clario;sans-serif" w:hAnsi="Clario;sans-serif"/>
                <w:b/>
                <w:color w:val="404040"/>
                <w:sz w:val="18"/>
              </w:rPr>
              <w:t>efinition</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AI</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Artificial intelligence</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color w:val="404040"/>
              </w:rPr>
            </w:pPr>
            <w:r>
              <w:rPr>
                <w:color w:val="404040"/>
              </w:rPr>
              <w:t>“</w:t>
            </w:r>
            <w:r>
              <w:rPr>
                <w:rFonts w:ascii="Clario;sans-serif" w:hAnsi="Clario;sans-serif"/>
                <w:color w:val="404040"/>
                <w:sz w:val="18"/>
              </w:rPr>
              <w:t>Big 3” segments</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Our combined Legal Professionals, Corporates and Tax, Audit &amp; Accounting Professionals segments</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 xml:space="preserve">bp </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Basis points - one basis point is equal to 1/100</w:t>
            </w:r>
            <w:r>
              <w:rPr>
                <w:rFonts w:ascii="Clario;sans-serif" w:hAnsi="Clario;sans-serif"/>
                <w:color w:val="404040"/>
                <w:sz w:val="12"/>
              </w:rPr>
              <w:t>th</w:t>
            </w:r>
            <w:r>
              <w:rPr>
                <w:rFonts w:ascii="Clario;sans-serif" w:hAnsi="Clario;sans-serif"/>
                <w:color w:val="404040"/>
                <w:sz w:val="18"/>
              </w:rPr>
              <w:t> of 1%; “100bp” is equivalent to 1%</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dollars</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constant currency</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 non-IFRS measure derived by applying the same foreign currency exchange rates to the financial results of the current and equivalent prior-year period</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EBITDA</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before interest, tax, depreciation and amortization </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EPS</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per share</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lineRule="auto" w:line="360"/>
              <w:jc w:val="both"/>
              <w:rPr>
                <w:rFonts w:ascii="Clario;sans-serif" w:hAnsi="Clario;sans-serif"/>
                <w:sz w:val="18"/>
              </w:rPr>
            </w:pPr>
            <w:r>
              <w:rPr>
                <w:rFonts w:ascii="Clario;sans-serif" w:hAnsi="Clario;sans-serif"/>
                <w:color w:val="404040"/>
                <w:sz w:val="18"/>
              </w:rPr>
              <w:t>Fiduciary-Grade AI</w:t>
            </w:r>
            <w:r>
              <w:rPr>
                <w:rFonts w:ascii="Clario;sans-serif" w:hAnsi="Clario;sans-serif"/>
                <w:color w:val="404040"/>
                <w:sz w:val="12"/>
              </w:rPr>
              <w:t>TM</w:t>
            </w:r>
            <w:r>
              <w:rPr>
                <w:rFonts w:ascii="Clario;sans-serif" w:hAnsi="Clario;sans-serif"/>
                <w:color w:val="404040"/>
                <w:sz w:val="18"/>
              </w:rPr>
              <w:t xml:space="preserve"> </w:t>
            </w:r>
          </w:p>
          <w:p>
            <w:pPr>
              <w:pStyle w:val="TableContents"/>
              <w:bidi w:val="0"/>
              <w:spacing w:before="0" w:after="283"/>
              <w:jc w:val="left"/>
            </w:pPr>
            <w:r>
              <w:t> </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lineRule="auto" w:line="360" w:before="0" w:after="283"/>
              <w:jc w:val="left"/>
              <w:rPr>
                <w:rFonts w:ascii="Clario;sans-serif" w:hAnsi="Clario;sans-serif"/>
                <w:color w:val="404040"/>
                <w:sz w:val="18"/>
              </w:rPr>
            </w:pPr>
            <w:r>
              <w:rPr>
                <w:rFonts w:ascii="Clario;sans-serif" w:hAnsi="Clario;sans-serif"/>
                <w:color w:val="404040"/>
                <w:sz w:val="18"/>
              </w:rPr>
              <w:t>At Thomson Reuters, Fiduciary</w:t>
              <w:noBreakHyphen/>
              <w:t>Grade AI is our standard for how AI should work in high</w:t>
              <w:noBreakHyphen/>
              <w:t>stakes professions. It’s AI designed for professionals with duties of care and regulatory oversight - drawing on our authoritative, domain</w:t>
              <w:noBreakHyphen/>
              <w:t>specific content; protected by rigorous privacy and security safeguards; shaped by subject</w:t>
              <w:noBreakHyphen/>
              <w:t>matter experts; and designed to produce transparent outputs that can be verified. Fiduciary-Grade AI sets the bar when accuracy, accountability, and trust are paramount.</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IASB</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International Accounting Standards Board</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IFRS</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International Financial Reporting Standards </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LSEG</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London Stock Exchange Group plc</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applicable</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n/m</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meaningful</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Nasdaq</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Nasdaq Stock Market LLC</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organic or organically</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 non-IFRS measure that represents changes in revenues of our existing businesses at constant currency. The metric excludes the distortive impacts of acquisitions and dispositions from not owning the business in both comparable periods </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ROIC</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Return on invested capital. A non-IFRS measure that is computed as adjusted operating profit (operating profit excluding amortization of acquired intangible assets attributable to other identifiable intangible assets and acquired software, other operating gains and losses, and fair value adjustments) less net taxes paid expressed as a percentage of the average adjusted invested capital during the period</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SEC</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Securities and Exchange Commission</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TSX</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Toronto Stock Exchange</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Woodbridge</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Woodbridge Company Limited, our principal and controlling shareholder</w:t>
            </w:r>
          </w:p>
        </w:tc>
      </w:tr>
      <w:tr>
        <w:tc>
          <w:tcPr>
            <w:tcW w:w="1631"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 and US$ </w:t>
            </w:r>
          </w:p>
        </w:tc>
        <w:tc>
          <w:tcPr>
            <w:tcW w:w="8574"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dollars</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sz w:val="20"/>
        </w:rPr>
      </w:pPr>
      <w:r>
        <w:rPr>
          <w:rFonts w:ascii="Clario;sans-serif" w:hAnsi="Clario;sans-serif"/>
          <w:b/>
          <w:color w:val="404040"/>
          <w:sz w:val="24"/>
        </w:rPr>
        <w:t>Executive Summary</w:t>
      </w:r>
      <w:r>
        <w:rPr>
          <w:rFonts w:ascii="Clario;sans-serif" w:hAnsi="Clario;sans-serif"/>
          <w:color w:val="404040"/>
          <w:sz w:val="20"/>
        </w:rPr>
        <w:t xml:space="preserve"> </w:t>
      </w:r>
    </w:p>
    <w:p>
      <w:pPr>
        <w:pStyle w:val="TextBody"/>
        <w:bidi w:val="0"/>
        <w:jc w:val="both"/>
      </w:pPr>
      <w:r>
        <w:t> </w:t>
      </w:r>
    </w:p>
    <w:p>
      <w:pPr>
        <w:pStyle w:val="TextBody"/>
        <w:bidi w:val="0"/>
        <w:jc w:val="both"/>
        <w:rPr>
          <w:rFonts w:ascii="Clario;sans-serif" w:hAnsi="Clario;sans-serif"/>
          <w:b/>
          <w:color w:val="404040"/>
          <w:sz w:val="20"/>
        </w:rPr>
      </w:pPr>
      <w:r>
        <w:rPr>
          <w:rFonts w:ascii="Clario;sans-serif" w:hAnsi="Clario;sans-serif"/>
          <w:b/>
          <w:color w:val="404040"/>
          <w:sz w:val="20"/>
        </w:rPr>
        <w:t>Our company</w:t>
      </w:r>
    </w:p>
    <w:p>
      <w:pPr>
        <w:pStyle w:val="TextBody"/>
        <w:bidi w:val="0"/>
        <w:spacing w:lineRule="auto" w:line="360" w:before="100" w:after="283"/>
        <w:jc w:val="left"/>
        <w:rPr>
          <w:rFonts w:ascii="Clario;sans-serif" w:hAnsi="Clario;sans-serif"/>
          <w:sz w:val="12"/>
        </w:rPr>
      </w:pPr>
      <w:r>
        <w:rPr>
          <w:rFonts w:ascii="Clario;sans-serif" w:hAnsi="Clario;sans-serif"/>
          <w:color w:val="404040"/>
          <w:sz w:val="18"/>
        </w:rPr>
        <w:t>Thomson Reuters (TSX/Nasdaq: TRI) powers business-critical professions with Fiduciary-Grade AI</w:t>
      </w:r>
      <w:r>
        <w:rPr>
          <w:rFonts w:ascii="Clario;sans-serif" w:hAnsi="Clario;sans-serif"/>
          <w:color w:val="404040"/>
          <w:sz w:val="12"/>
        </w:rPr>
        <w:t xml:space="preserve">TM </w:t>
      </w:r>
      <w:r>
        <w:rPr>
          <w:rFonts w:ascii="Clario;sans-serif" w:hAnsi="Clario;sans-serif"/>
          <w:color w:val="404040"/>
          <w:sz w:val="18"/>
        </w:rPr>
        <w:t>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thomsonreuters</w:t>
      </w:r>
      <w:r>
        <w:rPr>
          <w:rFonts w:ascii="Clario;sans-serif" w:hAnsi="Clario;sans-serif"/>
          <w:sz w:val="18"/>
        </w:rPr>
        <w:t>.com</w:t>
      </w:r>
      <w:r>
        <w:rPr>
          <w:rFonts w:ascii="Clario;sans-serif" w:hAnsi="Clario;sans-serif"/>
          <w:color w:val="404040"/>
          <w:sz w:val="18"/>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derive a significant portion of our revenues from selling information and software solutions, mostly on a recurring subscription basis. Our professional-grade solutions are built on comprehensive proprietary content and deep domain expertise with software, embedded AI capabilities and automation tools. We believe our workflow solutions make our customers more productive by streamlining how they operate, enabling them to focus on higher value activities. Many of our customers use our solutions that are deeply integrated into their workflows, which has led to strong customer retention. We believe that our customers trust us because of our decades serving high-stakes workflows, where accuracy and reliability are non-negotiable, our enterprise-grade security and governance built for regulated environments, and our deep understanding of their businesses and industries. They rely on our services for navigating a rapidly changing and increasingly complex digital and global landscape. Over the years, our business model has proven to be capital efficient and cash flow generative, and it has enabled us to maintain leading and scalable positions in our chosen market segments.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are organized as four reportable segments, reflecting how our products and services are managed and offered to target customers as described below. The operating results of Global Print, which was previously a reportable segment, is now reported as discontinued operations. See "Global Print Transaction" section below.</w:t>
      </w:r>
    </w:p>
    <w:p>
      <w:pPr>
        <w:pStyle w:val="TextBody"/>
        <w:bidi w:val="0"/>
        <w:spacing w:before="100" w:after="283"/>
        <w:jc w:val="left"/>
      </w:pPr>
      <w:r>
        <w:t> </w:t>
      </w:r>
    </w:p>
    <w:tbl>
      <w:tblPr>
        <w:tblW w:w="10205" w:type="dxa"/>
        <w:jc w:val="left"/>
        <w:tblInd w:w="0" w:type="dxa"/>
        <w:tblLayout w:type="fixed"/>
        <w:tblCellMar>
          <w:top w:w="28" w:type="dxa"/>
          <w:left w:w="28" w:type="dxa"/>
          <w:bottom w:w="28" w:type="dxa"/>
          <w:right w:w="28" w:type="dxa"/>
        </w:tblCellMar>
      </w:tblPr>
      <w:tblGrid>
        <w:gridCol w:w="1046"/>
        <w:gridCol w:w="5848"/>
        <w:gridCol w:w="3311"/>
      </w:tblGrid>
      <w:tr>
        <w:tc>
          <w:tcPr>
            <w:tcW w:w="1046" w:type="dxa"/>
            <w:tcBorders/>
            <w:vAlign w:val="center"/>
          </w:tcPr>
          <w:p>
            <w:pPr>
              <w:pStyle w:val="TableContents"/>
              <w:bidi w:val="0"/>
              <w:spacing w:before="0" w:after="283"/>
              <w:jc w:val="left"/>
              <w:rPr>
                <w:sz w:val="4"/>
                <w:szCs w:val="4"/>
              </w:rPr>
            </w:pPr>
            <w:r>
              <w:rPr>
                <w:sz w:val="4"/>
                <w:szCs w:val="4"/>
              </w:rPr>
            </w:r>
          </w:p>
        </w:tc>
        <w:tc>
          <w:tcPr>
            <w:tcW w:w="5848" w:type="dxa"/>
            <w:tcBorders/>
            <w:vAlign w:val="center"/>
          </w:tcPr>
          <w:p>
            <w:pPr>
              <w:pStyle w:val="TableContents"/>
              <w:bidi w:val="0"/>
              <w:spacing w:before="0" w:after="283"/>
              <w:jc w:val="left"/>
              <w:rPr>
                <w:sz w:val="4"/>
                <w:szCs w:val="4"/>
              </w:rPr>
            </w:pPr>
            <w:r>
              <w:rPr>
                <w:sz w:val="4"/>
                <w:szCs w:val="4"/>
              </w:rPr>
            </w:r>
          </w:p>
        </w:tc>
        <w:tc>
          <w:tcPr>
            <w:tcW w:w="3311" w:type="dxa"/>
            <w:tcBorders/>
            <w:vAlign w:val="center"/>
          </w:tcPr>
          <w:p>
            <w:pPr>
              <w:pStyle w:val="TableContents"/>
              <w:bidi w:val="0"/>
              <w:spacing w:before="0" w:after="283"/>
              <w:jc w:val="left"/>
              <w:rPr>
                <w:sz w:val="4"/>
                <w:szCs w:val="4"/>
              </w:rPr>
            </w:pPr>
            <w:r>
              <w:rPr>
                <w:sz w:val="4"/>
                <w:szCs w:val="4"/>
              </w:rPr>
            </w:r>
          </w:p>
        </w:tc>
      </w:tr>
      <w:tr>
        <w:tc>
          <w:tcPr>
            <w:tcW w:w="1046" w:type="dxa"/>
            <w:tcBorders/>
            <w:tcMar>
              <w:top w:w="0" w:type="dxa"/>
              <w:left w:w="0" w:type="dxa"/>
              <w:bottom w:w="0" w:type="dxa"/>
              <w:right w:w="0" w:type="dxa"/>
            </w:tcMar>
            <w:vAlign w:val="center"/>
          </w:tcPr>
          <w:p>
            <w:pPr>
              <w:pStyle w:val="TableContents"/>
              <w:bidi w:val="0"/>
              <w:spacing w:before="0" w:after="283"/>
              <w:jc w:val="both"/>
            </w:pPr>
            <w:r>
              <w:t> </w:t>
            </w:r>
          </w:p>
        </w:tc>
        <w:tc>
          <w:tcPr>
            <w:tcW w:w="5848" w:type="dxa"/>
            <w:tcBorders/>
            <w:tcMar>
              <w:top w:w="0" w:type="dxa"/>
              <w:left w:w="0" w:type="dxa"/>
              <w:bottom w:w="0" w:type="dxa"/>
              <w:right w:w="0" w:type="dxa"/>
            </w:tcMar>
            <w:vAlign w:val="center"/>
          </w:tcPr>
          <w:p>
            <w:pPr>
              <w:pStyle w:val="TableContents"/>
              <w:bidi w:val="0"/>
              <w:spacing w:before="0" w:after="283"/>
              <w:jc w:val="both"/>
            </w:pPr>
            <w:r>
              <w:t> </w:t>
            </w:r>
          </w:p>
        </w:tc>
        <w:tc>
          <w:tcPr>
            <w:tcW w:w="3311" w:type="dxa"/>
            <w:tcBorders/>
            <w:tcMar>
              <w:top w:w="0" w:type="dxa"/>
              <w:left w:w="0" w:type="dxa"/>
              <w:bottom w:w="0" w:type="dxa"/>
              <w:right w:w="0" w:type="dxa"/>
            </w:tcMar>
            <w:vAlign w:val="center"/>
          </w:tcPr>
          <w:p>
            <w:pPr>
              <w:pStyle w:val="TableContents"/>
              <w:bidi w:val="0"/>
              <w:spacing w:before="0" w:after="283"/>
              <w:jc w:val="center"/>
            </w:pPr>
            <w:r>
              <w:t> </w:t>
            </w:r>
          </w:p>
        </w:tc>
      </w:tr>
      <w:tr>
        <w:tc>
          <w:tcPr>
            <w:tcW w:w="104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4"/>
              </w:rPr>
            </w:pPr>
            <w:r>
              <w:rPr>
                <w:rFonts w:ascii="Times New Roman" w:hAnsi="Times New Roman"/>
                <w:color w:val="000000"/>
                <w:sz w:val="4"/>
              </w:rPr>
              <w:t>\</w:t>
            </w:r>
          </w:p>
          <w:p>
            <w:pPr>
              <w:pStyle w:val="TableContents"/>
              <w:bidi w:val="0"/>
              <w:jc w:val="center"/>
            </w:pPr>
            <w:r>
              <w:drawing>
                <wp:inline distT="0" distB="0" distL="0" distR="0">
                  <wp:extent cx="523875" cy="600075"/>
                  <wp:effectExtent l="0" t="0" r="0" b="0"/>
                  <wp:docPr id="2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6" descr=""/>
                          <pic:cNvPicPr>
                            <a:picLocks noChangeAspect="1" noChangeArrowheads="1"/>
                          </pic:cNvPicPr>
                        </pic:nvPicPr>
                        <pic:blipFill>
                          <a:blip r:embed="rId134"/>
                          <a:stretch>
                            <a:fillRect/>
                          </a:stretch>
                        </pic:blipFill>
                        <pic:spPr bwMode="auto">
                          <a:xfrm>
                            <a:off x="0" y="0"/>
                            <a:ext cx="523875" cy="600075"/>
                          </a:xfrm>
                          <a:prstGeom prst="rect">
                            <a:avLst/>
                          </a:prstGeom>
                        </pic:spPr>
                      </pic:pic>
                    </a:graphicData>
                  </a:graphic>
                </wp:inline>
              </w:drawing>
            </w:r>
          </w:p>
          <w:p>
            <w:pPr>
              <w:pStyle w:val="TableContents"/>
              <w:bidi w:val="0"/>
              <w:jc w:val="both"/>
            </w:pPr>
            <w:r>
              <w:t> </w:t>
            </w:r>
          </w:p>
          <w:p>
            <w:pPr>
              <w:pStyle w:val="TableContents"/>
              <w:bidi w:val="0"/>
              <w:jc w:val="both"/>
            </w:pPr>
            <w:r>
              <w:t> </w:t>
            </w:r>
          </w:p>
          <w:p>
            <w:pPr>
              <w:pStyle w:val="TableContents"/>
              <w:bidi w:val="0"/>
              <w:jc w:val="both"/>
            </w:pPr>
            <w:r>
              <w:t> </w:t>
            </w:r>
          </w:p>
          <w:p>
            <w:pPr>
              <w:pStyle w:val="TableContents"/>
              <w:bidi w:val="0"/>
              <w:jc w:val="both"/>
            </w:pPr>
            <w:r>
              <w:t> </w:t>
            </w:r>
          </w:p>
          <w:p>
            <w:pPr>
              <w:pStyle w:val="TableContents"/>
              <w:bidi w:val="0"/>
              <w:jc w:val="center"/>
            </w:pPr>
            <w:r>
              <w:drawing>
                <wp:inline distT="0" distB="0" distL="0" distR="0">
                  <wp:extent cx="600075" cy="628650"/>
                  <wp:effectExtent l="0" t="0" r="0" b="0"/>
                  <wp:docPr id="2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7" descr=""/>
                          <pic:cNvPicPr>
                            <a:picLocks noChangeAspect="1" noChangeArrowheads="1"/>
                          </pic:cNvPicPr>
                        </pic:nvPicPr>
                        <pic:blipFill>
                          <a:blip r:embed="rId135"/>
                          <a:stretch>
                            <a:fillRect/>
                          </a:stretch>
                        </pic:blipFill>
                        <pic:spPr bwMode="auto">
                          <a:xfrm>
                            <a:off x="0" y="0"/>
                            <a:ext cx="600075" cy="628650"/>
                          </a:xfrm>
                          <a:prstGeom prst="rect">
                            <a:avLst/>
                          </a:prstGeom>
                        </pic:spPr>
                      </pic:pic>
                    </a:graphicData>
                  </a:graphic>
                </wp:inline>
              </w:drawing>
            </w:r>
          </w:p>
          <w:p>
            <w:pPr>
              <w:pStyle w:val="TableContents"/>
              <w:bidi w:val="0"/>
              <w:jc w:val="center"/>
            </w:pPr>
            <w:r>
              <w:t> </w:t>
            </w:r>
          </w:p>
          <w:p>
            <w:pPr>
              <w:pStyle w:val="TableContents"/>
              <w:bidi w:val="0"/>
              <w:jc w:val="center"/>
            </w:pPr>
            <w:r>
              <w:t> </w:t>
            </w:r>
          </w:p>
          <w:p>
            <w:pPr>
              <w:pStyle w:val="TableContents"/>
              <w:bidi w:val="0"/>
              <w:jc w:val="center"/>
            </w:pPr>
            <w:r>
              <w:drawing>
                <wp:inline distT="0" distB="0" distL="0" distR="0">
                  <wp:extent cx="581025" cy="638175"/>
                  <wp:effectExtent l="0" t="0" r="0" b="0"/>
                  <wp:docPr id="2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8" descr=""/>
                          <pic:cNvPicPr>
                            <a:picLocks noChangeAspect="1" noChangeArrowheads="1"/>
                          </pic:cNvPicPr>
                        </pic:nvPicPr>
                        <pic:blipFill>
                          <a:blip r:embed="rId136"/>
                          <a:stretch>
                            <a:fillRect/>
                          </a:stretch>
                        </pic:blipFill>
                        <pic:spPr bwMode="auto">
                          <a:xfrm>
                            <a:off x="0" y="0"/>
                            <a:ext cx="581025" cy="638175"/>
                          </a:xfrm>
                          <a:prstGeom prst="rect">
                            <a:avLst/>
                          </a:prstGeom>
                        </pic:spPr>
                      </pic:pic>
                    </a:graphicData>
                  </a:graphic>
                </wp:inline>
              </w:drawing>
            </w:r>
          </w:p>
          <w:p>
            <w:pPr>
              <w:pStyle w:val="TableContents"/>
              <w:bidi w:val="0"/>
              <w:jc w:val="right"/>
            </w:pPr>
            <w:r>
              <w:t> </w:t>
            </w:r>
          </w:p>
          <w:p>
            <w:pPr>
              <w:pStyle w:val="TableContents"/>
              <w:bidi w:val="0"/>
              <w:jc w:val="right"/>
            </w:pPr>
            <w:r>
              <w:t> </w:t>
            </w:r>
          </w:p>
          <w:p>
            <w:pPr>
              <w:pStyle w:val="TableContents"/>
              <w:bidi w:val="0"/>
              <w:jc w:val="center"/>
            </w:pPr>
            <w:r>
              <w:drawing>
                <wp:inline distT="0" distB="0" distL="0" distR="0">
                  <wp:extent cx="590550" cy="466725"/>
                  <wp:effectExtent l="0" t="0" r="0" b="0"/>
                  <wp:docPr id="2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9" descr=""/>
                          <pic:cNvPicPr>
                            <a:picLocks noChangeAspect="1" noChangeArrowheads="1"/>
                          </pic:cNvPicPr>
                        </pic:nvPicPr>
                        <pic:blipFill>
                          <a:blip r:embed="rId137"/>
                          <a:stretch>
                            <a:fillRect/>
                          </a:stretch>
                        </pic:blipFill>
                        <pic:spPr bwMode="auto">
                          <a:xfrm>
                            <a:off x="0" y="0"/>
                            <a:ext cx="590550" cy="466725"/>
                          </a:xfrm>
                          <a:prstGeom prst="rect">
                            <a:avLst/>
                          </a:prstGeom>
                        </pic:spPr>
                      </pic:pic>
                    </a:graphicData>
                  </a:graphic>
                </wp:inline>
              </w:drawing>
            </w:r>
          </w:p>
          <w:p>
            <w:pPr>
              <w:pStyle w:val="TableContents"/>
              <w:bidi w:val="0"/>
              <w:jc w:val="right"/>
            </w:pPr>
            <w:r>
              <w:t> </w:t>
            </w:r>
          </w:p>
          <w:p>
            <w:pPr>
              <w:pStyle w:val="TableContents"/>
              <w:bidi w:val="0"/>
              <w:jc w:val="right"/>
            </w:pPr>
            <w:r>
              <w:t> </w:t>
            </w:r>
          </w:p>
          <w:p>
            <w:pPr>
              <w:pStyle w:val="TableContents"/>
              <w:bidi w:val="0"/>
              <w:spacing w:before="0" w:after="283"/>
              <w:jc w:val="center"/>
            </w:pPr>
            <w:r>
              <w:t> </w:t>
            </w:r>
          </w:p>
        </w:tc>
        <w:tc>
          <w:tcPr>
            <w:tcW w:w="5848" w:type="dxa"/>
            <w:tcBorders/>
            <w:tcMar>
              <w:top w:w="0" w:type="dxa"/>
              <w:left w:w="0" w:type="dxa"/>
              <w:bottom w:w="0" w:type="dxa"/>
              <w:right w:w="0" w:type="dxa"/>
            </w:tcMar>
            <w:vAlign w:val="center"/>
          </w:tcPr>
          <w:p>
            <w:pPr>
              <w:pStyle w:val="TableContents"/>
              <w:bidi w:val="0"/>
              <w:jc w:val="left"/>
              <w:rPr>
                <w:rFonts w:ascii="Clario;sans-serif" w:hAnsi="Clario;sans-serif"/>
                <w:b/>
                <w:color w:val="404040"/>
                <w:sz w:val="18"/>
              </w:rPr>
            </w:pPr>
            <w:r>
              <w:rPr>
                <w:rFonts w:ascii="Clario;sans-serif" w:hAnsi="Clario;sans-serif"/>
                <w:b/>
                <w:color w:val="404040"/>
                <w:sz w:val="18"/>
              </w:rPr>
              <w:t>Legal Professionals</w:t>
            </w:r>
          </w:p>
          <w:p>
            <w:pPr>
              <w:pStyle w:val="TableContents"/>
              <w:bidi w:val="0"/>
              <w:spacing w:before="100" w:after="283"/>
              <w:jc w:val="left"/>
              <w:rPr>
                <w:rFonts w:ascii="Clario;sans-serif" w:hAnsi="Clario;sans-serif"/>
                <w:sz w:val="20"/>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r>
              <w:rPr>
                <w:rFonts w:ascii="Clario;sans-serif" w:hAnsi="Clario;sans-serif"/>
                <w:color w:val="404040"/>
                <w:sz w:val="20"/>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Serves tax, audit and accounting firms (other than the seven largest, which are served by our Corporates segment) with research and workflow products powered by AI-enabled technology.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Supplies business, financial and global news and data to the world’s media organizations, professionals and news consumers through Reuters News Agency, Reuters.com, Reuters Events, Thomson Reuters products and to financial firms exclusively via LSEG products. </w:t>
            </w:r>
          </w:p>
        </w:tc>
        <w:tc>
          <w:tcPr>
            <w:tcW w:w="3311" w:type="dxa"/>
            <w:tcBorders/>
            <w:tcMar>
              <w:top w:w="0" w:type="dxa"/>
              <w:left w:w="0" w:type="dxa"/>
              <w:bottom w:w="0" w:type="dxa"/>
              <w:right w:w="0" w:type="dxa"/>
            </w:tcMar>
            <w:vAlign w:val="center"/>
          </w:tcPr>
          <w:p>
            <w:pPr>
              <w:pStyle w:val="TableContents"/>
              <w:bidi w:val="0"/>
              <w:jc w:val="center"/>
            </w:pPr>
            <w:r>
              <w:t> </w:t>
            </w:r>
          </w:p>
          <w:p>
            <w:pPr>
              <w:pStyle w:val="TableContents"/>
              <w:bidi w:val="0"/>
              <w:jc w:val="center"/>
              <w:rPr>
                <w:rFonts w:ascii="Clario;sans-serif" w:hAnsi="Clario;sans-serif"/>
                <w:b/>
                <w:color w:val="404040"/>
                <w:sz w:val="18"/>
              </w:rPr>
            </w:pPr>
            <w:r>
              <w:rPr>
                <w:rFonts w:ascii="Clario;sans-serif" w:hAnsi="Clario;sans-serif"/>
                <w:b/>
                <w:color w:val="404040"/>
                <w:sz w:val="18"/>
              </w:rPr>
              <w:t>Third Quarter 2026 Revenues</w:t>
            </w:r>
          </w:p>
          <w:p>
            <w:pPr>
              <w:pStyle w:val="TableContents"/>
              <w:bidi w:val="0"/>
              <w:jc w:val="center"/>
            </w:pPr>
            <w:r>
              <w:drawing>
                <wp:inline distT="0" distB="0" distL="0" distR="0">
                  <wp:extent cx="2019300" cy="1714500"/>
                  <wp:effectExtent l="0" t="0" r="0" b="0"/>
                  <wp:docPr id="2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0" descr=""/>
                          <pic:cNvPicPr>
                            <a:picLocks noChangeAspect="1" noChangeArrowheads="1"/>
                          </pic:cNvPicPr>
                        </pic:nvPicPr>
                        <pic:blipFill>
                          <a:blip r:embed="rId138"/>
                          <a:stretch>
                            <a:fillRect/>
                          </a:stretch>
                        </pic:blipFill>
                        <pic:spPr bwMode="auto">
                          <a:xfrm>
                            <a:off x="0" y="0"/>
                            <a:ext cx="2019300" cy="1714500"/>
                          </a:xfrm>
                          <a:prstGeom prst="rect">
                            <a:avLst/>
                          </a:prstGeom>
                        </pic:spPr>
                      </pic:pic>
                    </a:graphicData>
                  </a:graphic>
                </wp:inline>
              </w:drawing>
            </w:r>
          </w:p>
          <w:p>
            <w:pPr>
              <w:pStyle w:val="TableContents"/>
              <w:bidi w:val="0"/>
              <w:jc w:val="center"/>
            </w:pPr>
            <w:r>
              <w:t> </w:t>
            </w:r>
          </w:p>
          <w:p>
            <w:pPr>
              <w:pStyle w:val="TableContents"/>
              <w:bidi w:val="0"/>
              <w:jc w:val="center"/>
            </w:pPr>
            <w:r>
              <w:drawing>
                <wp:inline distT="0" distB="0" distL="0" distR="0">
                  <wp:extent cx="1971675" cy="1714500"/>
                  <wp:effectExtent l="0" t="0" r="0" b="0"/>
                  <wp:docPr id="2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1" descr=""/>
                          <pic:cNvPicPr>
                            <a:picLocks noChangeAspect="1" noChangeArrowheads="1"/>
                          </pic:cNvPicPr>
                        </pic:nvPicPr>
                        <pic:blipFill>
                          <a:blip r:embed="rId139"/>
                          <a:stretch>
                            <a:fillRect/>
                          </a:stretch>
                        </pic:blipFill>
                        <pic:spPr bwMode="auto">
                          <a:xfrm>
                            <a:off x="0" y="0"/>
                            <a:ext cx="1971675" cy="1714500"/>
                          </a:xfrm>
                          <a:prstGeom prst="rect">
                            <a:avLst/>
                          </a:prstGeom>
                        </pic:spPr>
                      </pic:pic>
                    </a:graphicData>
                  </a:graphic>
                </wp:inline>
              </w:drawing>
            </w:r>
          </w:p>
          <w:p>
            <w:pPr>
              <w:pStyle w:val="TableContents"/>
              <w:bidi w:val="0"/>
              <w:spacing w:before="0" w:after="283"/>
              <w:jc w:val="center"/>
            </w:pPr>
            <w:r>
              <w:t> </w:t>
            </w:r>
          </w:p>
        </w:tc>
      </w:tr>
    </w:tbl>
    <w:p>
      <w:pPr>
        <w:pStyle w:val="TextBody"/>
        <w:bidi w:val="0"/>
        <w:jc w:val="left"/>
        <w:rPr>
          <w:rFonts w:ascii="Clario;sans-serif" w:hAnsi="Clario;sans-serif"/>
          <w:color w:val="404040"/>
          <w:sz w:val="18"/>
        </w:rPr>
      </w:pPr>
      <w:r>
        <w:rPr>
          <w:rFonts w:ascii="Clario;sans-serif" w:hAnsi="Clario;sans-serif"/>
          <w:color w:val="404040"/>
          <w:sz w:val="18"/>
        </w:rPr>
        <w:t>We refer to our Legal Professionals, Corporates and Tax, Audit &amp; Accounting Professionals segments, on a combined basis, as our “Big 3” segments.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Our businesses rely on centrally managed commercial and technology operations, including sales capabilities, digital customer experience, product and content development and global facilities. Costs relating to these activities are allocated to our business segments. Certain other costs are not allocated to the segments and are reported separately under "Corporate Center". These include headquarters functions such as finance, legal, human resources and the executive office, as well as certain content and editorial costs associated with our former Global Print business. All of our Corporate Center costs are included in consolidated adjusted EBITDA. Starting October 1, 2026, the Corporate Center will also include a royalty paid to Thomson Reuters from Westbridge Print for the exclusive license to distribute our intellectual property and fees for certain transition services as the joint venture migrates to a stand-alone entity (see "Global Print Business Transaction" below).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both"/>
        <w:rPr>
          <w:rFonts w:ascii="Clario;sans-serif" w:hAnsi="Clario;sans-serif"/>
          <w:sz w:val="24"/>
        </w:rPr>
      </w:pPr>
      <w:r>
        <w:rPr>
          <w:rFonts w:ascii="Clario;sans-serif" w:hAnsi="Clario;sans-serif"/>
          <w:b/>
          <w:color w:val="404040"/>
          <w:sz w:val="24"/>
        </w:rPr>
        <w:t>Financial Highlights</w:t>
      </w:r>
      <w:r>
        <w:rPr>
          <w:rFonts w:ascii="Clario;sans-serif" w:hAnsi="Clario;sans-serif"/>
          <w:color w:val="404040"/>
          <w:sz w:val="24"/>
        </w:rPr>
        <w:t xml:space="preserve"> </w:t>
      </w:r>
    </w:p>
    <w:p>
      <w:pPr>
        <w:pStyle w:val="TextBody"/>
        <w:bidi w:val="0"/>
        <w:spacing w:before="0" w:after="120"/>
        <w:jc w:val="left"/>
      </w:pPr>
      <w:r>
        <w:t>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 xml:space="preserve">Strong revenue growth continued in the third quarter as our revenues increased 10% in total and in constant currency. Our revenues on an organic basis also grew 10% which reflected 8% growth in recurring revenues and 23% growth in transactions revenues. Our "Big 3" segments, which comprised 88% of total revenues, increased 10% on an organic basis driven by 9% growth in recurring revenues and 17% growth in transactions revenues.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In the third quarter, our operating profit decreased 22% primarily related to a prior-year period other operating gain from the sale of the company’s remaining minority equity interest in the Elite business. Adjusted EBITDA, which excludes other operating gains, as well as other adjustments, increased 10% and the related margin decreased to 35.5% from 35.8% in the prior-year period. Foreign currency had no impact on the year-over-year change in adjusted EBITDA margin.</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 xml:space="preserve">In November 2026, we updated our 2026 full-year outlook for our total company to remove and reflect the results of the Global Print business as discontinued operations. As a result, we updated the financial measures presented for the total company in our 2026 full-year outlook, as compared to the full-year outlook communicated on August 5, 2026, to reflect our expected performance on a continuing operations basis, which excludes Global Print. Our updated total company 2026 full-year outlook reflects total revenue growth of approximately 9.5%, organic revenue growth of approximately 8.5% to 9.0%, and adjusted EBITDA margin of approximately 39% compared to our 2025 adjusted EBITDA margin of 37.4%. Our revenue and adjusted EBITDA margin outlook for our "Big 3" segments were unchanged from our previously communicated August 5, 2026 outlook.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In addition to the updates to reflect the November 2026 full-year outlook on a continuing operations basis, we also raised our full-year 2026 outlook for net interest expense to approximately $190 million to incorporate the recent debt issuance and the proceeds from the Global Print transaction. We also adjusted our November 2026 outlook for depreciation and amortization of software. See both "Global Print Business Transaction" below and the “Outlook” section of this management’s discussion and analysis for further information.</w:t>
      </w:r>
    </w:p>
    <w:p>
      <w:pPr>
        <w:pStyle w:val="TextBody"/>
        <w:bidi w:val="0"/>
        <w:jc w:val="left"/>
        <w:rPr>
          <w:rFonts w:ascii="Clario;sans-serif" w:hAnsi="Clario;sans-serif"/>
          <w:color w:val="404040"/>
          <w:sz w:val="18"/>
        </w:rPr>
      </w:pPr>
      <w:r>
        <w:rPr>
          <w:rFonts w:ascii="Clario;sans-serif" w:hAnsi="Clario;sans-serif"/>
          <w:color w:val="404040"/>
          <w:sz w:val="18"/>
        </w:rPr>
        <w:t xml:space="preserve">Our capital capacity and liquidity remain a key asset to support acquisitions and returns to shareholders. In the third quarter of 2026, we generated net cash flows from operating activities of $599 million and free cash flow of $408 million. In aggregate, we returned $512 million to our common shareholders, which included $238 million under our recently completed February 2026 share repurchase plan, and $274 million in dividends. We received approximately $2.0 billion of net proceeds, in aggregate, from offerings of U.S. $1.3 billion notes and C$1.0 billion notes. We used the net proceeds for general corporate purposes, including the repayment of borrowings under our commercial paper program. See the “Liquidity and Capital Resources” section of this management’s discussion and analysis for additional information. </w:t>
      </w:r>
    </w:p>
    <w:p>
      <w:pPr>
        <w:pStyle w:val="TextBody"/>
        <w:bidi w:val="0"/>
        <w:spacing w:before="100" w:after="120"/>
        <w:jc w:val="both"/>
        <w:rPr>
          <w:rFonts w:ascii="Clario;sans-serif" w:hAnsi="Clario;sans-serif"/>
          <w:b/>
          <w:color w:val="404040"/>
          <w:sz w:val="18"/>
        </w:rPr>
      </w:pPr>
      <w:r>
        <w:rPr>
          <w:rFonts w:ascii="Clario;sans-serif" w:hAnsi="Clario;sans-serif"/>
          <w:b/>
          <w:color w:val="404040"/>
          <w:sz w:val="18"/>
        </w:rPr>
        <w:t>Global Print Transaction</w:t>
      </w:r>
    </w:p>
    <w:p>
      <w:pPr>
        <w:pStyle w:val="TextBody"/>
        <w:bidi w:val="0"/>
        <w:jc w:val="left"/>
        <w:rPr>
          <w:rFonts w:ascii="Clario;sans-serif" w:hAnsi="Clario;sans-serif"/>
          <w:color w:val="404040"/>
          <w:sz w:val="18"/>
        </w:rPr>
      </w:pPr>
      <w:r>
        <w:rPr>
          <w:rFonts w:ascii="Clario;sans-serif" w:hAnsi="Clario;sans-serif"/>
          <w:color w:val="404040"/>
          <w:sz w:val="18"/>
        </w:rPr>
        <w:t>On October 1, 2026, Thomson Reuters sold a 51% stake in its Global Print business to capital accounts advised by KKR, with the two parties forming a joint venture to operate the Global Print business, now operating as Westbridge Print. We received approximately $500 million in gross proceeds at closing and retained a 49% equity interest in the joint venture. Westbridge Print, an independent company, serves legal and tax professionals across 13 countries and provides commercial printing services to book publishers across a wide range of markets. Thomson Reuters maintains intellectual property rights and full editorial control over its content portfolio. As part of the transaction, Thomson Reuters has agreed to provide certain financial support designed to give KKR a minimum return on its equity investment in the joint venture under certain circumstances.</w:t>
      </w:r>
    </w:p>
    <w:p>
      <w:pPr>
        <w:pStyle w:val="TextBody"/>
        <w:bidi w:val="0"/>
        <w:spacing w:before="100" w:after="160"/>
        <w:jc w:val="left"/>
        <w:rPr>
          <w:rFonts w:ascii="Clario;sans-serif" w:hAnsi="Clario;sans-serif"/>
          <w:color w:val="404040"/>
          <w:sz w:val="18"/>
        </w:rPr>
      </w:pPr>
      <w:r>
        <w:rPr>
          <w:rFonts w:ascii="Clario;sans-serif" w:hAnsi="Clario;sans-serif"/>
          <w:color w:val="404040"/>
          <w:sz w:val="18"/>
        </w:rPr>
        <w:t xml:space="preserve">Beginning in the fourth quarter of 2026, Westbridge Print will pay a royalty to Thomson Reuters equal to 20% of its Professional revenues (approximately 85% – 90% of its total revenues) for the exclusive license to distribute the company’s intellectual property in print and on ProView, its eBook platform. Additionally, Westbridge Print entered a multi-year agreement with Thomson Reuters whereby it will reimburse our company for certain transition services as the joint venture migrates to a stand-alone entity. The royalty and transition services reimbursement are largely expected to offset the stranded costs from the separation. As a result, we expect the impact from the Global Print transaction to be approximately neutral to our total company adjusted EBITDA margin following the transaction close, as well as 60 – 70 basis points accretive to our annual organic revenue growth rate. </w:t>
      </w:r>
    </w:p>
    <w:p>
      <w:pPr>
        <w:pStyle w:val="TextBody"/>
        <w:bidi w:val="0"/>
        <w:jc w:val="left"/>
        <w:rPr>
          <w:rFonts w:ascii="Clario;sans-serif" w:hAnsi="Clario;sans-serif"/>
          <w:color w:val="404040"/>
          <w:sz w:val="18"/>
        </w:rPr>
      </w:pPr>
      <w:r>
        <w:rPr>
          <w:rFonts w:ascii="Clario;sans-serif" w:hAnsi="Clario;sans-serif"/>
          <w:color w:val="404040"/>
          <w:sz w:val="18"/>
        </w:rPr>
        <w:t>The Global Print business has been classified as discontinued operations in the third quarter of 2026 and will no longer be presented as a reportable segment. We expect to record a pre-tax gain on the transaction in the fourth quarter of 2026.</w:t>
      </w:r>
    </w:p>
    <w:p>
      <w:pPr>
        <w:pStyle w:val="TextBody"/>
        <w:bidi w:val="0"/>
        <w:spacing w:before="100" w:after="283"/>
        <w:jc w:val="both"/>
        <w:rPr>
          <w:rFonts w:ascii="Clario;sans-serif" w:hAnsi="Clario;sans-serif"/>
          <w:sz w:val="24"/>
        </w:rPr>
      </w:pPr>
      <w:r>
        <w:rPr>
          <w:rFonts w:ascii="Clario;sans-serif" w:hAnsi="Clario;sans-serif"/>
          <w:b/>
          <w:color w:val="404040"/>
          <w:sz w:val="24"/>
        </w:rPr>
        <w:t>Results of Operations</w:t>
      </w:r>
      <w:r>
        <w:rPr>
          <w:rFonts w:ascii="Clario;sans-serif" w:hAnsi="Clario;sans-serif"/>
          <w:color w:val="404040"/>
          <w:sz w:val="24"/>
        </w:rPr>
        <w:t xml:space="preserve"> </w:t>
      </w:r>
    </w:p>
    <w:p>
      <w:pPr>
        <w:pStyle w:val="TextBody"/>
        <w:bidi w:val="0"/>
        <w:spacing w:before="100" w:after="283"/>
        <w:jc w:val="left"/>
        <w:rPr>
          <w:rFonts w:ascii="Clario;sans-serif" w:hAnsi="Clario;sans-serif"/>
          <w:sz w:val="18"/>
        </w:rPr>
      </w:pPr>
      <w:r>
        <w:rPr>
          <w:rFonts w:ascii="Clario;sans-serif" w:hAnsi="Clario;sans-serif"/>
          <w:i/>
          <w:color w:val="404040"/>
          <w:sz w:val="18"/>
        </w:rPr>
        <w:t>Our revenues and operating profit on a consolidated basis do not tend to be significantly impacted by seasonality as we record a large portion of our revenues ratably over the contract term and our costs are generally incurred evenly throughout the year. However, at the segment level, revenues on a consecutive quarter basis can be impacted by seasonality, most notably in our Tax, Audit &amp; Accounting Professionals business, where revenues tend to be concentrated in the first and fourth quarters.</w:t>
      </w:r>
      <w:r>
        <w:rPr>
          <w:rFonts w:ascii="Clario;sans-serif" w:hAnsi="Clario;sans-serif"/>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Consolidated results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396"/>
        <w:gridCol w:w="546"/>
        <w:gridCol w:w="669"/>
        <w:gridCol w:w="146"/>
        <w:gridCol w:w="652"/>
        <w:gridCol w:w="146"/>
        <w:gridCol w:w="648"/>
        <w:gridCol w:w="146"/>
        <w:gridCol w:w="1049"/>
        <w:gridCol w:w="346"/>
        <w:gridCol w:w="669"/>
        <w:gridCol w:w="146"/>
        <w:gridCol w:w="652"/>
        <w:gridCol w:w="146"/>
        <w:gridCol w:w="606"/>
        <w:gridCol w:w="146"/>
        <w:gridCol w:w="1096"/>
      </w:tblGrid>
      <w:tr>
        <w:tc>
          <w:tcPr>
            <w:tcW w:w="23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56"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3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461"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39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843"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3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pPr>
            <w: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848"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3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c>
          <w:tcPr>
            <w:tcW w:w="3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Operating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Diluted EPS</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pPr>
            <w:r>
              <w:t> </w:t>
            </w:r>
          </w:p>
        </w:tc>
        <w:tc>
          <w:tcPr>
            <w:tcW w:w="6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$0.78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49"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pPr>
            <w:r>
              <w:t> </w:t>
            </w:r>
          </w:p>
        </w:tc>
        <w:tc>
          <w:tcPr>
            <w:tcW w:w="3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pPr>
            <w:r>
              <w:t> </w:t>
            </w:r>
          </w:p>
        </w:tc>
        <w:tc>
          <w:tcPr>
            <w:tcW w:w="66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Non-IFRS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 growth in constant currency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9%</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w:t>
              <w:br/>
              <w:t>       expenditures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w:t>
              <w:br/>
              <w:t>       expenditures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w:t>
            </w:r>
            <w:r>
              <w:rPr>
                <w:rFonts w:ascii="Clario;sans-serif" w:hAnsi="Clario;sans-serif"/>
                <w:color w:val="404040"/>
                <w:sz w:val="18"/>
              </w:rPr>
              <w:t>Big 3” Segments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3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10%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9%</w:t>
            </w:r>
          </w:p>
        </w:tc>
      </w:tr>
      <w:tr>
        <w:tc>
          <w:tcPr>
            <w:tcW w:w="2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239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pPr>
            <w:r>
              <w:t> </w:t>
            </w:r>
          </w:p>
        </w:tc>
        <w:tc>
          <w:tcPr>
            <w:tcW w:w="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(150)bp</w:t>
            </w:r>
          </w:p>
        </w:tc>
        <w:tc>
          <w:tcPr>
            <w:tcW w:w="3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(50)bp</w:t>
            </w:r>
          </w:p>
        </w:tc>
      </w:tr>
    </w:tbl>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Revenues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296"/>
        <w:gridCol w:w="146"/>
        <w:gridCol w:w="661"/>
        <w:gridCol w:w="146"/>
        <w:gridCol w:w="646"/>
        <w:gridCol w:w="541"/>
        <w:gridCol w:w="931"/>
        <w:gridCol w:w="811"/>
        <w:gridCol w:w="146"/>
        <w:gridCol w:w="661"/>
        <w:gridCol w:w="146"/>
        <w:gridCol w:w="646"/>
        <w:gridCol w:w="541"/>
        <w:gridCol w:w="931"/>
        <w:gridCol w:w="956"/>
      </w:tblGrid>
      <w:t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36"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881"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29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283"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428"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2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95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FFFFFF"/>
                <w:sz w:val="18"/>
              </w:rPr>
            </w:pPr>
            <w:r>
              <w:rPr>
                <w:rFonts w:ascii="Clario;sans-serif" w:hAnsi="Clario;sans-serif"/>
                <w:color w:val="FFFFFF"/>
                <w:sz w:val="18"/>
              </w:rPr>
              <w:t>Organic</w:t>
            </w:r>
          </w:p>
        </w:tc>
      </w:tr>
      <w:tr>
        <w:tc>
          <w:tcPr>
            <w:tcW w:w="244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Recurring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4,401</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8%</w:t>
            </w:r>
          </w:p>
        </w:tc>
      </w:tr>
      <w:tr>
        <w:tc>
          <w:tcPr>
            <w:tcW w:w="244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712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229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66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6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54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81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66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6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c>
          <w:tcPr>
            <w:tcW w:w="54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931"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5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Revenues in the third quarter increased 10% in total and in constant currency. Total revenue growth reflected 9% growth in recurring revenues (88% of total revenues) and 27% growth in transactions revenues. Foreign currency and net acquisitions and disposals had no significant impact on total company revenue growth. On an organic basis, revenues increased 10%, which reflected 8% growth in recurring revenues and 23% growth in transactions revenues. Revenues from the “Big 3” segments (88% of total revenues) increased 10% in total and in constant currency. On an organic basis, revenues increased 10% driven by 9% growth in recurring revenues and 17% growth in transactions revenues.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Revenues in the nine-month period increased 11% in total and 10% in constant currency. Total revenue growth reflected 9% growth in recurring revenues (85% of total revenues) and 18% growth in transactions revenues. Total revenue growth benefited approximately 1% from foreign currency and 1% from net acquisitions and disposals. On an organic basis, revenues increased 9%, which reflected 8% growth in recurring revenues and 13% growth in transactions revenues. Revenues from the “Big 3” segments (89% of total revenues) increased 11% in total and 10% on a constant currency basis. On an organic basis, revenues increased 9%, driven by 9% growth in recurring revenues and 13% growth in transactions revenues.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In the third quarter, the weakening of the U.S. dollar against the Brazilian real offset the strengthening of the U.S. dollar against certain other currencies we transact in, including the British pound sterling, compared to the prior-year period. In the nine-month period, the U.S. dollar weakened against most of the currencies we transact in, including both the British pound sterling and Brazilian real, compared to the prior-year period. Overall, changes in foreign exchange rates had no significant impact on our revenue growth in the third quarter and increased revenue growth by approximately 1% in the nine-month period.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Operating profit, adjusted EBITDA and adjusted EBITDA less accrued capital expenditures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Operating profit decreased 22% in the third quarter primarily related to a prior-year period other operating gain from the sale of our remaining minority equity interest in the Elite business, and to a lesser extent, higher amortization of software in the current period, partly offset by the net impact of higher revenues and operating expenses.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5</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Operating profit increased 7% in the nine-month period primarily due to the net impact of higher revenues and operating expenses, partly offset by higher other operating gains in the prior-year period, which included a gain on the sale of the company’s remaining minority equity interest in the Elite business, as well as higher amortization of software in the current period.</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Adjusted EBITDA, which excludes other operating gains, amortization of software, as well as other adjustments, increased 10% and 11% in the third quarter and nine-month period, respectively. The third quarter increase in adjusted EBITDA reflected increases of 7% in the “Big 3” segments, and 37% in Reuters, with Reuters growth driven by the impact from higher generative AI content licensing revenues which are transactional in nature. The nine-month period increase in adjusted EBITDA reflected increases of 9% in the “Big 3” segments and 10% in Reuters.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In the third quarter, adjusted EBITDA margin decreased to 35.5% from 35.8% in the prior-year period. Foreign currency had no impact on the year-over-year change in adjusted EBITDA margin. In the nine-month period, adjusted EBITDA margin increased to 37.9% from 37.6% in the prior-year period. Foreign currency negatively impacted the year-over-year change in adjusted EBITDA margin by 10bp.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Adjusted EBITDA less accrued capital expenditures increased in both periods as higher adjusted EBITDA was partly offset by higher accrued capital expenditures. The related margin was unchanged in the third quarter and increased 10bp in the nine-month period.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Operating expenses</w:t>
      </w:r>
    </w:p>
    <w:p>
      <w:pPr>
        <w:pStyle w:val="TextBody"/>
        <w:bidi w:val="0"/>
        <w:spacing w:before="100" w:after="283"/>
        <w:jc w:val="both"/>
      </w:pPr>
      <w:r>
        <w:t> </w:t>
      </w:r>
    </w:p>
    <w:tbl>
      <w:tblPr>
        <w:tblW w:w="10205" w:type="dxa"/>
        <w:jc w:val="left"/>
        <w:tblInd w:w="0" w:type="dxa"/>
        <w:tblLayout w:type="fixed"/>
        <w:tblCellMar>
          <w:top w:w="28" w:type="dxa"/>
          <w:left w:w="28" w:type="dxa"/>
          <w:bottom w:w="28" w:type="dxa"/>
          <w:right w:w="28" w:type="dxa"/>
        </w:tblCellMar>
      </w:tblPr>
      <w:tblGrid>
        <w:gridCol w:w="4108"/>
        <w:gridCol w:w="146"/>
        <w:gridCol w:w="661"/>
        <w:gridCol w:w="646"/>
        <w:gridCol w:w="541"/>
        <w:gridCol w:w="886"/>
        <w:gridCol w:w="661"/>
        <w:gridCol w:w="146"/>
        <w:gridCol w:w="646"/>
        <w:gridCol w:w="146"/>
        <w:gridCol w:w="541"/>
        <w:gridCol w:w="146"/>
        <w:gridCol w:w="931"/>
      </w:tblGrid>
      <w:tr>
        <w:tc>
          <w:tcPr>
            <w:tcW w:w="4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c>
          <w:tcPr>
            <w:tcW w:w="41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3217"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108"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27" w:type="dxa"/>
            <w:gridSpan w:val="2"/>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661"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618"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410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Constant</w:t>
              <w:br/>
              <w:t>Currency</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Constant</w:t>
              <w:br/>
              <w:t>Currency</w:t>
            </w:r>
          </w:p>
        </w:tc>
      </w:tr>
      <w:tr>
        <w:tc>
          <w:tcPr>
            <w:tcW w:w="410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1,070</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4108"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Remove fair value adjustments</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r>
      <w:tr>
        <w:tc>
          <w:tcPr>
            <w:tcW w:w="41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Operating expenses, excluding fair value </w:t>
              <w:br/>
              <w:t>   adjustments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1,182</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1,065</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3,203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Operating expenses, excluding fair value adjustments, increased in total and on a constant currency basis in both periods primarily due to higher compensation-related and technology costs.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Depreciation and amortization</w:t>
      </w:r>
    </w:p>
    <w:p>
      <w:pPr>
        <w:pStyle w:val="TextBody"/>
        <w:bidi w:val="0"/>
        <w:jc w:val="both"/>
      </w:pPr>
      <w:r>
        <w:t> </w:t>
      </w:r>
    </w:p>
    <w:tbl>
      <w:tblPr>
        <w:tblW w:w="9920" w:type="dxa"/>
        <w:jc w:val="left"/>
        <w:tblInd w:w="0" w:type="dxa"/>
        <w:tblLayout w:type="fixed"/>
        <w:tblCellMar>
          <w:top w:w="28" w:type="dxa"/>
          <w:left w:w="28" w:type="dxa"/>
          <w:bottom w:w="28" w:type="dxa"/>
          <w:right w:w="28" w:type="dxa"/>
        </w:tblCellMar>
      </w:tblPr>
      <w:tblGrid>
        <w:gridCol w:w="4832"/>
        <w:gridCol w:w="523"/>
        <w:gridCol w:w="586"/>
        <w:gridCol w:w="146"/>
        <w:gridCol w:w="586"/>
        <w:gridCol w:w="146"/>
        <w:gridCol w:w="796"/>
        <w:gridCol w:w="586"/>
        <w:gridCol w:w="146"/>
        <w:gridCol w:w="586"/>
        <w:gridCol w:w="146"/>
        <w:gridCol w:w="841"/>
      </w:tblGrid>
      <w:tr>
        <w:tc>
          <w:tcPr>
            <w:tcW w:w="48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0"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230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83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2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c>
          <w:tcPr>
            <w:tcW w:w="483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Depreciation</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software</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Internally developed</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c>
          <w:tcPr>
            <w:tcW w:w="4832"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Acquisition-related</w:t>
            </w:r>
          </w:p>
        </w:tc>
        <w:tc>
          <w:tcPr>
            <w:tcW w:w="52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c>
          <w:tcPr>
            <w:tcW w:w="48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amortization of software</w:t>
            </w:r>
          </w:p>
        </w:tc>
        <w:tc>
          <w:tcPr>
            <w:tcW w:w="5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c>
          <w:tcPr>
            <w:tcW w:w="535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other identifiable intangible assets</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bl>
    <w:p>
      <w:pPr>
        <w:pStyle w:val="TextBody"/>
        <w:bidi w:val="0"/>
        <w:jc w:val="left"/>
      </w:pPr>
      <w:r>
        <w:t>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Depreciation decreased in both periods, which reflected lower expense due to assets acquired in previous years becoming fully depreciated, partly offset by higher expense associated with newly acquired assets.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Total amortization of software increased in both periods due to product development, and, to a lesser extent, acquisitions.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Amortization of other identifiable intangible assets decreased slightly in both periods, which reflected lower expense due to assets acquired in previous years becoming fully amortized, partly offset by higher expense associated with recent acquisitions.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operating (losses) gains, net</w:t>
      </w:r>
    </w:p>
    <w:p>
      <w:pPr>
        <w:pStyle w:val="TextBody"/>
        <w:bidi w:val="0"/>
        <w:jc w:val="both"/>
      </w:pPr>
      <w:r>
        <w:t> </w:t>
      </w:r>
    </w:p>
    <w:tbl>
      <w:tblPr>
        <w:tblW w:w="8378" w:type="dxa"/>
        <w:jc w:val="left"/>
        <w:tblInd w:w="0" w:type="dxa"/>
        <w:tblLayout w:type="fixed"/>
        <w:tblCellMar>
          <w:top w:w="28" w:type="dxa"/>
          <w:left w:w="28" w:type="dxa"/>
          <w:bottom w:w="28" w:type="dxa"/>
          <w:right w:w="28" w:type="dxa"/>
        </w:tblCellMar>
      </w:tblPr>
      <w:tblGrid>
        <w:gridCol w:w="3691"/>
        <w:gridCol w:w="146"/>
        <w:gridCol w:w="994"/>
        <w:gridCol w:w="247"/>
        <w:gridCol w:w="994"/>
        <w:gridCol w:w="146"/>
        <w:gridCol w:w="929"/>
        <w:gridCol w:w="231"/>
        <w:gridCol w:w="1000"/>
      </w:tblGrid>
      <w:t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36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4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0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3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Other operating (losses) gains, net were $(1) million and $72 million in the third quarter and nine-month period of 2026, respectively. Other operating gains, net in the nine-month period primarily related to acquisitions and investments.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Other operating gains, net, were $160 million and $162 million in the third quarter and nine-month period of 2025, respectively. Both periods included a gain of $161 million on the sale of our company's remaining minority interest in Elite, an equity method investment.</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6</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interest expense</w:t>
      </w:r>
    </w:p>
    <w:p>
      <w:pPr>
        <w:pStyle w:val="TextBody"/>
        <w:bidi w:val="0"/>
        <w:jc w:val="both"/>
      </w:pPr>
      <w:r>
        <w:t> </w:t>
      </w:r>
    </w:p>
    <w:tbl>
      <w:tblPr>
        <w:tblW w:w="7423" w:type="dxa"/>
        <w:jc w:val="left"/>
        <w:tblInd w:w="0" w:type="dxa"/>
        <w:tblLayout w:type="fixed"/>
        <w:tblCellMar>
          <w:top w:w="28" w:type="dxa"/>
          <w:left w:w="28" w:type="dxa"/>
          <w:bottom w:w="28" w:type="dxa"/>
          <w:right w:w="28" w:type="dxa"/>
        </w:tblCellMar>
      </w:tblPr>
      <w:tblGrid>
        <w:gridCol w:w="2566"/>
        <w:gridCol w:w="146"/>
        <w:gridCol w:w="586"/>
        <w:gridCol w:w="146"/>
        <w:gridCol w:w="586"/>
        <w:gridCol w:w="146"/>
        <w:gridCol w:w="796"/>
        <w:gridCol w:w="146"/>
        <w:gridCol w:w="586"/>
        <w:gridCol w:w="146"/>
        <w:gridCol w:w="586"/>
        <w:gridCol w:w="146"/>
        <w:gridCol w:w="841"/>
      </w:tblGrid>
      <w:t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0"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30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interest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c>
          <w:tcPr>
            <w:tcW w:w="146" w:type="dxa"/>
            <w:tcBorders>
              <w:bottom w:val="single" w:sz="4" w:space="0" w:color="AFAFAF"/>
            </w:tcBorders>
            <w:shd w:fill="CFF0FC" w:val="clear"/>
            <w:tcMar>
              <w:top w:w="0" w:type="dxa"/>
              <w:left w:w="0" w:type="dxa"/>
              <w:right w:w="0" w:type="dxa"/>
            </w:tcMar>
            <w:vAlign w:val="center"/>
          </w:tcPr>
          <w:p>
            <w:pPr>
              <w:pStyle w:val="TableContents"/>
              <w:bidi w:val="0"/>
              <w:spacing w:before="0" w:after="283"/>
              <w:jc w:val="left"/>
            </w:pPr>
            <w:r>
              <w:t> </w:t>
            </w:r>
          </w:p>
        </w:tc>
        <w:tc>
          <w:tcPr>
            <w:tcW w:w="8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Net interest expense increased in both periods primarily due to higher interest expense from our commercial paper borrowings. See the "Liquidity and Capital Resources" section of the management's discussion and analysis for further information on our note issuances and repayments that occurred in 2026 and 2025.</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finance income (costs)</w:t>
      </w:r>
    </w:p>
    <w:p>
      <w:pPr>
        <w:pStyle w:val="TextBody"/>
        <w:bidi w:val="0"/>
        <w:jc w:val="both"/>
      </w:pPr>
      <w:r>
        <w:t> </w:t>
      </w:r>
    </w:p>
    <w:tbl>
      <w:tblPr>
        <w:tblW w:w="8057" w:type="dxa"/>
        <w:jc w:val="left"/>
        <w:tblInd w:w="0" w:type="dxa"/>
        <w:tblLayout w:type="fixed"/>
        <w:tblCellMar>
          <w:top w:w="28" w:type="dxa"/>
          <w:left w:w="28" w:type="dxa"/>
          <w:bottom w:w="28" w:type="dxa"/>
          <w:right w:w="28" w:type="dxa"/>
        </w:tblCellMar>
      </w:tblPr>
      <w:tblGrid>
        <w:gridCol w:w="3046"/>
        <w:gridCol w:w="146"/>
        <w:gridCol w:w="366"/>
        <w:gridCol w:w="567"/>
        <w:gridCol w:w="366"/>
        <w:gridCol w:w="366"/>
        <w:gridCol w:w="570"/>
        <w:gridCol w:w="146"/>
        <w:gridCol w:w="146"/>
        <w:gridCol w:w="228"/>
        <w:gridCol w:w="541"/>
        <w:gridCol w:w="228"/>
        <w:gridCol w:w="228"/>
        <w:gridCol w:w="228"/>
        <w:gridCol w:w="659"/>
        <w:gridCol w:w="226"/>
      </w:tblGrid>
      <w:t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30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11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22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30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33"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6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3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6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8"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28"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8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30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Other finance income (costs) compared to prior-year periods reflected lower foreign exchange impacts primarily due to a reduction of intercompany funding arrangements.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5682"/>
        <w:gridCol w:w="146"/>
        <w:gridCol w:w="1112"/>
        <w:gridCol w:w="1112"/>
        <w:gridCol w:w="925"/>
        <w:gridCol w:w="230"/>
        <w:gridCol w:w="998"/>
      </w:tblGrid>
      <w:tr>
        <w:tc>
          <w:tcPr>
            <w:tcW w:w="5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c>
          <w:tcPr>
            <w:tcW w:w="568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4"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2153"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68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1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92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0"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6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1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9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2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Share of post-tax losses in equity method investments were not significant in all periods.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expense</w:t>
      </w:r>
    </w:p>
    <w:tbl>
      <w:tblPr>
        <w:tblW w:w="7394" w:type="dxa"/>
        <w:jc w:val="left"/>
        <w:tblInd w:w="0" w:type="dxa"/>
        <w:tblLayout w:type="fixed"/>
        <w:tblCellMar>
          <w:top w:w="28" w:type="dxa"/>
          <w:left w:w="28" w:type="dxa"/>
          <w:bottom w:w="28" w:type="dxa"/>
          <w:right w:w="28" w:type="dxa"/>
        </w:tblCellMar>
      </w:tblPr>
      <w:tblGrid>
        <w:gridCol w:w="2566"/>
        <w:gridCol w:w="146"/>
        <w:gridCol w:w="233"/>
        <w:gridCol w:w="554"/>
        <w:gridCol w:w="233"/>
        <w:gridCol w:w="233"/>
        <w:gridCol w:w="233"/>
        <w:gridCol w:w="746"/>
        <w:gridCol w:w="146"/>
        <w:gridCol w:w="225"/>
        <w:gridCol w:w="719"/>
        <w:gridCol w:w="225"/>
        <w:gridCol w:w="225"/>
        <w:gridCol w:w="719"/>
        <w:gridCol w:w="191"/>
      </w:tblGrid>
      <w:t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13"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8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7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4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5"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4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Tax expense was $59 million and $235 million in the third quarter and nine-month period of 2026, and $109 million and $230 million in the third quarter and nine-month period of 2025, respectively. Tax expense in each period reflected the mix of taxing jurisdictions in which pre-tax profits and losses were recognized. Tax expense or benefit in interim periods is not necessarily indicative of the tax expense or benefit for the full year because the geographical mix of pre-tax profits and losses in interim periods may be different from that for the full year.</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The comparability of our tax expense was impacted by various transactions and accounting adjustments during each period. The following table sets forth certain components within income tax expense that impact comparability from period to period: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47"/>
        <w:gridCol w:w="546"/>
        <w:gridCol w:w="237"/>
        <w:gridCol w:w="678"/>
        <w:gridCol w:w="291"/>
        <w:gridCol w:w="237"/>
        <w:gridCol w:w="678"/>
        <w:gridCol w:w="181"/>
        <w:gridCol w:w="146"/>
        <w:gridCol w:w="205"/>
        <w:gridCol w:w="585"/>
        <w:gridCol w:w="251"/>
        <w:gridCol w:w="202"/>
        <w:gridCol w:w="205"/>
        <w:gridCol w:w="585"/>
        <w:gridCol w:w="231"/>
      </w:tblGrid>
      <w:tr>
        <w:tc>
          <w:tcPr>
            <w:tcW w:w="49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4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1"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81"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033"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231"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494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1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9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1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494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(Benefit)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4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items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4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pPr>
            <w:r>
              <w:rPr>
                <w:color w:val="404040"/>
              </w:rPr>
              <w:t>   </w:t>
            </w:r>
            <w:r>
              <w:rPr>
                <w:rFonts w:ascii="Clario;sans-serif" w:hAnsi="Clario;sans-serif"/>
                <w:color w:val="404040"/>
                <w:sz w:val="18"/>
              </w:rPr>
              <w:t>Corporate tax laws and rates</w:t>
            </w:r>
            <w:r>
              <w:rPr>
                <w:rFonts w:ascii="Clario;sans-serif" w:hAnsi="Clario;sans-serif"/>
                <w:color w:val="404040"/>
                <w:sz w:val="12"/>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7"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pPr>
            <w:r>
              <w:rPr>
                <w:color w:val="404040"/>
              </w:rPr>
              <w:t>   </w:t>
            </w:r>
            <w:r>
              <w:rPr>
                <w:rFonts w:ascii="Clario;sans-serif" w:hAnsi="Clario;sans-serif"/>
                <w:color w:val="404040"/>
                <w:sz w:val="18"/>
              </w:rPr>
              <w:t>Adjustments related to prior years</w:t>
            </w:r>
            <w:r>
              <w:rPr>
                <w:rFonts w:ascii="Clario;sans-serif" w:hAnsi="Clario;sans-serif"/>
                <w:color w:val="404040"/>
                <w:sz w:val="12"/>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7"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0" w:right="0" w:firstLine="200"/>
              <w:jc w:val="left"/>
            </w:pPr>
            <w:r>
              <w:rPr>
                <w:color w:val="404040"/>
              </w:rPr>
              <w:t>   </w:t>
            </w:r>
            <w:r>
              <w:rPr>
                <w:rFonts w:ascii="Clario;sans-serif" w:hAnsi="Clario;sans-serif"/>
                <w:color w:val="404040"/>
                <w:sz w:val="18"/>
              </w:rPr>
              <w:t>Deferred tax adjustments</w:t>
            </w:r>
            <w:r>
              <w:rPr>
                <w:rFonts w:ascii="Clario;sans-serif" w:hAnsi="Clario;sans-serif"/>
                <w:color w:val="404040"/>
                <w:sz w:val="12"/>
              </w:rPr>
              <w:t>(3)</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pPr>
            <w:r>
              <w:t> </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pPr>
            <w:r>
              <w:t> </w:t>
            </w:r>
          </w:p>
        </w:tc>
        <w:tc>
          <w:tcPr>
            <w:tcW w:w="2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related to:</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acquired software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other identifiable intangible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operating (losses) gains, net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finance income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Share of post-tax losses in equity method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items</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pPr>
            <w:r>
              <w:t> </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pPr>
            <w:r>
              <w:t> </w:t>
            </w:r>
          </w:p>
        </w:tc>
        <w:tc>
          <w:tcPr>
            <w:tcW w:w="2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c>
          <w:tcPr>
            <w:tcW w:w="4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w:t>
            </w:r>
          </w:p>
        </w:tc>
        <w:tc>
          <w:tcPr>
            <w:tcW w:w="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Relates primarily to adjustments to deferred tax balances due to changes in the applicable statutory tax rate in a jurisdiction outside of the U.S.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Change in estimate pertaining to the effective tax rate applicable to certain foreign-source income earned by U.S. affiliates.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(3)</w:t>
      </w:r>
    </w:p>
    <w:p>
      <w:pPr>
        <w:pStyle w:val="TextBody"/>
        <w:bidi w:val="0"/>
        <w:jc w:val="left"/>
        <w:rPr>
          <w:rFonts w:ascii="Clario;sans-serif" w:hAnsi="Clario;sans-serif"/>
          <w:color w:val="404040"/>
          <w:sz w:val="16"/>
        </w:rPr>
      </w:pPr>
      <w:r>
        <w:rPr>
          <w:rFonts w:ascii="Clario;sans-serif" w:hAnsi="Clario;sans-serif"/>
          <w:color w:val="404040"/>
          <w:sz w:val="16"/>
        </w:rPr>
        <w:t>Relates primarily to adjustments resulting from foreign exchange movements where functional currencies differ from those used for local tax filings.</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7</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items described above impact the comparability of our tax expense or benefit for each period, therefore, we remove them from our calculation of adjusted earnings, along with the pre-tax items to which they relate. The computation of our adjusted tax expense is set forth below:</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21"/>
        <w:gridCol w:w="546"/>
        <w:gridCol w:w="233"/>
        <w:gridCol w:w="496"/>
        <w:gridCol w:w="208"/>
        <w:gridCol w:w="208"/>
        <w:gridCol w:w="208"/>
        <w:gridCol w:w="666"/>
        <w:gridCol w:w="181"/>
        <w:gridCol w:w="546"/>
        <w:gridCol w:w="546"/>
        <w:gridCol w:w="183"/>
        <w:gridCol w:w="586"/>
        <w:gridCol w:w="227"/>
        <w:gridCol w:w="183"/>
        <w:gridCol w:w="183"/>
        <w:gridCol w:w="586"/>
        <w:gridCol w:w="198"/>
      </w:tblGrid>
      <w:tr>
        <w:tc>
          <w:tcPr>
            <w:tcW w:w="42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19"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81"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948"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198"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422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2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8"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7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6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6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8"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Remove: Items from above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adjustment: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7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221"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ind w:left="0" w:right="0" w:firstLine="400"/>
              <w:jc w:val="left"/>
            </w:pPr>
            <w:r>
              <w:rPr>
                <w:color w:val="404040"/>
              </w:rPr>
              <w:t>     </w:t>
            </w:r>
            <w:r>
              <w:rPr>
                <w:rFonts w:ascii="Clario;sans-serif" w:hAnsi="Clario;sans-serif"/>
                <w:color w:val="404040"/>
                <w:sz w:val="18"/>
              </w:rPr>
              <w:t>Interim period effective tax rate normalization</w:t>
            </w:r>
            <w:r>
              <w:rPr>
                <w:rFonts w:ascii="Clario;sans-serif" w:hAnsi="Clario;sans-serif"/>
                <w:color w:val="404040"/>
                <w:sz w:val="12"/>
              </w:rPr>
              <w:t>(1)</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right"/>
            </w:pPr>
            <w:r>
              <w:t> </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pPr>
            <w:r>
              <w:t> </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r>
      <w:tr>
        <w:tc>
          <w:tcPr>
            <w:tcW w:w="42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tax expense on adjusted earnings</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c>
          <w:tcPr>
            <w:tcW w:w="1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271</w:t>
            </w:r>
          </w:p>
        </w:tc>
        <w:tc>
          <w:tcPr>
            <w:tcW w:w="1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pBdr/>
        <w:bidi w:val="0"/>
        <w:ind w:left="0" w:right="0" w:hanging="360"/>
        <w:jc w:val="left"/>
        <w:rPr>
          <w:rFonts w:ascii="Clario;sans-serif" w:hAnsi="Clario;sans-serif"/>
          <w:color w:val="404040"/>
          <w:sz w:val="16"/>
        </w:rPr>
      </w:pPr>
      <w:r>
        <w:rPr>
          <w:rFonts w:ascii="Clario;sans-serif" w:hAnsi="Clario;sans-serif"/>
          <w:color w:val="404040"/>
          <w:sz w:val="16"/>
        </w:rPr>
        <w:t>(1) Adjustment to reflect income taxes based on estimated full-year effective tax rates. Earnings or losses for interim periods under IFRS generally reflect income taxes based on the estimated effective tax rates of each of the jurisdictions in which we operate. The non-IFRS adjustment reallocates estimated full-year income taxes between interim periods, but has no effect on full-year income taxes.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Results of discontinued operations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233"/>
        <w:gridCol w:w="146"/>
        <w:gridCol w:w="254"/>
        <w:gridCol w:w="605"/>
        <w:gridCol w:w="254"/>
        <w:gridCol w:w="254"/>
        <w:gridCol w:w="254"/>
        <w:gridCol w:w="605"/>
        <w:gridCol w:w="146"/>
        <w:gridCol w:w="146"/>
        <w:gridCol w:w="202"/>
        <w:gridCol w:w="649"/>
        <w:gridCol w:w="202"/>
        <w:gridCol w:w="202"/>
        <w:gridCol w:w="202"/>
        <w:gridCol w:w="649"/>
        <w:gridCol w:w="202"/>
      </w:tblGrid>
      <w:tr>
        <w:tc>
          <w:tcPr>
            <w:tcW w:w="5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5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6"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106"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202"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523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4"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54"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0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5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discontinued operations, net of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2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0" w:after="12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The Global Print business has been classified as discontinued operations in the third quarter of 2026 and will no longer be presented as a reportable segment. Prior-year period amounts have been revised to reflect this change. Refer to the "Global Print Transaction" subsection within the "Executive Summary - Financial Highlights" section of this management's discussion and analysis for additional information.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Earnings from discontinued operations were lower in both periods due to lower earnings in the Global Print business and net impact of earnings and losses relating to a tax indemnity due to changes in foreign exchange and interest rates associated with the indemnifying party’s credit profile. The nine-month period of 2026 also included losses recognized from the resolution of a tax dispute on a portion of the receivable balance from LSEG relating to the tax indemnity.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earnings, diluted EPS, adjusted earnings and adjusted EPS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3371"/>
        <w:gridCol w:w="146"/>
        <w:gridCol w:w="661"/>
        <w:gridCol w:w="146"/>
        <w:gridCol w:w="646"/>
        <w:gridCol w:w="146"/>
        <w:gridCol w:w="603"/>
        <w:gridCol w:w="146"/>
        <w:gridCol w:w="931"/>
        <w:gridCol w:w="146"/>
        <w:gridCol w:w="661"/>
        <w:gridCol w:w="146"/>
        <w:gridCol w:w="646"/>
        <w:gridCol w:w="146"/>
        <w:gridCol w:w="541"/>
        <w:gridCol w:w="146"/>
        <w:gridCol w:w="977"/>
      </w:tblGrid>
      <w:t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79"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263"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3371"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680"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664"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337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7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3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 EPS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3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Non-IFRS Financial Measures</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33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EPS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bl>
    <w:p>
      <w:pPr>
        <w:pStyle w:val="TextBody"/>
        <w:bidi w:val="0"/>
        <w:jc w:val="both"/>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Net earnings and diluted EPS decreased in the third quarter primarily due to lower operating profit, partly offset by lower income tax expense. Net earnings and diluted EPS increased in the nine-month period primarily due to higher operating profit.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Adjusted earnings and adjusted EPS increased in both periods primarily due to higher adjusted EBITDA, partly offset by higher amortization of internally developed software and higher net interest expense.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Diluted and adjusted EPS in both periods benefited from a reduction in weighted-average common shares outstanding due to our return of capital transaction and share repurchases under our share repurchase program.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8</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Segment results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is a discussion of our four reportable segments and our Corporate Center for the three and nine months ended September 30, 2026. We assess revenue growth for each segment, as well as the businesses within each segment, on a total, constant currency and an organic basis. See Appendix A of this management’s discussion and analysis for additional information on our non-IFRS financial measures.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Legal Professionals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425"/>
        <w:gridCol w:w="641"/>
        <w:gridCol w:w="629"/>
        <w:gridCol w:w="715"/>
        <w:gridCol w:w="931"/>
        <w:gridCol w:w="811"/>
        <w:gridCol w:w="146"/>
        <w:gridCol w:w="685"/>
        <w:gridCol w:w="146"/>
        <w:gridCol w:w="664"/>
        <w:gridCol w:w="621"/>
        <w:gridCol w:w="931"/>
        <w:gridCol w:w="860"/>
      </w:tblGrid>
      <w:tr>
        <w:tc>
          <w:tcPr>
            <w:tcW w:w="242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c>
          <w:tcPr>
            <w:tcW w:w="2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907"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425"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457"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pPr>
            <w:r>
              <w:t> </w:t>
            </w:r>
          </w:p>
        </w:tc>
        <w:tc>
          <w:tcPr>
            <w:tcW w:w="6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4"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412"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42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6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1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6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768</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703</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2,057</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24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7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86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c>
          <w:tcPr>
            <w:tcW w:w="242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788</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2,113</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242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368</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4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46.6%</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7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(240)bp</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(250)bp</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6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48.6%</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(90)bp</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(100)bp</w:t>
            </w:r>
          </w:p>
        </w:tc>
        <w:tc>
          <w:tcPr>
            <w:tcW w:w="86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Revenues increased in total, in constant currency, and on an organic basis in both periods. In the third quarter, revenues increased 9% on an organic basis due to 9% growth in recurring revenues (97% of the Legal Professionals segment revenues in the quarter) primarily driven by Westlaw and CoCounsel Legal and 20% growth in transactions revenues primarily driven by CLEAR. In the nine-month period, organic revenue growth of 9% was due to 9% growth in recurring revenues and 12% growth in transactions revenues driven substantially by the same products as in the third quarter.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Segment adjusted EBITDA increased 4% in the third quarter and 7% in the nine-month period. The related margin decreased 240bp to 46.6% in the third quarter and decreased 90bp to 47.7% in the nine-month period. Both periods reflected the impact of higher revenues offset by higher technology and other costs. Foreign currency benefited the year-over-year change in segment adjusted EBITDA margin by 10bp in both periods.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Corporates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407"/>
        <w:gridCol w:w="640"/>
        <w:gridCol w:w="146"/>
        <w:gridCol w:w="628"/>
        <w:gridCol w:w="619"/>
        <w:gridCol w:w="211"/>
        <w:gridCol w:w="726"/>
        <w:gridCol w:w="240"/>
        <w:gridCol w:w="571"/>
        <w:gridCol w:w="146"/>
        <w:gridCol w:w="685"/>
        <w:gridCol w:w="146"/>
        <w:gridCol w:w="664"/>
        <w:gridCol w:w="586"/>
        <w:gridCol w:w="185"/>
        <w:gridCol w:w="746"/>
        <w:gridCol w:w="232"/>
        <w:gridCol w:w="627"/>
      </w:tblGrid>
      <w:tr>
        <w:tc>
          <w:tcPr>
            <w:tcW w:w="240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871"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407"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367"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pPr>
            <w:r>
              <w:t> </w:t>
            </w:r>
          </w:p>
        </w:tc>
        <w:tc>
          <w:tcPr>
            <w:tcW w:w="6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376"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40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433</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24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6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256</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1,517</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4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w:t>
            </w:r>
          </w:p>
        </w:tc>
        <w:tc>
          <w:tcPr>
            <w:tcW w:w="6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6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Revenues increased in total, in constant currency, and on an organic basis in both periods. Revenues increased 10% on an organic basis in both periods due to growth in recurring (86% of the Corporates segment revenues in the quarter) and transactions revenues. Organic recurring revenue growth of 8% in both periods was driven substantially by CoCounsel Legal, Pagero, CLEAR and the segment’s international businesses. Organic transactions revenue growth of 23% in the third quarter and 18% in the nine-month period was led by Pagero, Indirect Tax, Additive and the segment’s international businesses. Confirmation also contributed to revenue growth in the nine-month period.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Segment adjusted EBITDA increased 11% in the third quarter and 14% in the nine-month period. The related margin decreased 10bp to 36.2% in the third quarter. In the nine-month period, the related margin increased 70bp to 37.9% due to higher operating leverage. Foreign currency benefited the year-over-year change in segment adjusted EBITDA margin by 30bp in the third quarter and negatively impacted segment adjusted EBITDA margin by 10bp in the nine-month period.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9</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356"/>
        <w:gridCol w:w="637"/>
        <w:gridCol w:w="146"/>
        <w:gridCol w:w="625"/>
        <w:gridCol w:w="614"/>
        <w:gridCol w:w="211"/>
        <w:gridCol w:w="726"/>
        <w:gridCol w:w="240"/>
        <w:gridCol w:w="571"/>
        <w:gridCol w:w="146"/>
        <w:gridCol w:w="637"/>
        <w:gridCol w:w="146"/>
        <w:gridCol w:w="625"/>
        <w:gridCol w:w="707"/>
        <w:gridCol w:w="146"/>
        <w:gridCol w:w="811"/>
        <w:gridCol w:w="232"/>
        <w:gridCol w:w="629"/>
      </w:tblGrid>
      <w:tr>
        <w:tc>
          <w:tcPr>
            <w:tcW w:w="235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933"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35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362"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pPr>
            <w:r>
              <w:t> </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525"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35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3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5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571</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3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6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3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308</w:t>
            </w:r>
          </w:p>
        </w:tc>
        <w:tc>
          <w:tcPr>
            <w:tcW w:w="7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879</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3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30.6%</w:t>
            </w:r>
          </w:p>
        </w:tc>
        <w:tc>
          <w:tcPr>
            <w:tcW w:w="6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3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7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6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Revenues increased on a total and constant currency basis in both periods. In the nine-month period, the impact of the SafeSend acquisition in 2025 also contributed to total and transactions revenue growth. In both periods, revenues increased 10% on an organic basis due to growth in recurring revenues (73% of the Tax, Audit &amp; Accounting Professionals segment revenues in the quarter) and transactions revenues. Organic recurring revenue growth of 10% in both periods was primarily driven by tax and audit products, which include GoSystem and CoCounsel Tax, Audit &amp; Accounting, Cloud Audit Suite, and the segment’s Latin America business. Organic transactions revenue growth of 11% in the third quarter and 9% in the nine-month period was led by SafeSend, SurePrep and Additive. UltraTax also contributed to revenue growth in the nine-month period.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Segment adjusted EBITDA increased 10% in the third quarter and 8% in the nine-month period. The related margin decreased 40bp to 30.2% in the third quarter and decreased 140bp to 42.5% in the nine-month period. Both periods reflected the impact of higher revenues offset by higher technology and other costs. Foreign currency benefited the year-over-year change in segment adjusted EBITDA margin by 30bp in the third quarter and negatively impacted segment adjusted EBITDA margin by 10bp in the nine-month period.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Reuters</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2407"/>
        <w:gridCol w:w="640"/>
        <w:gridCol w:w="146"/>
        <w:gridCol w:w="628"/>
        <w:gridCol w:w="706"/>
        <w:gridCol w:w="159"/>
        <w:gridCol w:w="772"/>
        <w:gridCol w:w="240"/>
        <w:gridCol w:w="571"/>
        <w:gridCol w:w="146"/>
        <w:gridCol w:w="640"/>
        <w:gridCol w:w="146"/>
        <w:gridCol w:w="628"/>
        <w:gridCol w:w="586"/>
        <w:gridCol w:w="159"/>
        <w:gridCol w:w="772"/>
        <w:gridCol w:w="232"/>
        <w:gridCol w:w="627"/>
      </w:tblGrid>
      <w:tr>
        <w:tc>
          <w:tcPr>
            <w:tcW w:w="240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379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2407"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448"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14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pPr>
            <w:r>
              <w:t> </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376"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240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1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c>
          <w:tcPr>
            <w:tcW w:w="24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7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6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6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r>
      <w:tr>
        <w:tc>
          <w:tcPr>
            <w:tcW w:w="24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c>
          <w:tcPr>
            <w:tcW w:w="24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4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19.9%</w:t>
            </w:r>
          </w:p>
        </w:tc>
        <w:tc>
          <w:tcPr>
            <w:tcW w:w="7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450bp</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6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Revenues increased in total, in constant currency, and on an organic basis in both periods primarily due to higher generative AI content licensing revenues which were largely transactional in nature, higher Agency and Professional revenues, and a contractual price increase from our news agreement with the Data &amp; Analytics business of LSEG.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Reuters and the Data &amp; Analytics business of LSEG have an agreement pursuant to which Reuters supplies news and information services to LSEG through October 1, 2048. In the first nine months of 2026, Reuters recorded revenues of $311 million under this agreement, compared to $298 million in the prior-year period.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increased 37% and related margin increased 440bp to 24.3% in the third quarter primarily driven by higher transactions revenues. In the nine-month period, segment adjusted EBITDA increased 10% and the related margin increased 30bp to 20.5% due to the net impact of revenues and expenses. Foreign currency negatively impacted the year-over-year change in segment adjusted EBITDA margin by 10bp and 90bp in the third quarter and nine-month period, respectively.</w:t>
      </w:r>
    </w:p>
    <w:p>
      <w:pPr>
        <w:pStyle w:val="TextBody"/>
        <w:bidi w:val="0"/>
        <w:spacing w:before="100" w:after="283"/>
        <w:jc w:val="both"/>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10</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Corporate Center</w:t>
      </w:r>
    </w:p>
    <w:p>
      <w:pPr>
        <w:pStyle w:val="TextBody"/>
        <w:bidi w:val="0"/>
        <w:jc w:val="both"/>
      </w:pPr>
      <w:r>
        <w:t> </w:t>
      </w:r>
    </w:p>
    <w:tbl>
      <w:tblPr>
        <w:tblW w:w="7685" w:type="dxa"/>
        <w:jc w:val="left"/>
        <w:tblInd w:w="0" w:type="dxa"/>
        <w:tblLayout w:type="fixed"/>
        <w:tblCellMar>
          <w:top w:w="28" w:type="dxa"/>
          <w:left w:w="28" w:type="dxa"/>
          <w:bottom w:w="28" w:type="dxa"/>
          <w:right w:w="28" w:type="dxa"/>
        </w:tblCellMar>
      </w:tblPr>
      <w:tblGrid>
        <w:gridCol w:w="2566"/>
        <w:gridCol w:w="146"/>
        <w:gridCol w:w="146"/>
        <w:gridCol w:w="255"/>
        <w:gridCol w:w="606"/>
        <w:gridCol w:w="255"/>
        <w:gridCol w:w="255"/>
        <w:gridCol w:w="255"/>
        <w:gridCol w:w="606"/>
        <w:gridCol w:w="146"/>
        <w:gridCol w:w="146"/>
        <w:gridCol w:w="203"/>
        <w:gridCol w:w="650"/>
        <w:gridCol w:w="203"/>
        <w:gridCol w:w="203"/>
        <w:gridCol w:w="203"/>
        <w:gridCol w:w="650"/>
        <w:gridCol w:w="191"/>
      </w:tblGrid>
      <w:t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112" w:type="dxa"/>
            <w:gridSpan w:val="6"/>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r>
      <w:t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5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6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3"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3"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0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53"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Corporate Center</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2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Corporate Center results decreased in both periods primarily due to lower costs, including content and editorial costs, related to Global Print.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Corporate Center, which was previously called Corporate costs, includes expenses for centrally managed functions, as well as certain content and editorial costs associated with our former Global Print business. Refer to the "Global Print Transaction" subsection within the "Executive Summary - Financial Highlights" section of this management's discussion and analysis for additional information.</w:t>
      </w:r>
    </w:p>
    <w:p>
      <w:pPr>
        <w:pStyle w:val="TextBody"/>
        <w:bidi w:val="0"/>
        <w:spacing w:before="100" w:after="283"/>
        <w:jc w:val="left"/>
        <w:rPr>
          <w:rFonts w:ascii="Clario;sans-serif" w:hAnsi="Clario;sans-serif"/>
          <w:b/>
          <w:color w:val="404040"/>
          <w:sz w:val="24"/>
        </w:rPr>
      </w:pPr>
      <w:r>
        <w:rPr>
          <w:rFonts w:ascii="Clario;sans-serif" w:hAnsi="Clario;sans-serif"/>
          <w:b/>
          <w:color w:val="404040"/>
          <w:sz w:val="24"/>
        </w:rPr>
        <w:t>Liquidity and Capital Resources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continue to maintain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We have diverse sources of liquidity to support our ongoing operations and the achievement of our disciplined capital strategy including cash and cash equivalents, cash provided by operating activities, and the ability to issue commercial paper, issue debt securities and borrow under our credit facility. Our principal uses of cash are for debt repayments, debt servicing costs, dividend payments, capital expenditures, share repurchases and acquisitions.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In the first nine months of 2026, we received approximately $2.0 billion of net proceeds, in aggregate, from a U.S. public offering of $1.3 billion notes and Canadian private placement of C$1.0 billion notes, which were swapped to $0.7 billion. We used the net proceeds for general corporate purposes, including the repayment of borrowings under our commercial paper program. We spent $261 million on acquisitions, which substantially related to Noetica, Inc., a New York-based AI-native start-up that transforms transaction-deal data into structured market intelligence for deal professionals, repaid our $500 million 3.35% notes upon maturity, and returned $2,034 million to our common shareholders. Returns to common shareholders consisted of: (i) the repurchase of 6.2 million of our common shares for $600 million to complete our February 2026 plan to repurchase up to $600 million of our common shares under an amended Normal Course Issuer Bid (NCIB) approved by the TSX; (ii) $829 million in dividends to our common shareholders; and (iii) $605 million from return of capital and share consolidation transactions, which consisted of a special cash distribution of $1.435518 per participating common share and a share consolidation, or "reverse stock split", that reduced the number of outstanding common shares by approximately 6.5 million. Refer to the "Share repurchases – NCIB" and "Return of capital and share consolidation transactions" subsections below for additional information.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Our capital strategy approach has provided us with a strong capital structure and liquidity position, which enables us to pursue organic and inorganic opportunities in key growth segments and drive shareholder returns. Our disciplined approach and highly recurring cash generative business model have allowed us to weather economic volatility in recent years caused by macroeconomic and geopolitical factors, while continuing to invest in our business.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expect that the operating leverage of our business will increase our free cash flow if we increase revenues as contemplated by our outlook. We continue to target: (i) a leverage ratio of 2.5x net debt to adjusted EBITDA; (ii) a payout of 50% to 60% of our expected free cash flow as dividends to our shareholders; (iii) a return of at least 75% of our annual free cash flow to our shareholders in the form of dividends and share repurchases; and (iv) a return on invested capital (ROIC) that is double or more of our weighted-average cost of capital over time.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As of September 30, 2026, we had $1,394 million of cash and cash equivalents, and a net debt to adjusted EBITDA leverage ratio of 1.0:1, below our target leverage ratio of 2.5:1. As calculated under our credit facility covenant, our net debt to EBITDA leverage ratio as of September 30, 2026 was 0.9:1, which is also below the maximum leverage ratio allowed under the credit facility of 4.5:1. Our next scheduled debt repayment is in September 2028, when our $800 million 5.1% notes are due to mature.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We believe that our existing sources of liquidity will be sufficient to fund our expected cash requirements in the normal course of business for the next 12 months. </w:t>
      </w:r>
    </w:p>
    <w:p>
      <w:pPr>
        <w:pStyle w:val="TextBody"/>
        <w:bidi w:val="0"/>
        <w:spacing w:before="100" w:after="283"/>
        <w:jc w:val="left"/>
        <w:rPr>
          <w:rFonts w:ascii="Clario;sans-serif" w:hAnsi="Clario;sans-serif"/>
          <w:sz w:val="18"/>
        </w:rPr>
      </w:pPr>
      <w:r>
        <w:rPr>
          <w:rFonts w:ascii="Clario;sans-serif" w:hAnsi="Clario;sans-serif"/>
          <w:i/>
          <w:color w:val="404040"/>
          <w:sz w:val="18"/>
        </w:rPr>
        <w:t>Certain information above in this section is forward-looking and should be read in conjunction with the section entitled “Additional Information - Cautionary Note Concerning Factors That May Affect Future Results”.</w:t>
      </w:r>
      <w:r>
        <w:rPr>
          <w:rFonts w:ascii="Clario;sans-serif" w:hAnsi="Clario;sans-serif"/>
          <w:color w:val="404040"/>
          <w:sz w:val="18"/>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11</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Cash flow</w:t>
      </w:r>
    </w:p>
    <w:p>
      <w:pPr>
        <w:pStyle w:val="TextBody"/>
        <w:bidi w:val="0"/>
        <w:spacing w:before="100" w:after="283"/>
        <w:jc w:val="both"/>
        <w:rPr>
          <w:rFonts w:ascii="Clario;sans-serif" w:hAnsi="Clario;sans-serif"/>
          <w:sz w:val="18"/>
        </w:rPr>
      </w:pPr>
      <w:r>
        <w:rPr>
          <w:rFonts w:ascii="Clario;sans-serif" w:hAnsi="Clario;sans-serif"/>
          <w:b/>
          <w:color w:val="404040"/>
          <w:sz w:val="18"/>
        </w:rPr>
        <w:t>Summary of consolidated statement of cash flow</w:t>
      </w:r>
      <w:r>
        <w:rPr>
          <w:rFonts w:ascii="Clario;sans-serif" w:hAnsi="Clario;sans-serif"/>
          <w:color w:val="404040"/>
          <w:sz w:val="18"/>
        </w:rPr>
        <w:t xml:space="preserve"> </w:t>
      </w:r>
    </w:p>
    <w:p>
      <w:pPr>
        <w:pStyle w:val="TextBody"/>
        <w:bidi w:val="0"/>
        <w:jc w:val="both"/>
      </w:pPr>
      <w:r>
        <w:t> </w:t>
      </w:r>
    </w:p>
    <w:tbl>
      <w:tblPr>
        <w:tblW w:w="10205" w:type="dxa"/>
        <w:jc w:val="left"/>
        <w:tblInd w:w="0" w:type="dxa"/>
        <w:tblLayout w:type="fixed"/>
        <w:tblCellMar>
          <w:top w:w="28" w:type="dxa"/>
          <w:left w:w="28" w:type="dxa"/>
          <w:bottom w:w="28" w:type="dxa"/>
          <w:right w:w="28" w:type="dxa"/>
        </w:tblCellMar>
      </w:tblPr>
      <w:tblGrid>
        <w:gridCol w:w="4615"/>
        <w:gridCol w:w="146"/>
        <w:gridCol w:w="661"/>
        <w:gridCol w:w="146"/>
        <w:gridCol w:w="610"/>
        <w:gridCol w:w="146"/>
        <w:gridCol w:w="976"/>
        <w:gridCol w:w="146"/>
        <w:gridCol w:w="661"/>
        <w:gridCol w:w="146"/>
        <w:gridCol w:w="783"/>
        <w:gridCol w:w="146"/>
        <w:gridCol w:w="1023"/>
      </w:tblGrid>
      <w:tr>
        <w:tc>
          <w:tcPr>
            <w:tcW w:w="4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c>
          <w:tcPr>
            <w:tcW w:w="46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39"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759"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61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1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 Change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78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2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 Change</w:t>
            </w:r>
          </w:p>
        </w:tc>
      </w:tr>
      <w:tr>
        <w:tc>
          <w:tcPr>
            <w:tcW w:w="461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w:t>
            </w:r>
          </w:p>
        </w:tc>
      </w:tr>
      <w:tr>
        <w:tc>
          <w:tcPr>
            <w:tcW w:w="46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318</w:t>
            </w:r>
          </w:p>
        </w:tc>
      </w:tr>
      <w:tr>
        <w:tc>
          <w:tcPr>
            <w:tcW w:w="461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1,790</w:t>
            </w:r>
          </w:p>
        </w:tc>
      </w:tr>
      <w:tr>
        <w:tc>
          <w:tcPr>
            <w:tcW w:w="46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Translation adjustments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461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2,233</w:t>
            </w:r>
          </w:p>
        </w:tc>
      </w:tr>
      <w:tr>
        <w:tc>
          <w:tcPr>
            <w:tcW w:w="46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beginning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r>
      <w:tr>
        <w:tc>
          <w:tcPr>
            <w:tcW w:w="46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end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776</w:t>
            </w:r>
          </w:p>
        </w:tc>
      </w:tr>
      <w:tr>
        <w:tc>
          <w:tcPr>
            <w:tcW w:w="4615"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Non-IFRS Financial Measure</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6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1,467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98</w:t>
            </w:r>
          </w:p>
        </w:tc>
      </w:tr>
    </w:tbl>
    <w:p>
      <w:pPr>
        <w:pStyle w:val="TextBody"/>
        <w:bidi w:val="0"/>
        <w:jc w:val="both"/>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spacing w:before="120" w:after="120"/>
        <w:jc w:val="left"/>
        <w:rPr>
          <w:rFonts w:ascii="Clario;sans-serif" w:hAnsi="Clario;sans-serif"/>
          <w:sz w:val="18"/>
        </w:rPr>
      </w:pPr>
      <w:r>
        <w:rPr>
          <w:rFonts w:ascii="Clario;sans-serif" w:hAnsi="Clario;sans-serif"/>
          <w:b/>
          <w:color w:val="404040"/>
          <w:sz w:val="18"/>
        </w:rPr>
        <w:t xml:space="preserve">Operating activities. </w:t>
      </w:r>
      <w:r>
        <w:rPr>
          <w:rFonts w:ascii="Clario;sans-serif" w:hAnsi="Clario;sans-serif"/>
          <w:color w:val="404040"/>
          <w:sz w:val="18"/>
        </w:rPr>
        <w:t>Net cash provided by operating activities decreased by $105 million in the third quarter as cash benefits from the net impact of higher revenues and operating expenses were more than offset by certain unfavorable changes in working capital and higher income tax payments. In the nine-month period, net cash provided by operating activities increased by $129 million as the cash benefits from the net impact of higher revenues and operating expenses were partly offset by certain unfavorable changes in working capital and higher income tax payments.</w:t>
      </w:r>
    </w:p>
    <w:p>
      <w:pPr>
        <w:pStyle w:val="TextBody"/>
        <w:bidi w:val="0"/>
        <w:jc w:val="left"/>
        <w:rPr>
          <w:rFonts w:ascii="Clario;sans-serif" w:hAnsi="Clario;sans-serif"/>
          <w:sz w:val="18"/>
        </w:rPr>
      </w:pPr>
      <w:r>
        <w:rPr>
          <w:rFonts w:ascii="Clario;sans-serif" w:hAnsi="Clario;sans-serif"/>
          <w:b/>
          <w:color w:val="404040"/>
          <w:sz w:val="18"/>
        </w:rPr>
        <w:t xml:space="preserve">Investing activities. </w:t>
      </w:r>
      <w:r>
        <w:rPr>
          <w:rFonts w:ascii="Clario;sans-serif" w:hAnsi="Clario;sans-serif"/>
          <w:color w:val="404040"/>
          <w:sz w:val="18"/>
        </w:rPr>
        <w:t>Net cash used in investing activities of $188 million and $761 million in the third quarter and nine-month period of 2026 included $176 million and $508 million of capital expenditures, and $13 million and $261 million of acquisition spend, respectively. In the nine-month period, acquisition spend primarily included our acquisition of Noetica in February 2026.</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Net cash used in investing activities of $141 million and $1,079 million in the third quarter and nine-month period of 2025, respectively, primarily included $161 million and $475 million of capital expenditures and $193 million and $823 million of acquisition spend, which included Additive in September 2025 and SafeSend in January 2025. Net cash used in investing activities was partly offset by $247 million and $252 million in proceeds related to disposals of businesses and investments, predominately from the sale of our remaining minority equity interest in the Elite business.</w:t>
      </w:r>
    </w:p>
    <w:p>
      <w:pPr>
        <w:pStyle w:val="TextBody"/>
        <w:bidi w:val="0"/>
        <w:spacing w:before="100" w:after="283"/>
        <w:jc w:val="left"/>
        <w:rPr>
          <w:rFonts w:ascii="Clario;sans-serif" w:hAnsi="Clario;sans-serif"/>
          <w:sz w:val="18"/>
        </w:rPr>
      </w:pPr>
      <w:r>
        <w:rPr>
          <w:rFonts w:ascii="Clario;sans-serif" w:hAnsi="Clario;sans-serif"/>
          <w:b/>
          <w:color w:val="404040"/>
          <w:sz w:val="18"/>
        </w:rPr>
        <w:t>Financing activities.</w:t>
      </w:r>
      <w:r>
        <w:rPr>
          <w:rFonts w:ascii="Clario;sans-serif" w:hAnsi="Clario;sans-serif"/>
          <w:color w:val="404040"/>
          <w:sz w:val="18"/>
        </w:rPr>
        <w:t xml:space="preserve"> Net cash provided by financing activities of $405 million in the third quarter of 2026 reflected the net proceeds of $2,022 million, in aggregate, from our offering of U.S. notes and the private placement of Canadian notes, partly offset by $1,068 million of repayments of commercial paper, $238 million of share repurchases and $274 million of dividend payments to our common shareholders. In the nine-month period of 2026, net cash used in financing activities of $380 million reflected the repayment of our $500 million 3.35% notes, our $605 million return of capital and share consolidation transactions, $600 million of share repurchases and $829 million of dividend payments to our common shareholders. These outflows were partly offset by the $2,022 million of net proceeds from our U.S. and Canadian note issuances and $237 million of net borrowings under our commercial paper program.</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Net cash used in financing activities of $607 million in the third quarter of 2025 reflected $670 million of share repurchases and $260 million of dividend payments to our common shareholders, which were partly offset by $339 million of net borrowings under our commercial paper program. In the nine-month period of 2025, net cash used in financing activities of $2,170 million included $779 million of dividend payments to our common shareholders, $670 million of share repurchases and the repayment of our C$1.4 billion (U.S. $999 million) 2.239% notes upon maturity. These outflows were partly offset by $339 million of net borrowings under our commercial paper program.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Refer to the “Commercial paper program”, “Dividends”, “Share repurchases– NCIB” and "Return of capital and share consolidation transactions" subsections below for additional information. </w:t>
      </w:r>
    </w:p>
    <w:p>
      <w:pPr>
        <w:pStyle w:val="TextBody"/>
        <w:bidi w:val="0"/>
        <w:spacing w:before="100" w:after="283"/>
        <w:jc w:val="left"/>
        <w:rPr>
          <w:rFonts w:ascii="Clario;sans-serif" w:hAnsi="Clario;sans-serif"/>
          <w:sz w:val="18"/>
        </w:rPr>
      </w:pPr>
      <w:r>
        <w:rPr>
          <w:rFonts w:ascii="Clario;sans-serif" w:hAnsi="Clario;sans-serif"/>
          <w:b/>
          <w:color w:val="404040"/>
          <w:sz w:val="18"/>
        </w:rPr>
        <w:t xml:space="preserve">Cash and cash equivalents. </w:t>
      </w:r>
      <w:r>
        <w:rPr>
          <w:rFonts w:ascii="Clario;sans-serif" w:hAnsi="Clario;sans-serif"/>
          <w:color w:val="404040"/>
          <w:sz w:val="18"/>
        </w:rPr>
        <w:t>Cash and cash equivalents were $1,394 million as of September 30, 2026 and $511 million as of December 31, 2025.</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Of total cash and cash equivalents, $129 million and $140 million as of September 30, 2026 and December 31, 2025, respectively, were held in subsidiaries which have regulatory restrictions or contractual restrictions, or operate in countries where exchange controls and other legal restrictions apply and were therefore not available for general use by our company.</w:t>
      </w:r>
    </w:p>
    <w:p>
      <w:pPr>
        <w:pStyle w:val="TextBody"/>
        <w:bidi w:val="0"/>
        <w:spacing w:before="100" w:after="283"/>
        <w:jc w:val="left"/>
        <w:rPr>
          <w:rFonts w:ascii="Clario;sans-serif" w:hAnsi="Clario;sans-serif"/>
          <w:sz w:val="18"/>
        </w:rPr>
      </w:pPr>
      <w:r>
        <w:rPr>
          <w:rFonts w:ascii="Clario;sans-serif" w:hAnsi="Clario;sans-serif"/>
          <w:b/>
          <w:color w:val="404040"/>
          <w:sz w:val="18"/>
        </w:rPr>
        <w:t>Free cash flow.</w:t>
      </w:r>
      <w:r>
        <w:rPr>
          <w:rFonts w:ascii="Clario;sans-serif" w:hAnsi="Clario;sans-serif"/>
          <w:color w:val="404040"/>
          <w:sz w:val="18"/>
        </w:rPr>
        <w:t xml:space="preserve"> Free cash flow decreased by $118 million in the third quarter due to lower net cash provided by operating activities. In the nine-month period free cash flow increased $98 million due to higher net cash provided by operating activities. Both periods also included higher capital expenditures.</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12</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Additional information about our debt and credit arrangements, dividends and share repurchases is as follows:</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sz w:val="18"/>
        </w:rPr>
      </w:pPr>
      <w:r>
        <w:rPr>
          <w:rFonts w:ascii="Clario;sans-serif" w:hAnsi="Clario;sans-serif"/>
          <w:b/>
          <w:color w:val="404040"/>
          <w:sz w:val="18"/>
        </w:rPr>
        <w:t xml:space="preserve">Commercial paper program. </w:t>
      </w:r>
      <w:r>
        <w:rPr>
          <w:rFonts w:ascii="Clario;sans-serif" w:hAnsi="Clario;sans-serif"/>
          <w:color w:val="404040"/>
          <w:sz w:val="18"/>
        </w:rPr>
        <w:t xml:space="preserve">Our $2.0 billion commercial paper program provides cost-effective and flexible short-term funding. The carrying amount of outstanding commercial paper of $565 million is included in “Current indebtedness” within the consolidated statement of financial position as of September 30, 2026 (December 31, 2025 - $295 million). Issuances of outstanding commercial paper reached a peak of $1,780 million during the first nine months of 2026. </w:t>
      </w:r>
    </w:p>
    <w:p>
      <w:pPr>
        <w:pStyle w:val="TextBody"/>
        <w:bidi w:val="0"/>
        <w:jc w:val="left"/>
      </w:pPr>
      <w:r>
        <w:t> </w:t>
      </w:r>
    </w:p>
    <w:p>
      <w:pPr>
        <w:pStyle w:val="TextBody"/>
        <w:bidi w:val="0"/>
        <w:spacing w:before="0" w:after="0"/>
        <w:jc w:val="left"/>
        <w:rPr>
          <w:color w:val="404040"/>
        </w:rPr>
      </w:pPr>
      <w:r>
        <w:rPr>
          <w:color w:val="404040"/>
        </w:rPr>
        <w:t>•</w:t>
      </w:r>
    </w:p>
    <w:p>
      <w:pPr>
        <w:pStyle w:val="TextBody"/>
        <w:bidi w:val="0"/>
        <w:jc w:val="left"/>
        <w:rPr>
          <w:rFonts w:ascii="Clario;sans-serif" w:hAnsi="Clario;sans-serif"/>
          <w:sz w:val="18"/>
        </w:rPr>
      </w:pPr>
      <w:r>
        <w:rPr>
          <w:rFonts w:ascii="Clario;sans-serif" w:hAnsi="Clario;sans-serif"/>
          <w:b/>
          <w:color w:val="404040"/>
          <w:sz w:val="18"/>
        </w:rPr>
        <w:t>Credit facility.</w:t>
      </w:r>
      <w:r>
        <w:rPr>
          <w:rFonts w:ascii="Clario;sans-serif" w:hAnsi="Clario;sans-serif"/>
          <w:color w:val="404040"/>
          <w:sz w:val="18"/>
        </w:rPr>
        <w:t xml:space="preserve"> We have a $2.0 billion syndicated credit facility agreement which matures in November 2030 and may be used to provide liquidity for general corporate purposes (including acquisitions or support for our commercial paper program). There were no outstanding borrowings under the credit facility as of September 30, 2026 and December 31, 2025. Based on our current credit ratings, the cost of borrowing under the facility is priced at the Term Secured Overnight Financing Rate (SOFR)/Euro Interbank Offered Rate (EURiBOR)/Simple Sterling Overnight Index Average (SONIA) plus 92 basis points. We have the option to request an increase, subject to approval by applicable lenders, in the lenders’ commitments in an aggregate amount of $600 million for a maximum credit facility commitment of $2.6 billion. If our debt rating is downgraded by any two of Moody’s, S&amp;P or Fitch, our facility fees and borrowing costs would increase, although availability would be unaffected. Conversely, an upgrade in our ratings may reduce our facility fees and borrowing costs. We also monitor the lenders that are party to our facility and believe they continue to be able to lend to us. </w:t>
      </w:r>
    </w:p>
    <w:p>
      <w:pPr>
        <w:pStyle w:val="TextBody"/>
        <w:bidi w:val="0"/>
        <w:spacing w:before="100" w:after="120"/>
        <w:ind w:left="360" w:right="0" w:hanging="0"/>
        <w:jc w:val="left"/>
        <w:rPr>
          <w:rFonts w:ascii="Clario;sans-serif" w:hAnsi="Clario;sans-serif"/>
          <w:color w:val="404040"/>
          <w:sz w:val="18"/>
        </w:rPr>
      </w:pPr>
      <w:r>
        <w:rPr>
          <w:rFonts w:ascii="Clario;sans-serif" w:hAnsi="Clario;sans-serif"/>
          <w:color w:val="404040"/>
          <w:sz w:val="18"/>
        </w:rPr>
        <w:t xml:space="preserve">We guarantee borrowings by our subsidiaries under the credit facility. We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September 30, 2026, we complied with this covenant as our ratio of net debt to EBITDA, as calculated under the terms of our syndicated credit facility, was 0.9:1. </w:t>
      </w:r>
    </w:p>
    <w:p>
      <w:pPr>
        <w:pStyle w:val="TextBody"/>
        <w:bidi w:val="0"/>
        <w:spacing w:before="0" w:after="0"/>
        <w:jc w:val="left"/>
        <w:rPr>
          <w:color w:val="404040"/>
        </w:rPr>
      </w:pPr>
      <w:r>
        <w:rPr>
          <w:color w:val="404040"/>
        </w:rPr>
        <w:t>•</w:t>
      </w:r>
    </w:p>
    <w:p>
      <w:pPr>
        <w:pStyle w:val="TextBody"/>
        <w:bidi w:val="0"/>
        <w:jc w:val="left"/>
        <w:rPr>
          <w:rFonts w:ascii="Clario;sans-serif" w:hAnsi="Clario;sans-serif"/>
          <w:sz w:val="18"/>
        </w:rPr>
      </w:pPr>
      <w:r>
        <w:rPr>
          <w:rFonts w:ascii="Clario;sans-serif" w:hAnsi="Clario;sans-serif"/>
          <w:b/>
          <w:color w:val="404040"/>
          <w:sz w:val="18"/>
        </w:rPr>
        <w:t>Long-term debt.</w:t>
      </w:r>
      <w:r>
        <w:rPr>
          <w:rFonts w:ascii="Clario;sans-serif" w:hAnsi="Clario;sans-serif"/>
          <w:color w:val="404040"/>
          <w:sz w:val="18"/>
        </w:rPr>
        <w:t xml:space="preserve"> In September 2026, we issued a total of US$1.3 billion and C$1.0 billion principal amount of notes (which were swapped to US$0.7 billion). The net proceeds, in aggregate, of $2,022 million were used for general corporate purposes, which included the repayment of borrowings under our commercial paper program. In May 2026, we repaid our $500 million 3.35% notes upon maturity with cash on hand and commercial paper borrowings. In May 2025, we repaid our C$1.4 billion (US$999 million) 2.239% notes upon maturity with cash on hand and settled the related cross-currency interest rate swaps.</w:t>
      </w:r>
    </w:p>
    <w:p>
      <w:pPr>
        <w:pStyle w:val="TextBody"/>
        <w:bidi w:val="0"/>
        <w:spacing w:before="100" w:after="120"/>
        <w:ind w:left="360" w:right="0" w:hanging="0"/>
        <w:jc w:val="left"/>
        <w:rPr>
          <w:rFonts w:ascii="Clario;sans-serif" w:hAnsi="Clario;sans-serif"/>
          <w:color w:val="404040"/>
          <w:sz w:val="18"/>
        </w:rPr>
      </w:pPr>
      <w:r>
        <w:rPr>
          <w:rFonts w:ascii="Clario;sans-serif" w:hAnsi="Clario;sans-serif"/>
          <w:color w:val="404040"/>
          <w:sz w:val="18"/>
        </w:rPr>
        <w:t>Details of the notes issued and repaid are as follows:</w:t>
      </w:r>
    </w:p>
    <w:tbl>
      <w:tblPr>
        <w:tblW w:w="6955" w:type="dxa"/>
        <w:jc w:val="left"/>
        <w:tblInd w:w="0" w:type="dxa"/>
        <w:tblLayout w:type="fixed"/>
        <w:tblCellMar>
          <w:top w:w="28" w:type="dxa"/>
          <w:left w:w="28" w:type="dxa"/>
          <w:bottom w:w="28" w:type="dxa"/>
          <w:right w:w="28" w:type="dxa"/>
        </w:tblCellMar>
      </w:tblPr>
      <w:tblGrid>
        <w:gridCol w:w="1996"/>
        <w:gridCol w:w="146"/>
        <w:gridCol w:w="2746"/>
        <w:gridCol w:w="146"/>
        <w:gridCol w:w="1921"/>
      </w:tblGrid>
      <w:t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c>
          <w:tcPr>
            <w:tcW w:w="19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Month/Year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Transaction</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Principal Amount</w:t>
              <w:br/>
              <w:t>(in millions)</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Notes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4.13%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C$350</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4.48%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C$350</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Floating rate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C$300</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Public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5.10% Notes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US$800</w:t>
            </w:r>
          </w:p>
        </w:tc>
      </w:tr>
      <w:t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5.75% Notes due 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US$500</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Notes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3.35%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US$500</w:t>
            </w:r>
          </w:p>
        </w:tc>
      </w:tr>
      <w:t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May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2.239% Notes due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C$1,400</w:t>
            </w:r>
          </w:p>
        </w:tc>
      </w:tr>
    </w:tbl>
    <w:p>
      <w:pPr>
        <w:pStyle w:val="TextBody"/>
        <w:bidi w:val="0"/>
        <w:spacing w:before="100" w:after="120"/>
        <w:ind w:left="360" w:right="0" w:hanging="0"/>
        <w:jc w:val="left"/>
        <w:rPr>
          <w:rFonts w:ascii="Clario;sans-serif" w:hAnsi="Clario;sans-serif"/>
          <w:color w:val="404040"/>
          <w:sz w:val="18"/>
        </w:rPr>
      </w:pPr>
      <w:r>
        <w:rPr>
          <w:rFonts w:ascii="Clario;sans-serif" w:hAnsi="Clario;sans-serif"/>
          <w:color w:val="404040"/>
          <w:sz w:val="18"/>
        </w:rPr>
        <w:t>In connection with the issuance of Canadian dollar denominated notes in September 2026, we entered into cross-currency interest rate swaps, which swap Canadian dollar denominated principal and interest payments into U.S. dollars. The swaps were designated as cash flow hedges of foreign exchange risk on the notes. The details of these instruments are set forth below.</w:t>
      </w:r>
    </w:p>
    <w:tbl>
      <w:tblPr>
        <w:tblW w:w="9853" w:type="dxa"/>
        <w:jc w:val="left"/>
        <w:tblInd w:w="0" w:type="dxa"/>
        <w:tblLayout w:type="fixed"/>
        <w:tblCellMar>
          <w:top w:w="28" w:type="dxa"/>
          <w:left w:w="28" w:type="dxa"/>
          <w:bottom w:w="28" w:type="dxa"/>
          <w:right w:w="28" w:type="dxa"/>
        </w:tblCellMar>
      </w:tblPr>
      <w:tblGrid>
        <w:gridCol w:w="2446"/>
        <w:gridCol w:w="146"/>
        <w:gridCol w:w="1414"/>
        <w:gridCol w:w="371"/>
        <w:gridCol w:w="1560"/>
        <w:gridCol w:w="165"/>
        <w:gridCol w:w="1771"/>
        <w:gridCol w:w="264"/>
        <w:gridCol w:w="1716"/>
      </w:tblGrid>
      <w:t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c>
          <w:tcPr>
            <w:tcW w:w="24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Received</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1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Paid</w:t>
            </w:r>
          </w:p>
        </w:tc>
        <w:tc>
          <w:tcPr>
            <w:tcW w:w="37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560"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Hedged Risk</w:t>
            </w:r>
          </w:p>
        </w:tc>
        <w:tc>
          <w:tcPr>
            <w:tcW w:w="16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77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Year of Maturity</w:t>
            </w:r>
          </w:p>
        </w:tc>
        <w:tc>
          <w:tcPr>
            <w:tcW w:w="1980"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Principal Amount </w:t>
              <w:br/>
              <w:t>(in millions)</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2026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 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fixed</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2029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US$ 253</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 fixed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fixed</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2031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US$ 253</w:t>
            </w:r>
          </w:p>
        </w:tc>
      </w:tr>
      <w:tr>
        <w:tc>
          <w:tcPr>
            <w:tcW w:w="2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Canadian dollar floating</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8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floating</w:t>
            </w:r>
          </w:p>
        </w:tc>
        <w:tc>
          <w:tcPr>
            <w:tcW w:w="172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2029</w:t>
            </w:r>
          </w:p>
        </w:tc>
        <w:tc>
          <w:tcPr>
            <w:tcW w:w="2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7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US$ 216</w:t>
            </w:r>
          </w:p>
        </w:tc>
      </w:tr>
    </w:tbl>
    <w:p>
      <w:pPr>
        <w:pStyle w:val="TextBody"/>
        <w:bidi w:val="0"/>
        <w:jc w:val="left"/>
      </w:pPr>
      <w:r>
        <w:t> </w:t>
      </w:r>
    </w:p>
    <w:p>
      <w:pPr>
        <w:pStyle w:val="TextBody"/>
        <w:bidi w:val="0"/>
        <w:spacing w:before="0" w:after="0"/>
        <w:ind w:left="360" w:right="0" w:hanging="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Interest rate equal to daily compounded Canadian Overnight Repo Rate Average ("CORRA") plus 76 basis points swapped to daily compounded SOFR plus 87.4 basis points.</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13</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120"/>
        <w:ind w:left="360" w:right="0" w:hanging="0"/>
        <w:jc w:val="left"/>
        <w:rPr>
          <w:rFonts w:ascii="Clario;sans-serif" w:hAnsi="Clario;sans-serif"/>
          <w:color w:val="404040"/>
          <w:sz w:val="18"/>
        </w:rPr>
      </w:pPr>
      <w:r>
        <w:rPr>
          <w:rFonts w:ascii="Clario;sans-serif" w:hAnsi="Clario;sans-serif"/>
          <w:color w:val="404040"/>
          <w:sz w:val="18"/>
        </w:rPr>
        <w:t xml:space="preserve">The public U.S. dollar notes were issued under a base shelf prospectus pursuant to which Thomson Reuters Corporation (TRC) and one of its U.S. subsidiaries, TR Finance LLC (TR Finance), may collectively issue up to $3.0 billion of unsecured debt securities from time to time through April 2027. To date, $1.3 billion aggregate principal amount of debt securities have been issued under the prospectus. Any debt securities issued by TR Finance are fully and unconditionally guaranteed on an unsecured basis by TRC and West Publishing Corporation, Thomson Reuters Applications Inc. and Thomson Reuters (Tax &amp; Accounting) Inc., each of which is an indirect 100% owned U.S. and consolidated subsidiary of TRC. Any debt securities issued by TRC are also guaranteed by the three U.S. subsidiary guarantors on the same basis as the TR Finance debt securities. Except for TR Finance and the subsidiary guarantors, none of TRC’s other subsidiaries have guaranteed or would otherwise become obligated with respect to any issued TR Finance or TRC debt securities. Please refer to Appendix D of this management’s discussion and analysis for condensed consolidating financial information of the Company, including TR Finance and the subsidiary guarantors. </w:t>
      </w:r>
    </w:p>
    <w:p>
      <w:pPr>
        <w:pStyle w:val="TextBody"/>
        <w:bidi w:val="0"/>
        <w:ind w:left="360" w:right="0" w:hanging="0"/>
        <w:jc w:val="left"/>
        <w:rPr>
          <w:rFonts w:ascii="Clario;sans-serif" w:hAnsi="Clario;sans-serif"/>
          <w:sz w:val="18"/>
        </w:rPr>
      </w:pPr>
      <w:r>
        <w:rPr>
          <w:rFonts w:ascii="Clario;sans-serif" w:hAnsi="Clario;sans-serif"/>
          <w:b/>
          <w:color w:val="404040"/>
          <w:sz w:val="18"/>
        </w:rPr>
        <w:t>Fixed-to-floating interest rate swaps.</w:t>
      </w:r>
      <w:r>
        <w:rPr>
          <w:rFonts w:ascii="Clario;sans-serif" w:hAnsi="Clario;sans-serif"/>
          <w:color w:val="404040"/>
          <w:sz w:val="18"/>
        </w:rPr>
        <w:t xml:space="preserve"> As of September 30, 2026, we have fixed-to-floating interest rate swaps totaling $1,050 million in notional amount, of which $415 million was entered into during the third quarter of 2026 and $640 million were entered into during the nine months ended September 30, 2026 .Additionally, $410 million notional amount of swaps were entered in September 2025. Under these arrangements, we receive a fixed rate of interest and pay a floating rate based on daily compounded SOFR plus a spread. These swaps are designated as fair value hedges for a portion of each of our $400 million principal amount of 5.50% debentures due August 2035 ($190 million hedged), $500 million principal amount of 5.85% notes due April 2040 ($450 million hedged), $119 million principal amount of 4.50% notes due May 2043 ($80 million hedged) and $350 million principal amount of 5.65% notes due November 2043 ($330 million hedged), covering the remaining term to debt maturity. The swaps were entered into as part of the Company's strategy to manage interest rate risk and the swap notional is aligned 1:1 with the portion of the debt being hedged. </w:t>
      </w:r>
    </w:p>
    <w:p>
      <w:pPr>
        <w:pStyle w:val="TextBody"/>
        <w:bidi w:val="0"/>
        <w:spacing w:before="100" w:after="120"/>
        <w:ind w:left="360" w:right="0" w:hanging="0"/>
        <w:jc w:val="left"/>
        <w:rPr>
          <w:rFonts w:ascii="Clario;sans-serif" w:hAnsi="Clario;sans-serif"/>
          <w:color w:val="404040"/>
          <w:sz w:val="18"/>
        </w:rPr>
      </w:pPr>
      <w:r>
        <w:rPr>
          <w:rFonts w:ascii="Clario;sans-serif" w:hAnsi="Clario;sans-serif"/>
          <w:color w:val="404040"/>
          <w:sz w:val="18"/>
        </w:rPr>
        <w:t>In addition, we have credit support agreements with our counterparties under which one party may call on the other party to post cash collateral when the market value of the swaps exceeds specific thresholds, thus limiting credit exposure. As of September 30, 2026, we had a cash collateral receivable of $44 million (December 31, 2025 - $7 million) related to our fixed-to-floating interest rate swaps. Cash flows associated with collateral movements were classified as financing activities in the consolidated statement of cash flow.</w:t>
      </w:r>
    </w:p>
    <w:p>
      <w:pPr>
        <w:pStyle w:val="TextBody"/>
        <w:bidi w:val="0"/>
        <w:spacing w:before="0" w:after="0"/>
        <w:jc w:val="left"/>
        <w:rPr>
          <w:color w:val="404040"/>
        </w:rPr>
      </w:pPr>
      <w:r>
        <w:rPr>
          <w:color w:val="404040"/>
        </w:rPr>
        <w:t>•</w:t>
      </w:r>
    </w:p>
    <w:p>
      <w:pPr>
        <w:pStyle w:val="TextBody"/>
        <w:bidi w:val="0"/>
        <w:jc w:val="left"/>
        <w:rPr>
          <w:rFonts w:ascii="Clario;sans-serif" w:hAnsi="Clario;sans-serif"/>
          <w:sz w:val="18"/>
        </w:rPr>
      </w:pPr>
      <w:r>
        <w:rPr>
          <w:rFonts w:ascii="Clario;sans-serif" w:hAnsi="Clario;sans-serif"/>
          <w:b/>
          <w:color w:val="404040"/>
          <w:sz w:val="18"/>
        </w:rPr>
        <w:t>Credit ratings.</w:t>
      </w:r>
      <w:r>
        <w:rPr>
          <w:rFonts w:ascii="Clario;sans-serif" w:hAnsi="Clario;sans-serif"/>
          <w:color w:val="404040"/>
          <w:sz w:val="18"/>
        </w:rPr>
        <w:t xml:space="preserve"> Our access to financing depends on, among other things, suitable market conditions and the maintenance of suitable long-term credit ratings. Our credit ratings may be adversely affected by various factors, including increased debt levels, decreased earnings, declines in customer demand, increased competition, a deterioration in general economic and business conditions and adverse publicity. Downgrades in our credit ratings may impede our access to the debt markets or result in higher borrowing rates. </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The following table sets forth the credit ratings from rating agencies in respect of TRC and TR Finance's outstanding securities as of the date of this management's discussion and analysis:</w:t>
      </w:r>
    </w:p>
    <w:p>
      <w:pPr>
        <w:pStyle w:val="TextBody"/>
        <w:bidi w:val="0"/>
        <w:ind w:left="360" w:right="0" w:hanging="0"/>
        <w:jc w:val="left"/>
      </w:pPr>
      <w:r>
        <w:t> </w:t>
      </w:r>
    </w:p>
    <w:tbl>
      <w:tblPr>
        <w:tblW w:w="9480" w:type="dxa"/>
        <w:jc w:val="left"/>
        <w:tblInd w:w="0" w:type="dxa"/>
        <w:tblLayout w:type="fixed"/>
        <w:tblCellMar>
          <w:top w:w="28" w:type="dxa"/>
          <w:left w:w="28" w:type="dxa"/>
          <w:bottom w:w="28" w:type="dxa"/>
          <w:right w:w="28" w:type="dxa"/>
        </w:tblCellMar>
      </w:tblPr>
      <w:tblGrid>
        <w:gridCol w:w="2701"/>
        <w:gridCol w:w="1681"/>
        <w:gridCol w:w="2791"/>
        <w:gridCol w:w="1396"/>
        <w:gridCol w:w="911"/>
      </w:tblGrid>
      <w:tr>
        <w:tc>
          <w:tcPr>
            <w:tcW w:w="27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c>
          <w:tcPr>
            <w:tcW w:w="270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pPr>
            <w:r>
              <w:t> </w:t>
            </w:r>
          </w:p>
        </w:tc>
        <w:tc>
          <w:tcPr>
            <w:tcW w:w="168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Moody’s</w:t>
            </w:r>
          </w:p>
        </w:tc>
        <w:tc>
          <w:tcPr>
            <w:tcW w:w="279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S&amp;P Global Ratings</w:t>
            </w:r>
          </w:p>
        </w:tc>
        <w:tc>
          <w:tcPr>
            <w:tcW w:w="1396"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Fitch</w:t>
            </w:r>
          </w:p>
        </w:tc>
        <w:tc>
          <w:tcPr>
            <w:tcW w:w="91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720" w:right="0" w:firstLine="720"/>
              <w:jc w:val="left"/>
            </w:pPr>
            <w:r>
              <w:t> </w:t>
            </w:r>
          </w:p>
        </w:tc>
      </w:tr>
      <w:t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Long-term debt</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Baa1</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pPr>
            <w:r>
              <w:t> </w:t>
            </w:r>
          </w:p>
        </w:tc>
      </w:tr>
      <w:t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Commercial paper</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P-2</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A-2</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F1</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pPr>
            <w:r>
              <w:t> </w:t>
            </w:r>
          </w:p>
        </w:tc>
      </w:tr>
      <w:tr>
        <w:tc>
          <w:tcPr>
            <w:tcW w:w="270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Trend/Outlook</w:t>
            </w:r>
          </w:p>
        </w:tc>
        <w:tc>
          <w:tcPr>
            <w:tcW w:w="168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Positive</w:t>
            </w:r>
          </w:p>
        </w:tc>
        <w:tc>
          <w:tcPr>
            <w:tcW w:w="279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1396"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911" w:type="dxa"/>
            <w:tcBorders>
              <w:bottom w:val="single" w:sz="12" w:space="0" w:color="AFAFAF"/>
            </w:tcBorders>
            <w:tcMar>
              <w:top w:w="0" w:type="dxa"/>
              <w:left w:w="0" w:type="dxa"/>
              <w:right w:w="0" w:type="dxa"/>
            </w:tcMar>
            <w:vAlign w:val="center"/>
          </w:tcPr>
          <w:p>
            <w:pPr>
              <w:pStyle w:val="TableContents"/>
              <w:bidi w:val="0"/>
              <w:spacing w:before="0" w:after="283"/>
              <w:ind w:left="720" w:right="0" w:firstLine="720"/>
              <w:jc w:val="left"/>
            </w:pPr>
            <w:r>
              <w:t> </w:t>
            </w:r>
          </w:p>
        </w:tc>
      </w:tr>
    </w:tbl>
    <w:p>
      <w:pPr>
        <w:pStyle w:val="TextBody"/>
        <w:bidi w:val="0"/>
        <w:ind w:left="360" w:right="0" w:hanging="0"/>
        <w:jc w:val="left"/>
      </w:pPr>
      <w:r>
        <w:t> </w:t>
      </w:r>
    </w:p>
    <w:p>
      <w:pPr>
        <w:pStyle w:val="TextBody"/>
        <w:bidi w:val="0"/>
        <w:ind w:left="360" w:right="0" w:hanging="0"/>
        <w:jc w:val="left"/>
        <w:rPr>
          <w:rFonts w:ascii="Clario;sans-serif" w:hAnsi="Clario;sans-serif"/>
          <w:color w:val="404040"/>
          <w:sz w:val="18"/>
        </w:rPr>
      </w:pPr>
      <w:r>
        <w:rPr>
          <w:rFonts w:ascii="Clario;sans-serif" w:hAnsi="Clario;sans-serif"/>
          <w:color w:val="404040"/>
          <w:sz w:val="18"/>
        </w:rPr>
        <w:t xml:space="preserve">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sz w:val="18"/>
        </w:rPr>
      </w:pPr>
      <w:r>
        <w:rPr>
          <w:rFonts w:ascii="Clario;sans-serif" w:hAnsi="Clario;sans-serif"/>
          <w:b/>
          <w:color w:val="404040"/>
          <w:sz w:val="18"/>
        </w:rPr>
        <w:t>Dividends.</w:t>
      </w:r>
      <w:r>
        <w:rPr>
          <w:rFonts w:ascii="Clario;sans-serif" w:hAnsi="Clario;sans-serif"/>
          <w:color w:val="404040"/>
          <w:sz w:val="18"/>
        </w:rPr>
        <w:t xml:space="preserve"> Dividends on our common shares are declared in U.S. dollars. In February 2026, we announced a 10% or $0.24 per share increase in the annualized dividend rate to $2.62 per common share (beginning with the common share dividend that we paid in March 2026).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TSX during the five trading days immediately preceding the record date for the dividend. </w:t>
      </w:r>
    </w:p>
    <w:p>
      <w:pPr>
        <w:pStyle w:val="TextBody"/>
        <w:pBdr/>
        <w:bidi w:val="0"/>
        <w:spacing w:before="100" w:after="283"/>
        <w:ind w:left="360" w:right="0" w:hanging="360"/>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pPr>
      <w:r>
        <w:t> </w:t>
      </w:r>
    </w:p>
    <w:tbl>
      <w:tblPr>
        <w:tblW w:w="8951" w:type="dxa"/>
        <w:jc w:val="left"/>
        <w:tblInd w:w="0" w:type="dxa"/>
        <w:tblLayout w:type="fixed"/>
        <w:tblCellMar>
          <w:top w:w="28" w:type="dxa"/>
          <w:left w:w="28" w:type="dxa"/>
          <w:bottom w:w="28" w:type="dxa"/>
          <w:right w:w="28" w:type="dxa"/>
        </w:tblCellMar>
      </w:tblPr>
      <w:tblGrid>
        <w:gridCol w:w="4239"/>
        <w:gridCol w:w="171"/>
        <w:gridCol w:w="1128"/>
        <w:gridCol w:w="1107"/>
        <w:gridCol w:w="146"/>
        <w:gridCol w:w="1060"/>
        <w:gridCol w:w="1100"/>
      </w:tblGrid>
      <w:tr>
        <w:tc>
          <w:tcPr>
            <w:tcW w:w="42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c>
          <w:tcPr>
            <w:tcW w:w="42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2160"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410" w:type="dxa"/>
            <w:gridSpan w:val="2"/>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 xml:space="preserve">(millions of U.S. dollars, except per share </w:t>
              <w:br/>
              <w:t>   amounts)</w:t>
            </w:r>
          </w:p>
        </w:tc>
        <w:tc>
          <w:tcPr>
            <w:tcW w:w="112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0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060"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00"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1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11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6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$1.965</w:t>
            </w:r>
          </w:p>
        </w:tc>
        <w:tc>
          <w:tcPr>
            <w:tcW w:w="11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r>
      <w:tr>
        <w:tc>
          <w:tcPr>
            <w:tcW w:w="423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860</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804</w:t>
            </w:r>
          </w:p>
        </w:tc>
      </w:tr>
      <w:tr>
        <w:tc>
          <w:tcPr>
            <w:tcW w:w="42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1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1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1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c>
          <w:tcPr>
            <w:tcW w:w="42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1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274</w:t>
            </w:r>
          </w:p>
        </w:tc>
        <w:tc>
          <w:tcPr>
            <w:tcW w:w="11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6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1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779</w:t>
            </w:r>
          </w:p>
        </w:tc>
      </w:tr>
    </w:tbl>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14</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0" w:after="0"/>
        <w:jc w:val="left"/>
        <w:rPr>
          <w:color w:val="404040"/>
        </w:rPr>
      </w:pPr>
      <w:r>
        <w:rPr>
          <w:color w:val="404040"/>
        </w:rPr>
        <w:t>•</w:t>
      </w:r>
    </w:p>
    <w:p>
      <w:pPr>
        <w:pStyle w:val="TextBody"/>
        <w:bidi w:val="0"/>
        <w:jc w:val="left"/>
        <w:rPr>
          <w:rFonts w:ascii="Clario;sans-serif" w:hAnsi="Clario;sans-serif"/>
          <w:sz w:val="18"/>
        </w:rPr>
      </w:pPr>
      <w:r>
        <w:rPr>
          <w:rFonts w:ascii="Clario;sans-serif" w:hAnsi="Clario;sans-serif"/>
          <w:b/>
          <w:color w:val="404040"/>
          <w:sz w:val="18"/>
        </w:rPr>
        <w:t xml:space="preserve">Share repurchases – NCIB. </w:t>
      </w:r>
      <w:r>
        <w:rPr>
          <w:rFonts w:ascii="Clario;sans-serif" w:hAnsi="Clario;sans-serif"/>
          <w:color w:val="404040"/>
          <w:sz w:val="18"/>
        </w:rPr>
        <w:t xml:space="preserve">We buy back shares (and subsequently cancel them) from time to time as part of our capital strategy. Share repurchases are typically executed under a NCIB program, which is approved by the TSX. The NCIB program, as amended in February 2026, allowed us to repurchase up to 16 million common shares between August 19, 2025 and August 18, 2026. In February 2026, we announced our plan to repurchase up to $600 million of our common shares and completed this program in July 2026. </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We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we receive, if applicable, an issuer bid exemption order in the future from applicable securities regulatory authorities in Canada for such purchases. The price that we will pay for common shares in open market transactions will be the market price at the time of purchase or such other price as may be permitted by the TSX.</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Details of share repurchases are as follows:</w:t>
      </w:r>
    </w:p>
    <w:tbl>
      <w:tblPr>
        <w:tblW w:w="8682" w:type="dxa"/>
        <w:jc w:val="left"/>
        <w:tblInd w:w="0" w:type="dxa"/>
        <w:tblLayout w:type="fixed"/>
        <w:tblCellMar>
          <w:top w:w="28" w:type="dxa"/>
          <w:left w:w="28" w:type="dxa"/>
          <w:bottom w:w="28" w:type="dxa"/>
          <w:right w:w="28" w:type="dxa"/>
        </w:tblCellMar>
      </w:tblPr>
      <w:tblGrid>
        <w:gridCol w:w="4141"/>
        <w:gridCol w:w="1047"/>
        <w:gridCol w:w="1188"/>
        <w:gridCol w:w="146"/>
        <w:gridCol w:w="985"/>
        <w:gridCol w:w="1175"/>
      </w:tblGrid>
      <w:tr>
        <w:tc>
          <w:tcPr>
            <w:tcW w:w="414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c>
          <w:tcPr>
            <w:tcW w:w="41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2160"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141"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pPr>
            <w:r>
              <w:t> </w:t>
            </w:r>
          </w:p>
        </w:tc>
        <w:tc>
          <w:tcPr>
            <w:tcW w:w="1047"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8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17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2025</w:t>
            </w:r>
          </w:p>
        </w:tc>
      </w:tr>
      <w:t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(millions of U.S. dollars)</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238</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600</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r>
      <w:t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Shares repurchased (number in millions)</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r>
      <w:tr>
        <w:tc>
          <w:tcPr>
            <w:tcW w:w="4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 average price per share</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$92.61</w:t>
            </w:r>
          </w:p>
        </w:tc>
        <w:tc>
          <w:tcPr>
            <w:tcW w:w="1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$97.48</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$172.03</w:t>
            </w:r>
          </w:p>
        </w:tc>
      </w:tr>
    </w:tbl>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Decisions regarding any future repurchases will depend on certain factors, such as market conditions, share price and other opportunities to invest capital for growth. We may elect to suspend or discontinue share repurchases at any time, in accordance with applicable laws. 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insider trading rules or otherwise. Any such plans entered into with our broker will be adopted in accordance with applicable Canadian securities laws and the requirements of Rule 10b5-1 under the U.S. Securities Exchange Act of 1934, as amended.</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sz w:val="18"/>
        </w:rPr>
      </w:pPr>
      <w:r>
        <w:rPr>
          <w:rFonts w:ascii="Clario;sans-serif" w:hAnsi="Clario;sans-serif"/>
          <w:b/>
          <w:color w:val="404040"/>
          <w:sz w:val="18"/>
        </w:rPr>
        <w:t xml:space="preserve">Return of capital and share consolidation transactions. </w:t>
      </w:r>
      <w:r>
        <w:rPr>
          <w:rFonts w:ascii="Clario;sans-serif" w:hAnsi="Clario;sans-serif"/>
          <w:color w:val="404040"/>
          <w:sz w:val="18"/>
        </w:rPr>
        <w:t xml:space="preserve">On May 4, 2026, we returned $605 million to our shareholders and reduced our common shares outstanding by approximately 6.5 million shares through return of capital and share consolidation transactions, which was derived from the May 2024 sales of LSEG shares. The transactions consisted of a special cash distribution of $1.435518 per participating common share and a share consolidation, or “reverse stock split”, which reduced the number of outstanding common shares at a ratio of 1 pre-consolidated share for 0.984560 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our company's common shares on the Nasdaq for the five-trading day period immediately preceding the May 4, 2026 effective date. Woodbridge, the Company's principal shareholder, participated in this transaction.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position</w:t>
      </w:r>
    </w:p>
    <w:p>
      <w:pPr>
        <w:pStyle w:val="TextBody"/>
        <w:bidi w:val="0"/>
        <w:spacing w:before="100" w:after="283"/>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Our net assets, defined as total assets less total liabilities, were $11.2 billion as of September 30, 2026, compared to $11.9 billion as of December 31, 2025. The change during the nine-month period was due to an increase in long-term indebtedness.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As of September 30, 2026, our current assets exceeded our current liabilities by $0.3 billion primarily because of a higher balance of cash and equivalents due to the net proceeds from our U.S. and Canadian notes issued in September 2026, which are due to mature between 2028 and 2033.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Typically, our current liabilities exceed our current assets primarily because our current liabilities include a significant amount of deferred revenue. Deferred revenue arises from the sale of subscription-based products and services that many customers pay for in advance. The cash received from these advance payments is used to currently fund the operating, investing and financing activities of our business. However, for accounting purposes, these advance payments must be deferred and recognized over the term of the subscription. As such, we may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15</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Net debt and leverage ratio of net debt to adjusted EBITDA</w:t>
      </w:r>
    </w:p>
    <w:p>
      <w:pPr>
        <w:pStyle w:val="TextBody"/>
        <w:bidi w:val="0"/>
        <w:spacing w:before="100" w:after="283"/>
        <w:jc w:val="left"/>
      </w:pPr>
      <w:r>
        <w:t> </w:t>
      </w:r>
    </w:p>
    <w:tbl>
      <w:tblPr>
        <w:tblW w:w="8460" w:type="dxa"/>
        <w:jc w:val="left"/>
        <w:tblInd w:w="0" w:type="dxa"/>
        <w:tblLayout w:type="fixed"/>
        <w:tblCellMar>
          <w:top w:w="28" w:type="dxa"/>
          <w:left w:w="28" w:type="dxa"/>
          <w:bottom w:w="28" w:type="dxa"/>
          <w:right w:w="28" w:type="dxa"/>
        </w:tblCellMar>
      </w:tblPr>
      <w:tblGrid>
        <w:gridCol w:w="4816"/>
        <w:gridCol w:w="146"/>
        <w:gridCol w:w="292"/>
        <w:gridCol w:w="1328"/>
        <w:gridCol w:w="146"/>
        <w:gridCol w:w="146"/>
        <w:gridCol w:w="256"/>
        <w:gridCol w:w="1139"/>
        <w:gridCol w:w="191"/>
      </w:tblGrid>
      <w:t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0"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pPr>
            <w:r>
              <w:t> </w:t>
            </w:r>
          </w:p>
        </w:tc>
      </w:tr>
      <w:tr>
        <w:tc>
          <w:tcPr>
            <w:tcW w:w="481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62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r>
      <w:tr>
        <w:tc>
          <w:tcPr>
            <w:tcW w:w="4816"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Net debt</w:t>
            </w:r>
            <w:r>
              <w:rPr>
                <w:rFonts w:ascii="Clario;sans-serif" w:hAnsi="Clario;sans-serif"/>
                <w:b/>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3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Adjusted EBITDA</w:t>
            </w:r>
            <w:r>
              <w:rPr>
                <w:rFonts w:ascii="Clario;sans-serif" w:hAnsi="Clario;sans-serif"/>
                <w:b/>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Net debt / adjusted EBITDA</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20"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39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 xml:space="preserve">Represent non-IFRS financial measures. Refer to Appendices A and B of this management’s discussion and analysis for additional information and reconciliations of our non-IFRS financial measures to the most directly comparable IFRS financial measures. </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 xml:space="preserve">For additional information about our liquidity, we provide our leverage ratio of net debt to adjusted EBITDA for the previous twelve-month period ending with the current fiscal quarter. Our leverage ratio of net debt to adjusted EBITDA was below our target leverage ratio of 2.5:1. Net debt increased during the first nine months of 2026 primarily due to an increase in our long-term indebtedness which was used for general corporate purposes (refer to the “Long-term debt” section of this management’s discussion and analysis for additional information). </w:t>
      </w:r>
    </w:p>
    <w:p>
      <w:pPr>
        <w:pStyle w:val="TextBody"/>
        <w:bidi w:val="0"/>
        <w:jc w:val="left"/>
        <w:rPr>
          <w:rFonts w:ascii="Clario;sans-serif" w:hAnsi="Clario;sans-serif"/>
          <w:color w:val="404040"/>
          <w:sz w:val="18"/>
        </w:rPr>
      </w:pPr>
      <w:r>
        <w:rPr>
          <w:rFonts w:ascii="Clario;sans-serif" w:hAnsi="Clario;sans-serif"/>
          <w:color w:val="404040"/>
          <w:sz w:val="18"/>
        </w:rPr>
        <w:t>As of September 30, 2026, our total debt position after hedging arrangements (excluding the associated unamortized transaction costs and premiums or discounts) was $3,957 million. The maturity dates for our term debt are well balanced with no significant concentration in any one year and are scheduled to mature between 2028 and 2043. As of September 30, 2026, the average maturity of our term debt was approximately eight years at a weighted-average interest rate of 5.4%, including the impact of interest rate swaps based on the September 30, 2026 SOFR.</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Off-balance sheet arrangements, commitments and contractual obligations</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See the “Guarantees” section of this management’s discussion and analysis below for information on guarantees and other credit support provided by our company to 3 Times Square Associates LLC (3XSQ Associates) in connection with an amended and restated loan facility 3XSQ Associates obtained in May 2025. For a summary of our other off-balance sheet arrangements, commitments and contractual obligations please see our 2025 annual management’s discussion and analysis. There were no material changes to these arrangements, commitments and contractual obligations during the nine months ended September 30, 2026.</w:t>
      </w:r>
    </w:p>
    <w:p>
      <w:pPr>
        <w:pStyle w:val="TextBody"/>
        <w:bidi w:val="0"/>
        <w:jc w:val="left"/>
        <w:rPr>
          <w:rFonts w:ascii="Clario;sans-serif" w:hAnsi="Clario;sans-serif"/>
          <w:b/>
          <w:color w:val="404040"/>
          <w:sz w:val="18"/>
        </w:rPr>
      </w:pPr>
      <w:r>
        <w:rPr>
          <w:rFonts w:ascii="Clario;sans-serif" w:hAnsi="Clario;sans-serif"/>
          <w:b/>
          <w:color w:val="404040"/>
          <w:sz w:val="18"/>
        </w:rPr>
        <w:t>Contingencies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Lawsuits and legal claims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are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us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us and after consultation with outside legal counsel, management believes that the ultimate resolution of any such matters, individually or in the aggregate, will not have a material adverse impact on our financial condition taken as a whole.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Uncertain tax positions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Prior to December 31, 2023, we paid $430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We do not believe these current and former U.K. affiliates fall within the scope of the DPT regime. Because we believe our position is supported by the weight of law, we intend to vigorously defend our position and will continue contesting these assessments through all available administrative and judicial remedies. As the assessments largely relate to businesses that we have sold, the majority are subject to indemnity arrangements under which we have been required to pay additional taxes to HMRC or the indemnity counterparty. Payments made by us are not a reflection of our view on the merits of the case. As we expect to receive refunds of substantially all of the amounts paid pursuant to these notices of assessment, we have recorded substantially all of these payments as non-current receivables from HMRC or the indemnity counterparty, in our financial statements.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16</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Guarantees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have an investment in 3XSQ Associates, an entity jointly owned by a subsidiary of our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 and reduced the facility to $385 million from $415 million. The facility was obtained in 2022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 (ii) 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 $2.0 billion syndicated credit facility or the related covenant calculation.</w:t>
      </w:r>
    </w:p>
    <w:p>
      <w:pPr>
        <w:pStyle w:val="TextBody"/>
        <w:bidi w:val="0"/>
        <w:spacing w:before="100" w:after="283"/>
        <w:jc w:val="left"/>
        <w:rPr>
          <w:rFonts w:ascii="Clario;sans-serif" w:hAnsi="Clario;sans-serif"/>
          <w:sz w:val="18"/>
        </w:rPr>
      </w:pPr>
      <w:r>
        <w:rPr>
          <w:rFonts w:ascii="Clario;sans-serif" w:hAnsi="Clario;sans-serif"/>
          <w:i/>
          <w:color w:val="404040"/>
          <w:sz w:val="18"/>
        </w:rPr>
        <w:t>For additional information, please see the “Risk Factors” section of our 2025 annual report, which contains further information on risks related to legal and tax matters.</w:t>
      </w:r>
      <w:r>
        <w:rPr>
          <w:rFonts w:ascii="Clario;sans-serif" w:hAnsi="Clario;sans-serif"/>
          <w:color w:val="404040"/>
          <w:sz w:val="18"/>
        </w:rPr>
        <w:t xml:space="preserve"> </w:t>
      </w:r>
    </w:p>
    <w:p>
      <w:pPr>
        <w:pStyle w:val="TextBody"/>
        <w:bidi w:val="0"/>
        <w:spacing w:before="100" w:after="283"/>
        <w:jc w:val="left"/>
        <w:rPr>
          <w:rFonts w:ascii="Clario;sans-serif" w:hAnsi="Clario;sans-serif"/>
          <w:sz w:val="24"/>
        </w:rPr>
      </w:pPr>
      <w:r>
        <w:rPr>
          <w:rFonts w:ascii="Clario;sans-serif" w:hAnsi="Clario;sans-serif"/>
          <w:b/>
          <w:color w:val="404040"/>
          <w:sz w:val="24"/>
        </w:rPr>
        <w:t>Outlook</w:t>
      </w:r>
      <w:r>
        <w:rPr>
          <w:rFonts w:ascii="Clario;sans-serif" w:hAnsi="Clario;sans-serif"/>
          <w:color w:val="404040"/>
          <w:sz w:val="24"/>
        </w:rPr>
        <w:t xml:space="preserve"> </w:t>
      </w:r>
    </w:p>
    <w:p>
      <w:pPr>
        <w:pStyle w:val="TextBody"/>
        <w:bidi w:val="0"/>
        <w:jc w:val="left"/>
      </w:pPr>
      <w:r>
        <w:t> </w:t>
      </w:r>
    </w:p>
    <w:p>
      <w:pPr>
        <w:pStyle w:val="TextBody"/>
        <w:bidi w:val="0"/>
        <w:jc w:val="left"/>
        <w:rPr>
          <w:rFonts w:ascii="Clario;sans-serif" w:hAnsi="Clario;sans-serif"/>
          <w:sz w:val="18"/>
        </w:rPr>
      </w:pPr>
      <w:r>
        <w:rPr>
          <w:rFonts w:ascii="Clario;sans-serif" w:hAnsi="Clario;sans-serif"/>
          <w:i/>
          <w:color w:val="404040"/>
          <w:sz w:val="18"/>
        </w:rPr>
        <w:t>The information in this section is forward-looking and should be read in conjunction with the section entitled “Additional Information - Cautionary Note Concerning Factors That May Affect Future Results”.</w:t>
      </w:r>
      <w:r>
        <w:rPr>
          <w:rFonts w:ascii="Clario;sans-serif" w:hAnsi="Clario;sans-serif"/>
          <w:color w:val="404040"/>
          <w:sz w:val="18"/>
        </w:rPr>
        <w:t xml:space="preserve"> </w:t>
      </w:r>
    </w:p>
    <w:p>
      <w:pPr>
        <w:pStyle w:val="TextBody"/>
        <w:bidi w:val="0"/>
        <w:jc w:val="left"/>
      </w:pPr>
      <w:r>
        <w:t>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On August 5, 2026, Thomson Reuters provided a full-year 2026 outlook for the company, which included its Global Print business (August 2026 outlook). On November 3, 2026, the company updated its 2026 full-year outlook for the total company to remove and reflect the results of its Global Print business as discontinued operations (November 2026 outlook). As a result, the financial measures presented for the total company in its November 2026 outlook were updated to reflect its expected performance on a continuing operations basis. The company's November 2026 outlook for its "Big 3" segments was unchanged from its August 2026 outlook.</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In addition to the updates to reflect the November 2026 full-year outlook on a continuing operations basis, the company also raised its full-year November 2026 outlook for net interest expense to approximately $190 million representing the upper end of the $180 million - $190 million range from the company's August 2026 outlook. The company's updated outlook for net interest expense incorporates the recent debt issuance and the proceeds from the Global Print transaction. We also adjusted our November 2026 outlook for depreciation and amortization of software.</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 xml:space="preserve">On October 1, 2026, Thomson Reuters completed the sale of a 51% stake in its Global Print business to capital accounts advised by KKR. The two parties formed a joint venture to operate the Global Print business, now operating as Westbridge Print. Beginning October 1, 2026, Westbridge Print will pay a royalty to Thomson Reuters equal to 20% of its Professional revenues (approximately 85% - 90% of its total revenues) for the exclusive license to distribute the company’s intellectual property in print and on ProView, its eBook platform. Additionally, Westbridge Print entered a multi-year agreement whereby it will reimburse us for certain transition services as the joint venture migrates to a stand-alone entity. Beginning in the fourth quarter of 2026, the royalty and transition services reimbursement are largely expected to offset the stranded costs from the separation. Overall, we expect the impact from the Global Print transaction to be approximately neutral to our adjusted EBITDA margin following the transaction close, as well as 60 - 70 basis points accretive to our annual organic revenue growth rate. </w:t>
      </w:r>
    </w:p>
    <w:p>
      <w:pPr>
        <w:pStyle w:val="TextBody"/>
        <w:bidi w:val="0"/>
        <w:jc w:val="left"/>
        <w:rPr>
          <w:rFonts w:ascii="Clario;sans-serif" w:hAnsi="Clario;sans-serif"/>
          <w:color w:val="404040"/>
          <w:sz w:val="18"/>
        </w:rPr>
      </w:pPr>
      <w:r>
        <w:rPr>
          <w:rFonts w:ascii="Clario;sans-serif" w:hAnsi="Clario;sans-serif"/>
          <w:color w:val="404040"/>
          <w:sz w:val="18"/>
        </w:rPr>
        <w:t>The table below presents our updated outlook for 2026 on a continuing operations basis, which excludes our Global Print business, as well as our August 2026 outlook, which includes our Global Print business. Both full-year 2026 outlooks assume constant currency rates and exclude the impact of any future acquisitions or dispositions that may occur during the remainder of the year. We believe that this type of guidance provides useful insight into the anticipated performance of its businesses.</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We continue to operate in an uncertain macroeconomic environment, reflecting ongoing geopolitical risk, uneven economic growth and an evolving interest rate and inflationary backdrop. Any worsening of the global economic or business environment, among other factors, could impact our ability to achieve our outlook.</w:t>
      </w:r>
    </w:p>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17</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pPr>
      <w:r>
        <w:t> </w:t>
      </w:r>
    </w:p>
    <w:tbl>
      <w:tblPr>
        <w:tblW w:w="10205" w:type="dxa"/>
        <w:jc w:val="left"/>
        <w:tblInd w:w="0" w:type="dxa"/>
        <w:tblLayout w:type="fixed"/>
        <w:tblCellMar>
          <w:top w:w="28" w:type="dxa"/>
          <w:left w:w="28" w:type="dxa"/>
          <w:bottom w:w="28" w:type="dxa"/>
          <w:right w:w="28" w:type="dxa"/>
        </w:tblCellMar>
      </w:tblPr>
      <w:tblGrid>
        <w:gridCol w:w="3750"/>
        <w:gridCol w:w="1225"/>
        <w:gridCol w:w="1858"/>
        <w:gridCol w:w="146"/>
        <w:gridCol w:w="1220"/>
        <w:gridCol w:w="2006"/>
      </w:tblGrid>
      <w:tr>
        <w:tc>
          <w:tcPr>
            <w:tcW w:w="375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ind w:left="0" w:right="0" w:firstLine="100"/>
              <w:jc w:val="left"/>
              <w:rPr>
                <w:sz w:val="4"/>
                <w:szCs w:val="4"/>
              </w:rPr>
            </w:pPr>
            <w:r>
              <w:rPr>
                <w:sz w:val="4"/>
                <w:szCs w:val="4"/>
              </w:rPr>
            </w:r>
          </w:p>
        </w:tc>
      </w:tr>
      <w:tr>
        <w:tc>
          <w:tcPr>
            <w:tcW w:w="3750"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pPr>
            <w:r>
              <w:t> </w:t>
            </w:r>
          </w:p>
        </w:tc>
        <w:tc>
          <w:tcPr>
            <w:tcW w:w="3083"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Includes Global Print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3226" w:type="dxa"/>
            <w:gridSpan w:val="2"/>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Continuing Operations</w:t>
            </w:r>
          </w:p>
        </w:tc>
      </w:tr>
      <w:tr>
        <w:tc>
          <w:tcPr>
            <w:tcW w:w="3750"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FFFFFF"/>
                <w:sz w:val="18"/>
              </w:rPr>
            </w:pPr>
            <w:r>
              <w:rPr>
                <w:rFonts w:ascii="Clario;sans-serif" w:hAnsi="Clario;sans-serif"/>
                <w:b/>
                <w:color w:val="FFFFFF"/>
                <w:sz w:val="18"/>
              </w:rPr>
              <w:t>Total Thomson Reuters</w:t>
            </w:r>
          </w:p>
        </w:tc>
        <w:tc>
          <w:tcPr>
            <w:tcW w:w="1225"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2025 </w:t>
              <w:br/>
              <w:t>Reported</w:t>
            </w:r>
          </w:p>
        </w:tc>
        <w:tc>
          <w:tcPr>
            <w:tcW w:w="1858"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8/5/2026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220"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2025 </w:t>
              <w:br/>
              <w:t>Revised</w:t>
            </w:r>
          </w:p>
        </w:tc>
        <w:tc>
          <w:tcPr>
            <w:tcW w:w="200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11/3/2026</w:t>
            </w:r>
          </w:p>
        </w:tc>
      </w:tr>
      <w:tr>
        <w:tc>
          <w:tcPr>
            <w:tcW w:w="375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225"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Clario;sans-serif" w:hAnsi="Clario;sans-serif"/>
                <w:sz w:val="18"/>
              </w:rPr>
            </w:pPr>
            <w:r>
              <w:rPr>
                <w:rFonts w:ascii="Clario;sans-serif" w:hAnsi="Clario;sans-serif"/>
                <w:color w:val="404040"/>
                <w:sz w:val="18"/>
              </w:rPr>
              <w:t>3%</w:t>
            </w:r>
            <w:r>
              <w:rPr>
                <w:rFonts w:ascii="Clario;sans-serif" w:hAnsi="Clario;sans-serif"/>
                <w:color w:val="404040"/>
                <w:sz w:val="12"/>
              </w:rPr>
              <w:t>(4)</w:t>
            </w:r>
          </w:p>
        </w:tc>
        <w:tc>
          <w:tcPr>
            <w:tcW w:w="1858"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0"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Clario;sans-serif" w:hAnsi="Clario;sans-serif"/>
                <w:sz w:val="18"/>
              </w:rPr>
            </w:pPr>
            <w:r>
              <w:rPr>
                <w:rFonts w:ascii="Clario;sans-serif" w:hAnsi="Clario;sans-serif"/>
                <w:color w:val="404040"/>
                <w:sz w:val="18"/>
              </w:rPr>
              <w:t>4%</w:t>
            </w:r>
            <w:r>
              <w:rPr>
                <w:rFonts w:ascii="Clario;sans-serif" w:hAnsi="Clario;sans-serif"/>
                <w:color w:val="404040"/>
                <w:sz w:val="12"/>
              </w:rPr>
              <w:t>(4)</w:t>
            </w:r>
          </w:p>
        </w:tc>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~9.5%</w:t>
            </w:r>
          </w:p>
        </w:tc>
      </w:tr>
      <w:tr>
        <w:tc>
          <w:tcPr>
            <w:tcW w:w="3750"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ind w:left="200" w:right="0" w:firstLine="200"/>
              <w:jc w:val="left"/>
              <w:rPr>
                <w:rFonts w:ascii="Clario;sans-serif" w:hAnsi="Clario;sans-serif"/>
                <w:sz w:val="16"/>
              </w:rPr>
            </w:pPr>
            <w:r>
              <w:rPr>
                <w:rFonts w:ascii="Clario;sans-serif" w:hAnsi="Clario;sans-serif"/>
                <w:b/>
                <w:i/>
                <w:color w:val="404040"/>
                <w:sz w:val="16"/>
              </w:rPr>
              <w:t>Organic revenue growth</w:t>
            </w:r>
            <w:r>
              <w:rPr>
                <w:rFonts w:ascii="Clario;sans-serif" w:hAnsi="Clario;sans-serif"/>
                <w:b/>
                <w:i/>
                <w:color w:val="404040"/>
                <w:sz w:val="11"/>
              </w:rPr>
              <w:t>(1)</w:t>
            </w:r>
          </w:p>
        </w:tc>
        <w:tc>
          <w:tcPr>
            <w:tcW w:w="12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7%</w:t>
            </w:r>
          </w:p>
        </w:tc>
        <w:tc>
          <w:tcPr>
            <w:tcW w:w="18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8%</w:t>
            </w:r>
          </w:p>
        </w:tc>
        <w:tc>
          <w:tcPr>
            <w:tcW w:w="200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8.5% - 9.0%</w:t>
            </w:r>
          </w:p>
        </w:tc>
      </w:tr>
      <w:tr>
        <w:tc>
          <w:tcPr>
            <w:tcW w:w="3750"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b/>
                <w:color w:val="404040"/>
                <w:sz w:val="18"/>
              </w:rPr>
              <w:t>Adjusted EBITDA margin</w:t>
            </w:r>
            <w:r>
              <w:rPr>
                <w:rFonts w:ascii="Clario;sans-serif" w:hAnsi="Clario;sans-serif"/>
                <w:b/>
                <w:color w:val="404040"/>
                <w:sz w:val="12"/>
              </w:rPr>
              <w:t>(1)</w:t>
            </w:r>
          </w:p>
        </w:tc>
        <w:tc>
          <w:tcPr>
            <w:tcW w:w="1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39.2%</w:t>
            </w:r>
          </w:p>
        </w:tc>
        <w:tc>
          <w:tcPr>
            <w:tcW w:w="18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37.4%</w:t>
            </w:r>
          </w:p>
        </w:tc>
        <w:tc>
          <w:tcPr>
            <w:tcW w:w="200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~39%</w:t>
            </w:r>
          </w:p>
        </w:tc>
      </w:tr>
      <w:tr>
        <w:tc>
          <w:tcPr>
            <w:tcW w:w="3750"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b/>
                <w:color w:val="404040"/>
                <w:sz w:val="18"/>
              </w:rPr>
              <w:t>Corporate Center</w:t>
            </w:r>
            <w:r>
              <w:rPr>
                <w:rFonts w:ascii="Clario;sans-serif" w:hAnsi="Clario;sans-serif"/>
                <w:b/>
                <w:color w:val="404040"/>
                <w:sz w:val="12"/>
              </w:rPr>
              <w:t>(2)</w:t>
            </w:r>
          </w:p>
        </w:tc>
        <w:tc>
          <w:tcPr>
            <w:tcW w:w="12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$118 million</w:t>
            </w:r>
          </w:p>
        </w:tc>
        <w:tc>
          <w:tcPr>
            <w:tcW w:w="18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$115 - $125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$252 million</w:t>
            </w:r>
          </w:p>
        </w:tc>
        <w:tc>
          <w:tcPr>
            <w:tcW w:w="200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$190 - $195 million</w:t>
            </w:r>
          </w:p>
        </w:tc>
      </w:tr>
      <w:tr>
        <w:tc>
          <w:tcPr>
            <w:tcW w:w="3750"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b/>
                <w:color w:val="404040"/>
                <w:sz w:val="18"/>
              </w:rPr>
              <w:t>Free cash flow</w:t>
            </w:r>
            <w:r>
              <w:rPr>
                <w:rFonts w:ascii="Clario;sans-serif" w:hAnsi="Clario;sans-serif"/>
                <w:b/>
                <w:color w:val="404040"/>
                <w:sz w:val="12"/>
              </w:rPr>
              <w:t>(1)(3)</w:t>
            </w:r>
          </w:p>
        </w:tc>
        <w:tc>
          <w:tcPr>
            <w:tcW w:w="1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$1.95 billion</w:t>
            </w:r>
          </w:p>
        </w:tc>
        <w:tc>
          <w:tcPr>
            <w:tcW w:w="18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 billion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$1.95 billion</w:t>
            </w:r>
          </w:p>
        </w:tc>
        <w:tc>
          <w:tcPr>
            <w:tcW w:w="2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 billion</w:t>
            </w:r>
          </w:p>
        </w:tc>
      </w:tr>
      <w:tr>
        <w:tc>
          <w:tcPr>
            <w:tcW w:w="3750"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 xml:space="preserve">Accrued capital expenditures as a </w:t>
              <w:br/>
              <w:t>   percentage of revenues</w:t>
            </w:r>
            <w:r>
              <w:rPr>
                <w:rFonts w:ascii="Clario;sans-serif" w:hAnsi="Clario;sans-serif"/>
                <w:b/>
                <w:color w:val="404040"/>
                <w:sz w:val="12"/>
              </w:rPr>
              <w:t>(1)</w:t>
            </w:r>
          </w:p>
        </w:tc>
        <w:tc>
          <w:tcPr>
            <w:tcW w:w="12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8.2%</w:t>
            </w:r>
          </w:p>
        </w:tc>
        <w:tc>
          <w:tcPr>
            <w:tcW w:w="18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8.8%</w:t>
            </w:r>
          </w:p>
        </w:tc>
        <w:tc>
          <w:tcPr>
            <w:tcW w:w="2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8.5% - 9.0%</w:t>
            </w:r>
          </w:p>
        </w:tc>
      </w:tr>
      <w:tr>
        <w:tc>
          <w:tcPr>
            <w:tcW w:w="375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Depreciation and amortization of </w:t>
              <w:br/>
              <w:t>   software</w:t>
            </w:r>
          </w:p>
        </w:tc>
        <w:tc>
          <w:tcPr>
            <w:tcW w:w="1225"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$832 million</w:t>
            </w:r>
          </w:p>
        </w:tc>
        <w:tc>
          <w:tcPr>
            <w:tcW w:w="1858"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$890 - $910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$823 million</w:t>
            </w:r>
          </w:p>
        </w:tc>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~$900 million</w:t>
            </w:r>
          </w:p>
        </w:tc>
      </w:tr>
      <w:tr>
        <w:tc>
          <w:tcPr>
            <w:tcW w:w="375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Depreciation and amortization of</w:t>
              <w:br/>
              <w:t>     internally developed software</w:t>
            </w:r>
          </w:p>
        </w:tc>
        <w:tc>
          <w:tcPr>
            <w:tcW w:w="1225"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$626 million</w:t>
            </w:r>
          </w:p>
        </w:tc>
        <w:tc>
          <w:tcPr>
            <w:tcW w:w="1858"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$680 - $690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$617 million</w:t>
            </w:r>
          </w:p>
        </w:tc>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~$670 million</w:t>
            </w:r>
          </w:p>
        </w:tc>
      </w:tr>
      <w:tr>
        <w:tc>
          <w:tcPr>
            <w:tcW w:w="3750"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Amortization of acquired software</w:t>
            </w:r>
          </w:p>
        </w:tc>
        <w:tc>
          <w:tcPr>
            <w:tcW w:w="1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$206 million</w:t>
            </w:r>
          </w:p>
        </w:tc>
        <w:tc>
          <w:tcPr>
            <w:tcW w:w="18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$210 - $220 million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$206 million</w:t>
            </w:r>
          </w:p>
        </w:tc>
        <w:tc>
          <w:tcPr>
            <w:tcW w:w="200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~$230 million</w:t>
            </w:r>
          </w:p>
        </w:tc>
      </w:tr>
      <w:tr>
        <w:tc>
          <w:tcPr>
            <w:tcW w:w="3750"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Net interest expense</w:t>
            </w:r>
          </w:p>
        </w:tc>
        <w:tc>
          <w:tcPr>
            <w:tcW w:w="122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$143 million</w:t>
            </w:r>
          </w:p>
        </w:tc>
        <w:tc>
          <w:tcPr>
            <w:tcW w:w="18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$180 - $190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$143 million</w:t>
            </w:r>
          </w:p>
        </w:tc>
        <w:tc>
          <w:tcPr>
            <w:tcW w:w="200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~$190 million</w:t>
            </w:r>
          </w:p>
        </w:tc>
      </w:tr>
      <w:tr>
        <w:tc>
          <w:tcPr>
            <w:tcW w:w="3750"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b/>
                <w:color w:val="404040"/>
                <w:sz w:val="18"/>
              </w:rPr>
              <w:t xml:space="preserve">Effective tax rate on adjusted </w:t>
              <w:br/>
              <w:t>   earnings</w:t>
            </w:r>
            <w:r>
              <w:rPr>
                <w:rFonts w:ascii="Clario;sans-serif" w:hAnsi="Clario;sans-serif"/>
                <w:b/>
                <w:color w:val="404040"/>
                <w:sz w:val="12"/>
              </w:rPr>
              <w:t>(1)</w:t>
            </w:r>
          </w:p>
        </w:tc>
        <w:tc>
          <w:tcPr>
            <w:tcW w:w="122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18.5%</w:t>
            </w:r>
          </w:p>
        </w:tc>
        <w:tc>
          <w:tcPr>
            <w:tcW w:w="18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18.8%</w:t>
            </w:r>
          </w:p>
        </w:tc>
        <w:tc>
          <w:tcPr>
            <w:tcW w:w="2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w:t>
            </w:r>
          </w:p>
        </w:tc>
      </w:tr>
    </w:tbl>
    <w:p>
      <w:pPr>
        <w:pStyle w:val="TextBody"/>
        <w:bidi w:val="0"/>
        <w:jc w:val="left"/>
      </w:pPr>
      <w:r>
        <w:t> </w:t>
      </w:r>
    </w:p>
    <w:tbl>
      <w:tblPr>
        <w:tblW w:w="8156" w:type="dxa"/>
        <w:jc w:val="left"/>
        <w:tblInd w:w="0" w:type="dxa"/>
        <w:tblLayout w:type="fixed"/>
        <w:tblCellMar>
          <w:top w:w="28" w:type="dxa"/>
          <w:left w:w="28" w:type="dxa"/>
          <w:bottom w:w="28" w:type="dxa"/>
          <w:right w:w="28" w:type="dxa"/>
        </w:tblCellMar>
      </w:tblPr>
      <w:tblGrid>
        <w:gridCol w:w="2711"/>
        <w:gridCol w:w="1051"/>
        <w:gridCol w:w="1651"/>
        <w:gridCol w:w="146"/>
        <w:gridCol w:w="901"/>
        <w:gridCol w:w="1696"/>
      </w:tblGrid>
      <w:tr>
        <w:tc>
          <w:tcPr>
            <w:tcW w:w="27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ind w:left="0" w:right="0" w:firstLine="100"/>
              <w:jc w:val="left"/>
              <w:rPr>
                <w:sz w:val="4"/>
                <w:szCs w:val="4"/>
              </w:rPr>
            </w:pPr>
            <w:r>
              <w:rPr>
                <w:sz w:val="4"/>
                <w:szCs w:val="4"/>
              </w:rPr>
            </w:r>
          </w:p>
        </w:tc>
      </w:tr>
      <w:tr>
        <w:tc>
          <w:tcPr>
            <w:tcW w:w="2711"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pPr>
            <w:r>
              <w:t> </w:t>
            </w:r>
          </w:p>
        </w:tc>
        <w:tc>
          <w:tcPr>
            <w:tcW w:w="270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Includes Global Print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597" w:type="dxa"/>
            <w:gridSpan w:val="2"/>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Continuing Operations</w:t>
            </w:r>
          </w:p>
        </w:tc>
      </w:tr>
      <w:tr>
        <w:tc>
          <w:tcPr>
            <w:tcW w:w="2711" w:type="dxa"/>
            <w:tcBorders/>
            <w:shd w:fill="666666" w:val="clear"/>
            <w:tcMar>
              <w:top w:w="0" w:type="dxa"/>
              <w:left w:w="0" w:type="dxa"/>
              <w:bottom w:w="0" w:type="dxa"/>
              <w:right w:w="0" w:type="dxa"/>
            </w:tcMar>
            <w:vAlign w:val="center"/>
          </w:tcPr>
          <w:p>
            <w:pPr>
              <w:pStyle w:val="TableContents"/>
              <w:bidi w:val="0"/>
              <w:spacing w:lineRule="auto" w:line="360" w:before="0" w:after="283"/>
              <w:ind w:left="100" w:right="0" w:firstLine="100"/>
              <w:jc w:val="left"/>
            </w:pPr>
            <w:r>
              <w:rPr>
                <w:color w:val="FFFFFF"/>
              </w:rPr>
              <w:t>“</w:t>
            </w:r>
            <w:r>
              <w:rPr>
                <w:rFonts w:ascii="Clario;sans-serif" w:hAnsi="Clario;sans-serif"/>
                <w:b/>
                <w:color w:val="FFFFFF"/>
                <w:sz w:val="18"/>
              </w:rPr>
              <w:t>Big 3” Segments</w:t>
            </w:r>
            <w:r>
              <w:rPr>
                <w:rFonts w:ascii="Clario;sans-serif" w:hAnsi="Clario;sans-serif"/>
                <w:b/>
                <w:color w:val="FFFFFF"/>
                <w:sz w:val="12"/>
              </w:rPr>
              <w:t>(1)</w:t>
            </w:r>
          </w:p>
        </w:tc>
        <w:tc>
          <w:tcPr>
            <w:tcW w:w="105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2025 </w:t>
              <w:br/>
              <w:t>Reported</w:t>
            </w:r>
          </w:p>
        </w:tc>
        <w:tc>
          <w:tcPr>
            <w:tcW w:w="165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8/5/2026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2025 </w:t>
              <w:br/>
              <w:t>Revised</w:t>
            </w:r>
          </w:p>
        </w:tc>
        <w:tc>
          <w:tcPr>
            <w:tcW w:w="169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11/3/2026</w:t>
            </w:r>
          </w:p>
        </w:tc>
      </w:tr>
      <w:tr>
        <w:tc>
          <w:tcPr>
            <w:tcW w:w="27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051"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Clario;sans-serif" w:hAnsi="Clario;sans-serif"/>
                <w:sz w:val="18"/>
              </w:rPr>
            </w:pPr>
            <w:r>
              <w:rPr>
                <w:rFonts w:ascii="Clario;sans-serif" w:hAnsi="Clario;sans-serif"/>
                <w:color w:val="404040"/>
                <w:sz w:val="18"/>
              </w:rPr>
              <w:t>4%</w:t>
            </w:r>
            <w:r>
              <w:rPr>
                <w:rFonts w:ascii="Clario;sans-serif" w:hAnsi="Clario;sans-serif"/>
                <w:color w:val="404040"/>
                <w:sz w:val="12"/>
              </w:rPr>
              <w:t>(4)</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9.5% - 10.0%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01"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Clario;sans-serif" w:hAnsi="Clario;sans-serif"/>
                <w:sz w:val="18"/>
              </w:rPr>
            </w:pPr>
            <w:r>
              <w:rPr>
                <w:rFonts w:ascii="Clario;sans-serif" w:hAnsi="Clario;sans-serif"/>
                <w:color w:val="404040"/>
                <w:sz w:val="18"/>
              </w:rPr>
              <w:t>4%</w:t>
            </w:r>
            <w:r>
              <w:rPr>
                <w:rFonts w:ascii="Clario;sans-serif" w:hAnsi="Clario;sans-serif"/>
                <w:color w:val="404040"/>
                <w:sz w:val="12"/>
              </w:rPr>
              <w:t>(4)</w:t>
            </w:r>
          </w:p>
        </w:tc>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9.5% - 10.0%</w:t>
            </w:r>
          </w:p>
        </w:tc>
      </w:tr>
      <w:tr>
        <w:tc>
          <w:tcPr>
            <w:tcW w:w="271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b/>
                <w:i/>
                <w:color w:val="404040"/>
                <w:sz w:val="16"/>
              </w:rPr>
            </w:pPr>
            <w:r>
              <w:rPr>
                <w:rFonts w:ascii="Clario;sans-serif" w:hAnsi="Clario;sans-serif"/>
                <w:b/>
                <w:i/>
                <w:color w:val="404040"/>
                <w:sz w:val="16"/>
              </w:rPr>
              <w:t>Organic revenue growth</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9.5% - 10.0%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w:t>
            </w:r>
          </w:p>
        </w:tc>
        <w:tc>
          <w:tcPr>
            <w:tcW w:w="169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9.5% - 10.0%</w:t>
            </w:r>
          </w:p>
        </w:tc>
      </w:tr>
      <w:tr>
        <w:tc>
          <w:tcPr>
            <w:tcW w:w="271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Adjusted EBITDA margin</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43.6%</w:t>
            </w:r>
          </w:p>
        </w:tc>
        <w:tc>
          <w:tcPr>
            <w:tcW w:w="16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9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43.6%</w:t>
            </w:r>
          </w:p>
        </w:tc>
        <w:tc>
          <w:tcPr>
            <w:tcW w:w="16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Non-IFRS financial measures. Refer to Appendices A and B of this management’s discussion and analysis for additional information and reconciliations of our non-IFRS financial measures to the most directly comparable IFRS financial measures.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Corporate Center includes costs for centrally managed functions and, on a continuing operations basis, certain content and editorial costs associated with our former Global Print business. Starting October 1, 2026, Corporate Center will also include a royalty paid to Thomson Reuters from Westbridge Print and fees for certain transition services as the joint venture migrates to a stand-alone entity.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(3)</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Free cash flow includes continuing and discontinued operations.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(4)</w:t>
      </w:r>
    </w:p>
    <w:p>
      <w:pPr>
        <w:pStyle w:val="TextBody"/>
        <w:bidi w:val="0"/>
        <w:jc w:val="left"/>
        <w:rPr>
          <w:rFonts w:ascii="Clario;sans-serif" w:hAnsi="Clario;sans-serif"/>
          <w:color w:val="404040"/>
          <w:sz w:val="16"/>
        </w:rPr>
      </w:pPr>
      <w:r>
        <w:rPr>
          <w:rFonts w:ascii="Clario;sans-serif" w:hAnsi="Clario;sans-serif"/>
          <w:color w:val="404040"/>
          <w:sz w:val="16"/>
        </w:rPr>
        <w:t xml:space="preserve">Total revenue growth reflects the impact of the disposals of FindLaw and other non-core businesses in December 2024. </w:t>
      </w:r>
    </w:p>
    <w:p>
      <w:pPr>
        <w:pStyle w:val="TextBody"/>
        <w:bidi w:val="0"/>
        <w:spacing w:before="180" w:after="120"/>
        <w:jc w:val="left"/>
        <w:rPr>
          <w:rFonts w:ascii="Clario;sans-serif" w:hAnsi="Clario;sans-serif"/>
          <w:color w:val="404040"/>
          <w:sz w:val="18"/>
        </w:rPr>
      </w:pPr>
      <w:r>
        <w:rPr>
          <w:rFonts w:ascii="Clario;sans-serif" w:hAnsi="Clario;sans-serif"/>
          <w:color w:val="404040"/>
          <w:sz w:val="18"/>
        </w:rPr>
        <w:t xml:space="preserve">We expect our fourth-quarter 2026 organic revenue growth to be approximately 8% and our adjusted EBITDA margin to be approximately 42%. </w:t>
      </w:r>
    </w:p>
    <w:p>
      <w:pPr>
        <w:pStyle w:val="TextBody"/>
        <w:bidi w:val="0"/>
        <w:spacing w:before="60" w:after="120"/>
        <w:jc w:val="left"/>
        <w:rPr>
          <w:rFonts w:ascii="Clario;sans-serif" w:hAnsi="Clario;sans-serif"/>
          <w:color w:val="404040"/>
          <w:sz w:val="18"/>
        </w:rPr>
      </w:pPr>
      <w:r>
        <w:rPr>
          <w:rFonts w:ascii="Clario;sans-serif" w:hAnsi="Clario;sans-serif"/>
          <w:color w:val="404040"/>
          <w:sz w:val="18"/>
        </w:rPr>
        <w:t xml:space="preserve">The following table summarizes our material assumptions and risks that may cause actual performance to differ from our expectations underlying our 2026 financial outlook. </w:t>
      </w:r>
    </w:p>
    <w:tbl>
      <w:tblPr>
        <w:tblW w:w="10205" w:type="dxa"/>
        <w:jc w:val="left"/>
        <w:tblInd w:w="0" w:type="dxa"/>
        <w:tblLayout w:type="fixed"/>
        <w:tblCellMar>
          <w:top w:w="28" w:type="dxa"/>
          <w:left w:w="28" w:type="dxa"/>
          <w:bottom w:w="28" w:type="dxa"/>
          <w:right w:w="28" w:type="dxa"/>
        </w:tblCellMar>
      </w:tblPr>
      <w:tblGrid>
        <w:gridCol w:w="4933"/>
        <w:gridCol w:w="376"/>
        <w:gridCol w:w="4896"/>
      </w:tblGrid>
      <w:tr>
        <w:tc>
          <w:tcPr>
            <w:tcW w:w="49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r>
      <w:t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Uncertain macroeconomic and geopolitical conditions will continue to disrupt the economy and cause periods of volatility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need for trusted products and services that help customers navigate evolving and complex legal, tax, audit, accounting, regulatory, geopolitical and commercial changes, developments and environments, and for cloud-based digital tools that drive productivity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ability to deliver innovative products that meet evolving customer demands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Acquisition of new customers through expanded and improved digital platforms, simplification of the product portfolio and through other sales initiatives</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Improvement in customer retention through commercial simplification efforts and customer service improvements</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pPr>
            <w: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Ongoing geopolitical and macroeconomic uncertainty continue to impact the global economy. The severity and duration of this uncertainty could lead to lower demand for our products and services (beyond our assumption that these disruptions will cause periods of volatility)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Uncertainty in the legal regulatory regime relating to AI. Enacted or potential future legislation may make it harder for us to conduct business using AI, lead to regulatory fines or penalties, require us to change product offerings or business practices, or prevent or limit our use of AI</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Demand for our products and services could be reduced by changes in customer buying patterns, or our inability to execute on key product design or customer support initiatives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Competitive pricing actions and product innovation could impact our revenues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sales, commercial simplification and product design initiatives may be insufficient to retain customers or generate new sales</w:t>
            </w:r>
          </w:p>
        </w:tc>
      </w:tr>
    </w:tbl>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18</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65"/>
        <w:gridCol w:w="376"/>
        <w:gridCol w:w="4964"/>
      </w:tblGrid>
      <w:tr>
        <w:tc>
          <w:tcPr>
            <w:tcW w:w="486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64"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D4D4D"/>
                <w:sz w:val="18"/>
              </w:rPr>
            </w:pPr>
            <w:r>
              <w:rPr>
                <w:rFonts w:ascii="Clario;sans-serif" w:hAnsi="Clario;sans-serif"/>
                <w:b/>
                <w:color w:val="4D4D4D"/>
                <w:sz w:val="18"/>
              </w:rPr>
              <w:t>Adjusted EBITDA margin</w:t>
            </w:r>
          </w:p>
        </w:tc>
      </w:tr>
      <w:tr>
        <w:tc>
          <w:tcPr>
            <w:tcW w:w="4865"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4964"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c>
          <w:tcPr>
            <w:tcW w:w="4865"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revenue growth targets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Business mix continues to shift to higher-growth product offerings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Integration expenses associated with recent acquisitions will reduce margins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Royalties and transition cost reimbursements largely offset certain retained costs of our former Global Print segment in the fourth quarter</w:t>
            </w:r>
          </w:p>
          <w:p>
            <w:pPr>
              <w:pStyle w:val="TableContents"/>
              <w:bidi w:val="0"/>
              <w:spacing w:before="0" w:after="283"/>
              <w:ind w:left="0" w:right="0" w:firstLine="360"/>
              <w:jc w:val="left"/>
            </w:pPr>
            <w: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pPr>
            <w:r>
              <w:t> </w:t>
            </w:r>
          </w:p>
        </w:tc>
        <w:tc>
          <w:tcPr>
            <w:tcW w:w="4964"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Higher than expected technology costs to deliver innovative solutions to our customers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Higher than expected inflation may lead to greater than anticipated increase in labor costs and third-party supplier costs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Acquisition and disposal activity may dilute adjusted EBITDA margin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Fourth quarter royalties and cost reimbursements do not offset certain retained costs of our former Global Print segment</w:t>
            </w:r>
          </w:p>
        </w:tc>
      </w:tr>
      <w:tr>
        <w:tc>
          <w:tcPr>
            <w:tcW w:w="10205" w:type="dxa"/>
            <w:gridSpan w:val="3"/>
            <w:tcBorders>
              <w:bottom w:val="single" w:sz="8" w:space="0" w:color="AFAFAF"/>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r>
      <w:tr>
        <w:tc>
          <w:tcPr>
            <w:tcW w:w="4865"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4964"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c>
          <w:tcPr>
            <w:tcW w:w="4865"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our revenue and adjusted EBITDA margin targets </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Accrued capital expenditures expected to be 8.5% - 9.0% of revenues in 2026</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pPr>
            <w:r>
              <w:t> </w:t>
            </w:r>
          </w:p>
        </w:tc>
        <w:tc>
          <w:tcPr>
            <w:tcW w:w="4964"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and adjusted EBITDA margin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 weaker macroeconomic environment could negatively impact working capital performance, including the ability of our customers to pay us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Capital expenditures may be higher than currently expected</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The timing and amount of tax payments to governments may differ from our expectations</w:t>
            </w:r>
          </w:p>
        </w:tc>
      </w:tr>
    </w:tbl>
    <w:p>
      <w:pPr>
        <w:pStyle w:val="TextBody"/>
        <w:bidi w:val="0"/>
        <w:spacing w:before="180" w:after="120"/>
        <w:jc w:val="left"/>
      </w:pPr>
      <w:r>
        <w:t> </w:t>
      </w:r>
    </w:p>
    <w:tbl>
      <w:tblPr>
        <w:tblW w:w="10205" w:type="dxa"/>
        <w:jc w:val="left"/>
        <w:tblInd w:w="0" w:type="dxa"/>
        <w:tblLayout w:type="fixed"/>
        <w:tblCellMar>
          <w:top w:w="28" w:type="dxa"/>
          <w:left w:w="28" w:type="dxa"/>
          <w:bottom w:w="28" w:type="dxa"/>
          <w:right w:w="28" w:type="dxa"/>
        </w:tblCellMar>
      </w:tblPr>
      <w:tblGrid>
        <w:gridCol w:w="4595"/>
        <w:gridCol w:w="376"/>
        <w:gridCol w:w="5234"/>
      </w:tblGrid>
      <w:tr>
        <w:tc>
          <w:tcPr>
            <w:tcW w:w="459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34"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r>
      <w:tr>
        <w:tc>
          <w:tcPr>
            <w:tcW w:w="4595"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5234"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c>
          <w:tcPr>
            <w:tcW w:w="4595"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ability to achieve our adjusted EBITDA target</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The mix of taxing jurisdictions where we recognized pre-tax profit or losses in 2025 does not significantly change in 2026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Minimal changes in currently enacted tax laws and treaties within the jurisdictions where we operate</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No significant charges or benefits from the finalization of prior tax years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Depreciation and amortization of internally developed software of approximately $670 million in 2026</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Net interest expense of approximately $190 million in 2026</w:t>
            </w:r>
          </w:p>
          <w:p>
            <w:pPr>
              <w:pStyle w:val="TableContents"/>
              <w:pBdr/>
              <w:bidi w:val="0"/>
              <w:spacing w:before="0" w:after="283"/>
              <w:ind w:left="0" w:right="0" w:firstLine="360"/>
              <w:jc w:val="left"/>
            </w:pPr>
            <w: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pPr>
            <w:r>
              <w:t> </w:t>
            </w:r>
          </w:p>
        </w:tc>
        <w:tc>
          <w:tcPr>
            <w:tcW w:w="5234"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adjusted EBITDA</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the geographical mix of our pre-tax profits and losses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current tax laws or treaties to which we are subject, and did not expect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Resolution of tax audits may cause material changes to assessments of uncertain tax positions compared to current estimates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Depreciation and amortization of internally developed software as well as net interest expense may be significantly higher or lower than expected </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Our outlook contains various non-IFRS financial measures. We believe that providing reconciliations of forward-looking non-IFRS financial measures in our outlook would be potentially misleading and not practical due to the difficulty of projecting items that are not reflective of ongoing operations in any future period. The magnitude of these items may be significant. Consequently, for purposes of our outlook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Additionally, we cannot reasonably predict the occurrence or amount of other operating gains and losses, which generally arise from business transactions we do not currently anticipate.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19</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Related Party Transactions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As of November 2, 2026, our principal shareholder, Woodbridge (together with its affiliates), beneficially owned approximately 71% of our common shares.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nine months ended September 30, 2026, we contributed $7 million in cash to 3XSQ Associates pursuant to a capital call.</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Except for the above transaction, there were no new significant related party transactions during the first nine months of 2026. Refer to the “Related Party Transactions” section of our 2025 annual management’s discussion and analysis, which is contained in our 2025 annual report, as well as note 32 of our 2025 annual consolidated financial statements for information regarding related party transactions.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Subsequent Events</w:t>
      </w:r>
    </w:p>
    <w:p>
      <w:pPr>
        <w:pStyle w:val="TextBody"/>
        <w:bidi w:val="0"/>
        <w:spacing w:before="100" w:after="283"/>
        <w:jc w:val="left"/>
        <w:rPr>
          <w:rFonts w:ascii="sans-serif" w:hAnsi="sans-serif"/>
          <w:b/>
          <w:color w:val="000000"/>
          <w:sz w:val="20"/>
        </w:rPr>
      </w:pPr>
      <w:r>
        <w:rPr>
          <w:rFonts w:ascii="sans-serif" w:hAnsi="sans-serif"/>
          <w:b/>
          <w:color w:val="000000"/>
          <w:sz w:val="20"/>
        </w:rPr>
        <w:t>Global Print Transaction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On October 1, 2026, we closed the sale of a 51% stake in our Global Print business to capital accounts advised by KKR and retained a 49% equity interest. We received approximately $500 million in gross proceeds at closing and expect to record a pre-tax gain on the transaction in the fourth quarter of 2026. In connection with this transaction, we entered into a joint venture with KKR to operate the Global Print business, now operating as Westbridge Print (see the "Global Print Transaction" subsection within the "Executive Summary - Financial Highlights" section of this management's discussion and analysis for additional information).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maintain intellectual property rights and full editorial control over our content portfolio. This joint venture holds an exclusive license to distribute the content in print and on ProView, the e-book platform, and will pay us a royalty equal to 20% of its Professional revenues (approximately 85% – 90% of Westbridge Print’s total revenues) for an initial period of 10 years. Westbridge Print has also entered into a multi-year agreement with our company under which it will reimburse us for certain services including technology, operations and administrative services provided during its transition to standalone operations.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As part of the transaction, the Company has agreed to provide certain financial support designed to give KKR a minimum return on its equity investment in the joint venture under certain circumstances.</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Changes in Accounting Policies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Please refer to the “Changes in Accounting Policies” section of our 2025 annual management’s discussion and analysis, which is contained in our 2025 annual report, as well as note 1 of our consolidated interim financial statements for the three and nine months ended September 30, 2026, for information regarding changes in accounting policies and recent accounting pronouncements. </w:t>
      </w:r>
    </w:p>
    <w:p>
      <w:pPr>
        <w:pStyle w:val="TextBody"/>
        <w:bidi w:val="0"/>
        <w:spacing w:before="100" w:after="283"/>
        <w:jc w:val="left"/>
        <w:rPr>
          <w:rFonts w:ascii="Clario;sans-serif" w:hAnsi="Clario;sans-serif"/>
          <w:sz w:val="20"/>
        </w:rPr>
      </w:pPr>
      <w:r>
        <w:rPr>
          <w:rFonts w:ascii="Clario;sans-serif" w:hAnsi="Clario;sans-serif"/>
          <w:b/>
          <w:color w:val="404040"/>
          <w:sz w:val="20"/>
        </w:rPr>
        <w:t>Critical Accounting Estimates and Judgments</w:t>
      </w:r>
      <w:r>
        <w:rPr>
          <w:rFonts w:ascii="Clario;sans-serif" w:hAnsi="Clario;sans-serif"/>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Please refer to the “Critical Accounting Estimates and Judgments” section of our 2025 annual management’s discussion and analysis, which is contained in our 2025 annual report, for additional information. Since the date of our 2025 annual management’s discussion and analysis, there have not been any significant changes to our critical accounting estimates and judgments.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continue to operate in an uncertain macroeconomic environment, reflecting ongoing geopolitical risk, uneven economic growth and an evolving interest rate and inflationary backdrop, among other factors. While we are closely monitoring these conditions to assess potential impacts on our businesses, some of management’s estimates and judgments may be more variable and may change materially in the future due to the significant uncertainty created by these circumstances.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Additional Information</w:t>
      </w:r>
    </w:p>
    <w:p>
      <w:pPr>
        <w:pStyle w:val="TextBody"/>
        <w:bidi w:val="0"/>
        <w:spacing w:before="100" w:after="283"/>
        <w:jc w:val="left"/>
        <w:rPr>
          <w:rFonts w:ascii="Clario;sans-serif" w:hAnsi="Clario;sans-serif"/>
          <w:b/>
          <w:i/>
          <w:color w:val="404040"/>
          <w:sz w:val="18"/>
          <w:u w:val="single"/>
        </w:rPr>
      </w:pPr>
      <w:r>
        <w:rPr>
          <w:rFonts w:ascii="Clario;sans-serif" w:hAnsi="Clario;sans-serif"/>
          <w:b/>
          <w:i/>
          <w:color w:val="404040"/>
          <w:sz w:val="18"/>
          <w:u w:val="single"/>
        </w:rPr>
        <w:t>Basis of presentation</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On October 1, 2026, Thomson Reuters completed the sale of a 51% stake in its Global Print business to capital accounts advised by KKR, with the two parties forming a joint venture to operate the Global Print business, now operating as Westbridge Print. In three-month and nine-month periods ended September 30, 2026, the Global Print business was reported as discontinued operations. Prior-year period amounts have been revised to reflect this change. See previous news release, "Thomson Reuters Provides Supplemental Financial Information Following Close of Global Print Transaction" available in the Investor Relations section of thomsonreuters.com and also filed with Canadian securities regulatory authorities and the U.S. Securities and Exchange Commission (SEC).</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20</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In the first quarter of 2026, we changed our segment reporting to reflect how we currently manage our segments. The change reflects the transfer of certain customers and their related revenues and expenses among our Legal Professionals, Corporates and Tax, Audit &amp; Accounting Professionals segments. These changes impact the financial results of our segments, but do not change our consolidated financial results. The following summarizes the changes to the applicable segment's reported amounts.</w:t>
      </w:r>
    </w:p>
    <w:p>
      <w:pPr>
        <w:pStyle w:val="TextBody"/>
        <w:bidi w:val="0"/>
        <w:jc w:val="left"/>
      </w:pPr>
      <w: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Three months ended September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Legal Professionals revenues decreased $7 million to $721 million, adjusted EBITDA decreased $1 million to $353 million and adjusted EBITDA margin increased 30 basis points to 49.0%;</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Corporates revenues increased $11 million to $489 million, adjusted EBITDA increased $3 million to $177 million and adjusted EBITDA margin decreased 20 basis points to 36.3%;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$4 million to $247 million, adjusted EBITDA decreased $2 million to $76 million and adjusted EBITDA margin decreased 60 basis points to 30.6%. </w:t>
      </w:r>
    </w:p>
    <w:p>
      <w:pPr>
        <w:pStyle w:val="TextBody"/>
        <w:bidi w:val="0"/>
        <w:jc w:val="left"/>
      </w:pPr>
      <w: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Nine months ended September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$17 million to $2,113 million, adjusted EBITDA decreased $1 million to $1,028 million and adjusted EBITDA margin increased 30 basis points to 48.6%;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Corporates revenues increased $26 million to $1,517 million, adjusted EBITDA increased $8 million to $564 million and adjusted EBITDA margin decreased 10 basis points to 37.2%;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$9 million to $879 million, adjusted EBITDA decreased $7 million to $394 million and adjusted EBITDA margin decreased 30 basis points to 43.9%.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Disclosure controls and procedures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Internal control over financial reporting</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There was no change in our internal control over financial reporting during the third quarter of 2026 that materially affected, or is reasonably likely to materially affect, our internal control over financial reporting.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Share capital</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November 2, 2026, we had outstanding 433,458,865 common shares, 6,000,000 Series II preference shares, 1,859,838 stock options and a total of 2,131,135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Public securities filings and regulatory announcements</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You may access other information about our company, including our 2025 annual report (which contains information required in an annual information form) and our other disclosure documents, reports, statements or other information that we file with the Canadian securities regulatory authorities through SEDAR+ at </w:t>
      </w:r>
      <w:r>
        <w:rPr>
          <w:rFonts w:ascii="Clario;sans-serif" w:hAnsi="Clario;sans-serif"/>
          <w:b/>
          <w:i/>
          <w:color w:val="404040"/>
          <w:sz w:val="18"/>
        </w:rPr>
        <w:t>sedarplus.ca</w:t>
      </w:r>
      <w:r>
        <w:rPr>
          <w:rFonts w:ascii="Clario;sans-serif" w:hAnsi="Clario;sans-serif"/>
          <w:color w:val="404040"/>
          <w:sz w:val="18"/>
        </w:rPr>
        <w:t xml:space="preserve"> and in the United States with the SEC at </w:t>
      </w:r>
      <w:r>
        <w:rPr>
          <w:rFonts w:ascii="Clario;sans-serif" w:hAnsi="Clario;sans-serif"/>
          <w:b/>
          <w:i/>
          <w:color w:val="404040"/>
          <w:sz w:val="18"/>
        </w:rPr>
        <w:t>sec.gov.</w:t>
      </w:r>
      <w:r>
        <w:rPr>
          <w:rFonts w:ascii="Clario;sans-serif" w:hAnsi="Clario;sans-serif"/>
          <w:color w:val="404040"/>
          <w:sz w:val="18"/>
        </w:rPr>
        <w:t xml:space="preserve">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21</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Cautionary note concerning factors that may affect future results</w:t>
      </w:r>
    </w:p>
    <w:p>
      <w:pPr>
        <w:pStyle w:val="TextBody"/>
        <w:bidi w:val="0"/>
        <w:spacing w:before="100" w:after="283"/>
        <w:jc w:val="left"/>
        <w:rPr>
          <w:rFonts w:ascii="Clario;sans-serif" w:hAnsi="Clario;sans-serif"/>
          <w:sz w:val="18"/>
        </w:rPr>
      </w:pPr>
      <w:r>
        <w:rPr>
          <w:rFonts w:ascii="Clario;sans-serif" w:hAnsi="Clario;sans-serif"/>
          <w:i/>
          <w:color w:val="404040"/>
          <w:sz w:val="18"/>
        </w:rPr>
        <w:t>Certain statements in this management’s discussion and analysis are forward-looking, including, but not limited to, the 2026 business outlook section, statements related to the closing of the October 1, 2026 Global Print transaction and the corresponding joint venture royalty arrangement and transition services agreement, the provision of certain financial support to KKR, the expected financial impacts from, and pre-tax gain on, the transaction, and statements related to the Company’s intentions to target a leverage ratio of 2.5x net debt to adjusted EBITDA, a dividend payout ratio of between 50% to 60% of its free cash flow, to return at least 75% of free cash flow annually in the form of dividends and share repurchases, as well as its target to earn a ROIC that is double or more of its weighted-average cost of capital over time, the Company’s expectations regarding refunds on amounts paid to HMRC, and other expectations regarding its liquidity and capital resources.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In particular, the full extent of the impact of the macroeconomic and geopolitical environment on the Company’s business, operations and financial results will depend on numerous evolving factors that we may not be able to accurately predict.</w:t>
      </w:r>
      <w:r>
        <w:rPr>
          <w:rFonts w:ascii="Clario;sans-serif" w:hAnsi="Clario;sans-serif"/>
          <w:color w:val="404040"/>
          <w:sz w:val="18"/>
        </w:rPr>
        <w:t xml:space="preserve"> </w:t>
      </w:r>
    </w:p>
    <w:p>
      <w:pPr>
        <w:pStyle w:val="TextBody"/>
        <w:bidi w:val="0"/>
        <w:jc w:val="left"/>
      </w:pPr>
      <w:r>
        <w:t> </w:t>
      </w:r>
    </w:p>
    <w:p>
      <w:pPr>
        <w:pStyle w:val="TextBody"/>
        <w:bidi w:val="0"/>
        <w:jc w:val="left"/>
        <w:rPr>
          <w:rFonts w:ascii="Clario;sans-serif" w:hAnsi="Clario;sans-serif"/>
          <w:sz w:val="18"/>
        </w:rPr>
      </w:pPr>
      <w:r>
        <w:rPr>
          <w:rFonts w:ascii="Clario;sans-serif" w:hAnsi="Clario;sans-serif"/>
          <w:i/>
          <w:color w:val="404040"/>
          <w:sz w:val="18"/>
        </w:rPr>
        <w:t>Certain factors that could cause actual results or events to differ materially from current expectations are discussed in the “Outlook” section above. Additional factors are discussed in the “Risk Factors” section of our 2025 annual report and in materials that we from time to time file with, or furnish to, the Canadian securities regulatory authorities and the U.S. SEC. Many of those risks are, and could be, exacerbated by a worsening of the global geopolitical, business and economic environments. There is no assurance that any forward-looking statement will materialize.</w:t>
      </w:r>
      <w:r>
        <w:rPr>
          <w:rFonts w:ascii="Clario;sans-serif" w:hAnsi="Clario;sans-serif"/>
          <w:color w:val="404040"/>
          <w:sz w:val="18"/>
        </w:rPr>
        <w:t xml:space="preserve"> </w:t>
      </w:r>
    </w:p>
    <w:p>
      <w:pPr>
        <w:pStyle w:val="TextBody"/>
        <w:bidi w:val="0"/>
        <w:jc w:val="left"/>
      </w:pPr>
      <w:r>
        <w:t> </w:t>
      </w:r>
    </w:p>
    <w:p>
      <w:pPr>
        <w:pStyle w:val="TextBody"/>
        <w:bidi w:val="0"/>
        <w:jc w:val="left"/>
        <w:rPr>
          <w:rFonts w:ascii="Clario;sans-serif" w:hAnsi="Clario;sans-serif"/>
          <w:sz w:val="18"/>
        </w:rPr>
      </w:pPr>
      <w:r>
        <w:rPr>
          <w:rFonts w:ascii="Clario;sans-serif" w:hAnsi="Clario;sans-serif"/>
          <w:i/>
          <w:color w:val="404040"/>
          <w:sz w:val="18"/>
        </w:rPr>
        <w:t>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r>
        <w:rPr>
          <w:rFonts w:ascii="Clario;sans-serif" w:hAnsi="Clario;sans-serif"/>
          <w:color w:val="404040"/>
          <w:sz w:val="18"/>
        </w:rPr>
        <w:t xml:space="preserve"> </w:t>
      </w:r>
    </w:p>
    <w:p>
      <w:pPr>
        <w:pStyle w:val="TextBody"/>
        <w:bidi w:val="0"/>
        <w:jc w:val="left"/>
      </w:pPr>
      <w:r>
        <w:t> </w:t>
      </w:r>
    </w:p>
    <w:p>
      <w:pPr>
        <w:pStyle w:val="TextBody"/>
        <w:bidi w:val="0"/>
        <w:jc w:val="left"/>
        <w:rPr>
          <w:rFonts w:ascii="Times New Roman" w:hAnsi="Times New Roman"/>
          <w:sz w:val="18"/>
        </w:rPr>
      </w:pPr>
      <w:r>
        <w:rPr>
          <w:rFonts w:ascii="Clario;sans-serif" w:hAnsi="Clario;sans-serif"/>
          <w:i/>
          <w:color w:val="404040"/>
          <w:sz w:val="18"/>
        </w:rPr>
        <w:t>The Company has provided a business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 Except as may be required by applicable law, Thomson Reuters disclaims any obligation to update or revise any forward-looking statements</w:t>
      </w:r>
      <w:r>
        <w:rPr>
          <w:rFonts w:ascii="Times New Roman" w:hAnsi="Times New Roman"/>
          <w:i/>
          <w:color w:val="404040"/>
          <w:sz w:val="18"/>
        </w:rPr>
        <w:t>.</w:t>
      </w:r>
      <w:r>
        <w:rPr>
          <w:rFonts w:ascii="Times New Roman" w:hAnsi="Times New Roman"/>
          <w:color w:val="404040"/>
          <w:sz w:val="18"/>
        </w:rPr>
        <w:t xml:space="preserve">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22</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sz w:val="24"/>
        </w:rPr>
      </w:pPr>
      <w:r>
        <w:rPr>
          <w:rFonts w:ascii="Clario;sans-serif" w:hAnsi="Clario;sans-serif"/>
          <w:b/>
          <w:color w:val="404040"/>
          <w:sz w:val="24"/>
        </w:rPr>
        <w:t>Appendix A</w:t>
      </w:r>
      <w:r>
        <w:rPr>
          <w:rFonts w:ascii="Clario;sans-serif" w:hAnsi="Clario;sans-serif"/>
          <w:color w:val="404040"/>
          <w:sz w:val="24"/>
        </w:rPr>
        <w:t xml:space="preserve"> </w:t>
      </w:r>
    </w:p>
    <w:p>
      <w:pPr>
        <w:pStyle w:val="TextBody"/>
        <w:bidi w:val="0"/>
        <w:spacing w:before="100" w:after="283"/>
        <w:jc w:val="left"/>
        <w:rPr>
          <w:rFonts w:ascii="Clario;sans-serif" w:hAnsi="Clario;sans-serif"/>
          <w:sz w:val="20"/>
        </w:rPr>
      </w:pPr>
      <w:r>
        <w:rPr>
          <w:rFonts w:ascii="Clario;sans-serif" w:hAnsi="Clario;sans-serif"/>
          <w:b/>
          <w:i/>
          <w:color w:val="404040"/>
          <w:sz w:val="20"/>
        </w:rPr>
        <w:t>Non-IFRS Financial Measures</w:t>
      </w:r>
      <w:r>
        <w:rPr>
          <w:rFonts w:ascii="Clario;sans-serif" w:hAnsi="Clario;sans-serif"/>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table sets forth our non-IFRS financial measures including an explanation of why we believe they are useful measures of our performance. Reconciliations to the most directly comparable IFRS measure are reflected in Appendix B of this management’s discussion and analysis.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17"/>
        <w:gridCol w:w="146"/>
        <w:gridCol w:w="202"/>
        <w:gridCol w:w="3258"/>
        <w:gridCol w:w="146"/>
        <w:gridCol w:w="1636"/>
      </w:tblGrid>
      <w:tr>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32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c>
          <w:tcPr>
            <w:tcW w:w="4817"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348" w:type="dxa"/>
            <w:gridSpan w:val="2"/>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325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163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and the related margin</w:t>
            </w:r>
          </w:p>
        </w:tc>
      </w:tr>
      <w:tr>
        <w:tc>
          <w:tcPr>
            <w:tcW w:w="4817"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Represents earnings or losses from continuing operations before tax expense or benefit, net interest expense, other finance costs or income, depreciation, amortization of software and other identifiable intangible assets, our share of post-tax earnings or losses in equity method investments, other operating gains and losses, certain asset impairment charges and fair value adjustments, including those related to acquired deferred revenue.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expressed as a percentage of revenues. For purposes of this calculation, revenues are before fair value adjustments to acquired deferred revenue.</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460" w:type="dxa"/>
            <w:gridSpan w:val="2"/>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consistent basis to evaluate operating profitability and performance trends by excluding items that we do not consider to be controllable activities for this purpose.</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Also represents a measure commonly reported and widely used by investors as a valuation metric, as well as to assess our ability to incur and service debt.</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less accrued capital expenditures and the related margin</w:t>
            </w:r>
          </w:p>
        </w:tc>
      </w:tr>
      <w:tr>
        <w:tc>
          <w:tcPr>
            <w:tcW w:w="4817"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Represents adjusted EBITDA less accrued capital expenditures, where accrued capital expenditures include amounts that remain unpaid at the reporting date.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less accrued capital expenditures expressed as a percentage of revenues. For purposes of this calculation, revenues are before fair value adjustments to acquired deferred revenue.</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Provides a basis for evaluating the operating profitability and capital intensity of a business in a single measure. This measure captures investments regardless of whether they are expensed or capitalized, and reflects the basis on which management measures capital spending.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Accrued capital expenditures as a percentage of revenues</w:t>
            </w:r>
          </w:p>
        </w:tc>
      </w:tr>
      <w:tr>
        <w:tc>
          <w:tcPr>
            <w:tcW w:w="4817"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Accrued capital expenditures expressed as a percentage of revenues. For purposes of this calculation, revenues are before fair value adjustments to acquired deferred revenue. </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sz w:val="18"/>
              </w:rPr>
            </w:pPr>
            <w:r>
              <w:rPr>
                <w:rFonts w:ascii="Clario;sans-serif" w:hAnsi="Clario;sans-serif"/>
                <w:color w:val="404040"/>
                <w:sz w:val="18"/>
              </w:rPr>
              <w:t>Reflects the basis on how we manage capital expenditures for internal planning purposes</w:t>
            </w:r>
            <w:r>
              <w:rPr>
                <w:rFonts w:ascii="Clario;sans-serif" w:hAnsi="Clario;sans-serif"/>
                <w:color w:val="404040"/>
                <w:sz w:val="16"/>
              </w:rPr>
              <w:t>.</w:t>
            </w:r>
            <w:r>
              <w:rPr>
                <w:rFonts w:ascii="Clario;sans-serif" w:hAnsi="Clario;sans-serif"/>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Capital expenditures </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23</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658"/>
        <w:gridCol w:w="146"/>
        <w:gridCol w:w="3200"/>
        <w:gridCol w:w="146"/>
        <w:gridCol w:w="1055"/>
      </w:tblGrid>
      <w:tr>
        <w:tc>
          <w:tcPr>
            <w:tcW w:w="5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earnings and adjusted EPS</w:t>
            </w:r>
          </w:p>
        </w:tc>
      </w:tr>
      <w:tr>
        <w:tc>
          <w:tcPr>
            <w:tcW w:w="5658"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The post-tax amount of each item is excluded from adjusted earnings based on the specific tax rules and tax rates associated with the nature and jurisdiction of each item.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00"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more comparable basis to analyze earnings.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These measures are commonly used by shareholders to measure performance.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055" w:type="dxa"/>
            <w:tcBorders/>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earnings and diluted EPS </w:t>
            </w:r>
          </w:p>
        </w:tc>
      </w:tr>
      <w:tr>
        <w:tc>
          <w:tcPr>
            <w:tcW w:w="5658" w:type="dxa"/>
            <w:tcBorders>
              <w:bottom w:val="single" w:sz="8" w:space="0" w:color="AFAFAF"/>
            </w:tcBorders>
            <w:tcMar>
              <w:top w:w="0" w:type="dxa"/>
              <w:left w:w="0" w:type="dxa"/>
              <w:right w:w="0" w:type="dxa"/>
            </w:tcMar>
            <w:vAlign w:val="center"/>
          </w:tcPr>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Adjusted EPS is calculated from adjusted earnings using diluted weighted-average shares and does not represent actual earnings or loss per share attributable to shareholders.</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200"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055"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r>
      <w:t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Effective tax rate on adjusted earnings</w:t>
            </w:r>
          </w:p>
        </w:tc>
      </w:tr>
      <w:tr>
        <w:tc>
          <w:tcPr>
            <w:tcW w:w="5658"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Adjusted tax expense divided by pre-tax adjusted earnings. Adjusted tax expense is computed as income tax expense or benefit plus or minus the income tax impacts of all items impacting adjusted earnings (as described above), and other tax items impacting comparability.</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20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basis to analyze the effective tax rate associated with adjusted earnings.</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Our effective tax rate computed in accordance with IFRS may be more volatile by quarter because the geographical mix of pre-tax profits and losses in interim periods may be different from that for the full year. Therefore, we believe that using the expected full-year effective tax rate provides more comparability among interim periods.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055"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24</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971"/>
        <w:gridCol w:w="146"/>
        <w:gridCol w:w="3866"/>
        <w:gridCol w:w="146"/>
        <w:gridCol w:w="2076"/>
      </w:tblGrid>
      <w:tr>
        <w:tc>
          <w:tcPr>
            <w:tcW w:w="3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c>
          <w:tcPr>
            <w:tcW w:w="10205" w:type="dxa"/>
            <w:gridSpan w:val="5"/>
            <w:tcBorders>
              <w:top w:val="single" w:sz="8" w:space="0" w:color="AFAFAF"/>
            </w:tcBorders>
            <w:shd w:fill="666666" w:val="clear"/>
            <w:tcMar>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Net debt and leverage ratio of net debt to adjusted EBITDA</w:t>
            </w:r>
          </w:p>
        </w:tc>
      </w:tr>
      <w:tr>
        <w:tc>
          <w:tcPr>
            <w:tcW w:w="3971"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Net debt:</w:t>
            </w:r>
          </w:p>
          <w:p>
            <w:pPr>
              <w:pStyle w:val="TableContents"/>
              <w:bidi w:val="0"/>
              <w:jc w:val="left"/>
              <w:rPr>
                <w:rFonts w:ascii="Clario;sans-serif" w:hAnsi="Clario;sans-serif"/>
                <w:color w:val="404040"/>
                <w:sz w:val="18"/>
              </w:rPr>
            </w:pPr>
            <w:r>
              <w:rPr>
                <w:rFonts w:ascii="Clario;sans-serif" w:hAnsi="Clario;sans-serif"/>
                <w:color w:val="404040"/>
                <w:sz w:val="18"/>
              </w:rPr>
              <w:t>Total debt, plus related hedging instruments and collateral balances, along with lease liabilities, excluding unamortized transaction costs and any premiums or discounts on debt, minus cash and cash equivalents. We exclude specific hedging components to reflect the net cash outflow upon debt maturity.</w:t>
            </w:r>
          </w:p>
          <w:p>
            <w:pPr>
              <w:pStyle w:val="TableContents"/>
              <w:bidi w:val="0"/>
              <w:jc w:val="left"/>
            </w:pPr>
            <w:r>
              <w:t> </w:t>
            </w:r>
          </w:p>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66"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leverage.</w:t>
            </w:r>
          </w:p>
          <w:p>
            <w:pPr>
              <w:pStyle w:val="TableContents"/>
              <w:bidi w:val="0"/>
              <w:jc w:val="left"/>
            </w:pPr>
            <w: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Given that we hedge some of our debt to manage risk, we include hedging instruments as we believe it provides a better measure of the total obligation associated with our outstanding debt. Since we plan to hold our debt and related hedges until maturity, the net debt calculation is adjusted to reflect the net cash outflow at maturity, after deducting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076"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Total debt (current indebtedness plus long-term indebtedness)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jc w:val="left"/>
            </w:pPr>
            <w:r>
              <w:t> </w:t>
            </w:r>
          </w:p>
          <w:p>
            <w:pPr>
              <w:pStyle w:val="TableContents"/>
              <w:bidi w:val="0"/>
              <w:spacing w:before="0" w:after="283"/>
              <w:jc w:val="left"/>
            </w:pPr>
            <w:r>
              <w:t> </w:t>
            </w:r>
          </w:p>
        </w:tc>
      </w:tr>
      <w:tr>
        <w:tc>
          <w:tcPr>
            <w:tcW w:w="3971" w:type="dxa"/>
            <w:tcBorders>
              <w:bottom w:val="single" w:sz="8" w:space="0" w:color="AFAFAF"/>
            </w:tcBorders>
            <w:tcMar>
              <w:top w:w="0" w:type="dxa"/>
              <w:left w:w="0" w:type="dxa"/>
              <w:right w:w="0" w:type="dxa"/>
            </w:tcMar>
            <w:vAlign w:val="center"/>
          </w:tcPr>
          <w:p>
            <w:pPr>
              <w:pStyle w:val="TableContents"/>
              <w:bidi w:val="0"/>
              <w:jc w:val="left"/>
            </w:pPr>
            <w:r>
              <w:t> </w:t>
            </w:r>
          </w:p>
          <w:p>
            <w:pPr>
              <w:pStyle w:val="TableContents"/>
              <w:bidi w:val="0"/>
              <w:jc w:val="left"/>
              <w:rPr>
                <w:rFonts w:ascii="Clario;sans-serif" w:hAnsi="Clario;sans-serif"/>
                <w:color w:val="404040"/>
                <w:sz w:val="18"/>
              </w:rPr>
            </w:pPr>
            <w:r>
              <w:rPr>
                <w:rFonts w:ascii="Clario;sans-serif" w:hAnsi="Clario;sans-serif"/>
                <w:color w:val="404040"/>
                <w:sz w:val="18"/>
              </w:rPr>
              <w:t xml:space="preserve">Net debt to adjusted EBITDA: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debt is divided by adjusted EBITDA for the previous twelve-month period ending with the current fiscal quarter.</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866" w:type="dxa"/>
            <w:tcBorders>
              <w:bottom w:val="single" w:sz="8" w:space="0" w:color="AFAFAF"/>
            </w:tcBorders>
            <w:tcMar>
              <w:top w:w="0" w:type="dxa"/>
              <w:left w:w="0" w:type="dxa"/>
              <w:right w:w="0" w:type="dxa"/>
            </w:tcMar>
            <w:vAlign w:val="center"/>
          </w:tcPr>
          <w:p>
            <w:pPr>
              <w:pStyle w:val="TableContents"/>
              <w:bidi w:val="0"/>
              <w:jc w:val="left"/>
            </w:pPr>
            <w:r>
              <w:t> </w:t>
            </w:r>
          </w:p>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ability to pay its debt. Our non-IFRS measure is aligned with the calculation of our internal target leverage ratio and is more conservative than the maximum ratio allowed under the contractual covenants in our credit facility.</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2076" w:type="dxa"/>
            <w:tcBorders>
              <w:bottom w:val="single" w:sz="8" w:space="0" w:color="AFAFAF"/>
            </w:tcBorders>
            <w:tcMar>
              <w:top w:w="0" w:type="dxa"/>
              <w:left w:w="0" w:type="dxa"/>
              <w:right w:w="0" w:type="dxa"/>
            </w:tcMar>
            <w:vAlign w:val="center"/>
          </w:tcPr>
          <w:p>
            <w:pPr>
              <w:pStyle w:val="TableContents"/>
              <w:bidi w:val="0"/>
              <w:jc w:val="left"/>
            </w:pPr>
            <w: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For adjusted EBITDA, refer to the definition above for the most directly comparable IFRS measure</w:t>
            </w:r>
          </w:p>
        </w:tc>
      </w:tr>
      <w:t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Free cash flow</w:t>
            </w:r>
          </w:p>
        </w:tc>
      </w:tr>
      <w:tr>
        <w:tc>
          <w:tcPr>
            <w:tcW w:w="397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 and other investing activities, less capital expenditures, payments of lease principal and dividends paid on our preference shares.</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866"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Helps assess our ability, over the long term, to create value for our shareholders as it represents cash available to repay debt, pay common dividends and fund share repurchases and acquisitions.</w:t>
            </w:r>
          </w:p>
          <w:p>
            <w:pPr>
              <w:pStyle w:val="TableContents"/>
              <w:bidi w:val="0"/>
              <w:spacing w:before="0" w:after="283"/>
              <w:jc w:val="left"/>
            </w:pPr>
            <w: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207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r>
      <w:t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Changes before the impact of foreign currency or at constant currency</w:t>
            </w:r>
          </w:p>
        </w:tc>
      </w:tr>
      <w:tr>
        <w:tc>
          <w:tcPr>
            <w:tcW w:w="3971"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Applicable measures where changes are reported before the impact of foreign currency or at constant currency</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IFRS Measures: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Operating expenses</w:t>
            </w:r>
          </w:p>
          <w:p>
            <w:pPr>
              <w:pStyle w:val="TableContents"/>
              <w:bidi w:val="0"/>
              <w:spacing w:before="100" w:after="283"/>
              <w:jc w:val="left"/>
              <w:rPr>
                <w:color w:val="404040"/>
              </w:rPr>
            </w:pPr>
            <w:r>
              <w:rPr>
                <w:color w:val="404040"/>
              </w:rPr>
              <w:t> </w:t>
            </w:r>
            <w:r>
              <w:rPr>
                <w:rFonts w:ascii="Clario;sans-serif" w:hAnsi="Clario;sans-serif"/>
                <w:color w:val="404040"/>
                <w:sz w:val="18"/>
              </w:rPr>
              <w:t>Non-IFRS Measures and ratios: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Adjusted EBITDA and adjusted EBITDA margin</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 xml:space="preserve">Adjusted EPS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Our reporting currency is the U.S. dollar. However, we conduct activities in currencies other than the U.S. dollar. We measure our performance before the impact of foreign currency (or at constant currency or excluding the effects of currency), which is determined by converting the current and equivalent prior period’s local currency results using the same foreign currency exchange rate.</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86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Provides better comparability of business trends from period to period.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207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For each non-IFRS measure and ratio, refer to the definitions above for the most directly comparable IFRS measure. </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25</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pPr>
            <w: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81"/>
        <w:gridCol w:w="146"/>
        <w:gridCol w:w="3672"/>
        <w:gridCol w:w="146"/>
        <w:gridCol w:w="1460"/>
      </w:tblGrid>
      <w:t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Clario;sans-serif" w:hAnsi="Clario;sans-serif"/>
                <w:sz w:val="18"/>
              </w:rPr>
            </w:pPr>
            <w:r>
              <w:rPr>
                <w:rFonts w:ascii="Clario;sans-serif" w:hAnsi="Clario;sans-serif"/>
                <w:b/>
                <w:color w:val="FFFFFF"/>
                <w:sz w:val="18"/>
              </w:rPr>
              <w:t>Changes in revenues computed on an organic basis</w:t>
            </w:r>
            <w:r>
              <w:rPr>
                <w:rFonts w:ascii="Clario;sans-serif" w:hAnsi="Clario;sans-serif"/>
                <w:color w:val="FFFFFF"/>
                <w:sz w:val="18"/>
              </w:rPr>
              <w:t xml:space="preserve"> </w:t>
            </w:r>
          </w:p>
        </w:tc>
      </w:tr>
      <w:tr>
        <w:tc>
          <w:tcPr>
            <w:tcW w:w="4781"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 xml:space="preserve">Represent changes in revenues of our existing businesses at constant currency. The metric excludes the distortive impacts of acquisitions and dispositions from not owning the business in both comparable periods. </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For acquisitions, we calculate organic growth as though we had owned the acquired business in both periods. We compare revenues for the acquired business for the period we owned the business to the same prior-year period revenues for that business, when we did not own it.</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For dispositions, we calculate organic growth only for the time we owned the business in the current period, compared to the same period in the prior year.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67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Provides further insight into the performance of our existing businesses by excluding distortive impacts and serves as a better measure of our ability to grow our business over the long term.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460"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r>
      <w:t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color w:val="FFFFFF"/>
              </w:rPr>
            </w:pPr>
            <w:r>
              <w:rPr>
                <w:color w:val="FFFFFF"/>
              </w:rPr>
              <w:t>“</w:t>
            </w:r>
            <w:r>
              <w:rPr>
                <w:rFonts w:ascii="Clario;sans-serif" w:hAnsi="Clario;sans-serif"/>
                <w:b/>
                <w:color w:val="FFFFFF"/>
                <w:sz w:val="18"/>
              </w:rPr>
              <w:t>Big 3” segments</w:t>
            </w:r>
          </w:p>
        </w:tc>
      </w:tr>
      <w:tr>
        <w:tc>
          <w:tcPr>
            <w:tcW w:w="478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Our combined Legal Professionals, Corporates and Tax, Audit &amp; Accounting Professionals segments. All measures reported for the “Big 3” segments are non-IFRS financial measures.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367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The “Big 3” segments comprise approximately 89% of revenues and represent the core of our business information service product offerings.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pPr>
            <w:r>
              <w:t> </w:t>
            </w:r>
          </w:p>
        </w:tc>
        <w:tc>
          <w:tcPr>
            <w:tcW w:w="146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26</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pBdr/>
        <w:bidi w:val="0"/>
        <w:ind w:left="0" w:right="0" w:hanging="360"/>
        <w:jc w:val="left"/>
        <w:rPr>
          <w:rFonts w:ascii="Clario;sans-serif" w:hAnsi="Clario;sans-serif"/>
          <w:sz w:val="24"/>
        </w:rPr>
      </w:pPr>
      <w:r>
        <w:rPr>
          <w:rFonts w:ascii="Clario;sans-serif" w:hAnsi="Clario;sans-serif"/>
          <w:b/>
          <w:color w:val="404040"/>
          <w:sz w:val="24"/>
        </w:rPr>
        <w:t>Appendix B</w:t>
      </w:r>
      <w:r>
        <w:rPr>
          <w:rFonts w:ascii="Clario;sans-serif" w:hAnsi="Clario;sans-serif"/>
          <w:color w:val="404040"/>
          <w:sz w:val="24"/>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appendix provides reconciliations of our non-IFRS financial measures to the most directly comparable IFRS measure for the three and nine months ended September 30, 2026 and 2025, and year ended December 31, 2025.</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three and nine months ended September 30, 2026, the Global Print business was reported as discontinued operations. Prior period amounts have been revised to reflect this change. The year ended December 31, 2025 periods include both the previously reported amounts and the revised amounts reflecting the Global Print business as discontinued operations. Refer to the "Global Print Transaction" subsection within the "Executive Summary - Financial Highlights" section of this management's discussion and analysis for additional information.</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Rounding</w:t>
      </w:r>
    </w:p>
    <w:p>
      <w:pPr>
        <w:pStyle w:val="TextBody"/>
        <w:bidi w:val="0"/>
        <w:spacing w:before="100" w:after="283"/>
        <w:jc w:val="both"/>
        <w:rPr>
          <w:rFonts w:ascii="Clario;sans-serif" w:hAnsi="Clario;sans-serif"/>
          <w:color w:val="404040"/>
          <w:sz w:val="18"/>
        </w:rPr>
      </w:pPr>
      <w:r>
        <w:rPr>
          <w:rFonts w:ascii="Clario;sans-serif" w:hAnsi="Clario;sans-serif"/>
          <w:color w:val="404040"/>
          <w:sz w:val="18"/>
        </w:rPr>
        <w:t xml:space="preserve">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earnings from continuing operations to adjusted EBITDA and adjusted EBITDA less accrued capital expenditures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683"/>
        <w:gridCol w:w="941"/>
        <w:gridCol w:w="907"/>
        <w:gridCol w:w="913"/>
        <w:gridCol w:w="879"/>
        <w:gridCol w:w="1479"/>
        <w:gridCol w:w="1403"/>
      </w:tblGrid>
      <w:tr>
        <w:tc>
          <w:tcPr>
            <w:tcW w:w="368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48"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September 30,</w:t>
            </w:r>
          </w:p>
        </w:tc>
        <w:tc>
          <w:tcPr>
            <w:tcW w:w="1792"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Nine months ended</w:t>
              <w:br/>
              <w:t>September 30,</w:t>
            </w:r>
          </w:p>
        </w:tc>
        <w:tc>
          <w:tcPr>
            <w:tcW w:w="1479"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c>
          <w:tcPr>
            <w:tcW w:w="1403"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c>
          <w:tcPr>
            <w:tcW w:w="36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9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0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9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7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7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4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1,102</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963</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1,483</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1,225</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Tax expense</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372</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143</w:t>
            </w:r>
          </w:p>
        </w:tc>
        <w:tc>
          <w:tcPr>
            <w:tcW w:w="14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143</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Amortization of other identifiable intangible </w:t>
              <w:br/>
              <w:t>   assets</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98</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533</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14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720</w:t>
            </w:r>
          </w:p>
        </w:tc>
      </w:tr>
      <w:tr>
        <w:tc>
          <w:tcPr>
            <w:tcW w:w="36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9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9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9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8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w:t>
            </w:r>
          </w:p>
        </w:tc>
        <w:tc>
          <w:tcPr>
            <w:tcW w:w="14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111</w:t>
            </w:r>
          </w:p>
        </w:tc>
        <w:tc>
          <w:tcPr>
            <w:tcW w:w="14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EBITDA</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646</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735</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2,198</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2,030</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3,034</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2,716</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Share of post-tax losses in equity method </w:t>
              <w:br/>
              <w:t>   investments</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losses (gains), net</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(165)</w:t>
            </w:r>
          </w:p>
        </w:tc>
      </w:tr>
      <w:tr>
        <w:tc>
          <w:tcPr>
            <w:tcW w:w="3683"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Fair value adjustments</w:t>
            </w:r>
            <w:r>
              <w:rPr>
                <w:rFonts w:ascii="Clario;sans-serif" w:hAnsi="Clario;sans-serif"/>
                <w:color w:val="404040"/>
                <w:sz w:val="12"/>
              </w:rPr>
              <w:t>(1)</w:t>
            </w:r>
          </w:p>
        </w:tc>
        <w:tc>
          <w:tcPr>
            <w:tcW w:w="9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9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8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2,140</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1,930</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c>
          <w:tcPr>
            <w:tcW w:w="14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2,617</w:t>
            </w:r>
          </w:p>
        </w:tc>
      </w:tr>
      <w:tr>
        <w:tc>
          <w:tcPr>
            <w:tcW w:w="3683"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Deduct: Accrued capital expenditures</w:t>
            </w:r>
          </w:p>
        </w:tc>
        <w:tc>
          <w:tcPr>
            <w:tcW w:w="9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(178)</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w:t>
            </w:r>
          </w:p>
        </w:tc>
        <w:tc>
          <w:tcPr>
            <w:tcW w:w="9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(518)</w:t>
            </w:r>
          </w:p>
        </w:tc>
        <w:tc>
          <w:tcPr>
            <w:tcW w:w="8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(459)</w:t>
            </w:r>
          </w:p>
        </w:tc>
        <w:tc>
          <w:tcPr>
            <w:tcW w:w="14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c>
          <w:tcPr>
            <w:tcW w:w="14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r>
      <w:tr>
        <w:tc>
          <w:tcPr>
            <w:tcW w:w="36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Adjusted EBITDA less accrued capital </w:t>
              <w:br/>
              <w:t>   expenditures</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473</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429</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1,622</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1,471</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2,320</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2,003</w:t>
            </w:r>
          </w:p>
        </w:tc>
      </w:tr>
      <w:tr>
        <w:tc>
          <w:tcPr>
            <w:tcW w:w="36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 margin</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c>
          <w:tcPr>
            <w:tcW w:w="14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37.4%</w:t>
            </w:r>
          </w:p>
        </w:tc>
      </w:tr>
      <w:tr>
        <w:tc>
          <w:tcPr>
            <w:tcW w:w="36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Adjusted EBITDA less accrued capital </w:t>
              <w:br/>
              <w:t>   expenditures margin</w:t>
            </w:r>
          </w:p>
        </w:tc>
        <w:tc>
          <w:tcPr>
            <w:tcW w:w="9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25.8%</w:t>
            </w:r>
          </w:p>
        </w:tc>
        <w:tc>
          <w:tcPr>
            <w:tcW w:w="9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25.8%</w:t>
            </w:r>
          </w:p>
        </w:tc>
        <w:tc>
          <w:tcPr>
            <w:tcW w:w="9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28.7%</w:t>
            </w:r>
          </w:p>
        </w:tc>
        <w:tc>
          <w:tcPr>
            <w:tcW w:w="8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28.6%</w:t>
            </w:r>
          </w:p>
        </w:tc>
        <w:tc>
          <w:tcPr>
            <w:tcW w:w="14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w:t>
            </w:r>
          </w:p>
        </w:tc>
        <w:tc>
          <w:tcPr>
            <w:tcW w:w="14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28.6%</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capital expenditures to accrued capital expenditures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451"/>
        <w:gridCol w:w="966"/>
        <w:gridCol w:w="966"/>
        <w:gridCol w:w="919"/>
        <w:gridCol w:w="919"/>
        <w:gridCol w:w="1532"/>
        <w:gridCol w:w="1452"/>
      </w:tblGrid>
      <w:tr>
        <w:tc>
          <w:tcPr>
            <w:tcW w:w="345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c>
          <w:tcPr>
            <w:tcW w:w="34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32"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September 30,</w:t>
            </w:r>
          </w:p>
        </w:tc>
        <w:tc>
          <w:tcPr>
            <w:tcW w:w="1838"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Nine months ended</w:t>
              <w:br/>
              <w:t>September 30,</w:t>
            </w:r>
          </w:p>
        </w:tc>
        <w:tc>
          <w:tcPr>
            <w:tcW w:w="1532"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c>
          <w:tcPr>
            <w:tcW w:w="1452"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c>
          <w:tcPr>
            <w:tcW w:w="345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9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9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5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45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161</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508</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475</w:t>
            </w:r>
          </w:p>
        </w:tc>
        <w:tc>
          <w:tcPr>
            <w:tcW w:w="15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c>
          <w:tcPr>
            <w:tcW w:w="14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r>
      <w:tr>
        <w:tc>
          <w:tcPr>
            <w:tcW w:w="34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IFRS adjustment to cash basis</w:t>
            </w:r>
          </w:p>
        </w:tc>
        <w:tc>
          <w:tcPr>
            <w:tcW w:w="9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5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c>
          <w:tcPr>
            <w:tcW w:w="34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Accrued capital expenditures</w:t>
            </w:r>
          </w:p>
        </w:tc>
        <w:tc>
          <w:tcPr>
            <w:tcW w:w="9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178</w:t>
            </w:r>
          </w:p>
        </w:tc>
        <w:tc>
          <w:tcPr>
            <w:tcW w:w="9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w:t>
            </w:r>
          </w:p>
        </w:tc>
        <w:tc>
          <w:tcPr>
            <w:tcW w:w="9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518</w:t>
            </w:r>
          </w:p>
        </w:tc>
        <w:tc>
          <w:tcPr>
            <w:tcW w:w="9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459</w:t>
            </w:r>
          </w:p>
        </w:tc>
        <w:tc>
          <w:tcPr>
            <w:tcW w:w="15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c>
          <w:tcPr>
            <w:tcW w:w="14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r>
      <w:tr>
        <w:tc>
          <w:tcPr>
            <w:tcW w:w="34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Accrued capital expenditures as a </w:t>
              <w:br/>
              <w:t>   percentage of revenues</w:t>
            </w:r>
          </w:p>
        </w:tc>
        <w:tc>
          <w:tcPr>
            <w:tcW w:w="9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c>
          <w:tcPr>
            <w:tcW w:w="9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5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c>
          <w:tcPr>
            <w:tcW w:w="14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8.8%</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27</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earnings to adjusted earnings and adjusted EPS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816"/>
        <w:gridCol w:w="923"/>
        <w:gridCol w:w="903"/>
        <w:gridCol w:w="885"/>
        <w:gridCol w:w="865"/>
        <w:gridCol w:w="1442"/>
        <w:gridCol w:w="1371"/>
      </w:tblGrid>
      <w:tr>
        <w:tc>
          <w:tcPr>
            <w:tcW w:w="38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2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September 30,</w:t>
            </w:r>
          </w:p>
        </w:tc>
        <w:tc>
          <w:tcPr>
            <w:tcW w:w="1750"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Nine months ended</w:t>
              <w:br/>
              <w:t>September 30,</w:t>
            </w:r>
          </w:p>
        </w:tc>
        <w:tc>
          <w:tcPr>
            <w:tcW w:w="1442"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c>
          <w:tcPr>
            <w:tcW w:w="137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c>
          <w:tcPr>
            <w:tcW w:w="381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 xml:space="preserve">(millions of U.S. dollars, except per share </w:t>
              <w:br/>
              <w:t>   amounts and share data)</w:t>
            </w:r>
          </w:p>
        </w:tc>
        <w:tc>
          <w:tcPr>
            <w:tcW w:w="92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8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6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3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earnings</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1,502</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1,502</w:t>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816" w:type="dxa"/>
            <w:tcBorders/>
            <w:shd w:fill="CFF0FC" w:val="clear"/>
            <w:tcMar>
              <w:top w:w="0" w:type="dxa"/>
              <w:left w:w="0" w:type="dxa"/>
              <w:bottom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Fair value adjustments</w:t>
            </w:r>
            <w:r>
              <w:rPr>
                <w:rFonts w:ascii="Clario;sans-serif" w:hAnsi="Clario;sans-serif"/>
                <w:color w:val="404040"/>
                <w:sz w:val="12"/>
              </w:rPr>
              <w:t>(1)</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38</w:t>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174</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206</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206</w:t>
            </w:r>
          </w:p>
        </w:tc>
      </w:tr>
      <w:tr>
        <w:tc>
          <w:tcPr>
            <w:tcW w:w="38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Amortization of other identifiable intangible </w:t>
              <w:br/>
              <w:t>   assets</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98</w:t>
            </w:r>
          </w:p>
        </w:tc>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losses (gains), net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(165)</w:t>
            </w:r>
          </w:p>
        </w:tc>
      </w:tr>
      <w:tr>
        <w:tc>
          <w:tcPr>
            <w:tcW w:w="38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w:t>
              <w:br/>
              <w:t>   investments</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c>
          <w:tcPr>
            <w:tcW w:w="3816" w:type="dxa"/>
            <w:tcBorders/>
            <w:shd w:fill="CFF0FC" w:val="clear"/>
            <w:tcMar>
              <w:top w:w="0" w:type="dxa"/>
              <w:left w:w="0" w:type="dxa"/>
              <w:bottom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Tax on above items</w:t>
            </w:r>
            <w:r>
              <w:rPr>
                <w:rFonts w:ascii="Clario;sans-serif" w:hAnsi="Clario;sans-serif"/>
                <w:color w:val="404040"/>
                <w:sz w:val="12"/>
              </w:rPr>
              <w:t>(2)</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(35)</w:t>
            </w:r>
          </w:p>
        </w:tc>
      </w:tr>
      <w:tr>
        <w:tc>
          <w:tcPr>
            <w:tcW w:w="3816" w:type="dxa"/>
            <w:tcBorders/>
            <w:shd w:fill="FFFFFF" w:val="clear"/>
            <w:tcMar>
              <w:top w:w="0" w:type="dxa"/>
              <w:left w:w="0" w:type="dxa"/>
              <w:bottom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Tax items impacting comparability</w:t>
            </w:r>
            <w:r>
              <w:rPr>
                <w:rFonts w:ascii="Clario;sans-serif" w:hAnsi="Clario;sans-serif"/>
                <w:color w:val="404040"/>
                <w:sz w:val="12"/>
              </w:rPr>
              <w:t>(2)</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57</w:t>
            </w:r>
          </w:p>
        </w:tc>
      </w:tr>
      <w:tr>
        <w:tc>
          <w:tcPr>
            <w:tcW w:w="381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Earnings from discontinued operations, net </w:t>
              <w:br/>
              <w:t>   of tax</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c>
          <w:tcPr>
            <w:tcW w:w="13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(277)</w:t>
            </w:r>
          </w:p>
        </w:tc>
      </w:tr>
      <w:tr>
        <w:tc>
          <w:tcPr>
            <w:tcW w:w="38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 xml:space="preserve">Interim period effective tax rate </w:t>
              <w:br/>
              <w:t>   normalization</w:t>
            </w:r>
            <w:r>
              <w:rPr>
                <w:rFonts w:ascii="Clario;sans-serif" w:hAnsi="Clario;sans-serif"/>
                <w:b/>
                <w:color w:val="404040"/>
                <w:sz w:val="12"/>
              </w:rPr>
              <w:t>(2)</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38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declared on preference shares</w:t>
            </w:r>
          </w:p>
        </w:tc>
        <w:tc>
          <w:tcPr>
            <w:tcW w:w="9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8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8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3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319</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1,220</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1,096</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1,762</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1,503</w:t>
            </w:r>
          </w:p>
        </w:tc>
      </w:tr>
      <w:tr>
        <w:tc>
          <w:tcPr>
            <w:tcW w:w="38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9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c>
          <w:tcPr>
            <w:tcW w:w="8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8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$2.43</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c>
          <w:tcPr>
            <w:tcW w:w="13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$3.34</w:t>
            </w:r>
          </w:p>
        </w:tc>
      </w:tr>
      <w:tr>
        <w:tc>
          <w:tcPr>
            <w:tcW w:w="38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Diluted weighted-average common shares </w:t>
              <w:br/>
              <w:t>   (millions)</w:t>
            </w:r>
          </w:p>
        </w:tc>
        <w:tc>
          <w:tcPr>
            <w:tcW w:w="9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434.0</w:t>
            </w:r>
          </w:p>
        </w:tc>
        <w:tc>
          <w:tcPr>
            <w:tcW w:w="9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450.3</w:t>
            </w:r>
          </w:p>
        </w:tc>
        <w:tc>
          <w:tcPr>
            <w:tcW w:w="8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439.1</w:t>
            </w:r>
          </w:p>
        </w:tc>
        <w:tc>
          <w:tcPr>
            <w:tcW w:w="8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450.8</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449.5</w:t>
            </w:r>
          </w:p>
        </w:tc>
        <w:tc>
          <w:tcPr>
            <w:tcW w:w="13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449.5</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Fair value adjustments primarily represent gains or losses due to changes in foreign currency exchange rates on intercompany balances that arise in the ordinary course of business, a component of operating expenses, as well as adjustments related to acquired deferred revenue.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For three and nine months ended September 30, 2026 and 2025, see the “Results of Operations - Tax expense” section of this management’s discussion and analysis for additional information.</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full-year effective tax rate on adjusted earnings</w:t>
      </w:r>
    </w:p>
    <w:tbl>
      <w:tblPr>
        <w:tblW w:w="10205" w:type="dxa"/>
        <w:jc w:val="left"/>
        <w:tblInd w:w="0" w:type="dxa"/>
        <w:tblLayout w:type="fixed"/>
        <w:tblCellMar>
          <w:top w:w="28" w:type="dxa"/>
          <w:left w:w="28" w:type="dxa"/>
          <w:bottom w:w="28" w:type="dxa"/>
          <w:right w:w="28" w:type="dxa"/>
        </w:tblCellMar>
      </w:tblPr>
      <w:tblGrid>
        <w:gridCol w:w="6032"/>
        <w:gridCol w:w="367"/>
        <w:gridCol w:w="367"/>
        <w:gridCol w:w="195"/>
        <w:gridCol w:w="195"/>
        <w:gridCol w:w="1566"/>
        <w:gridCol w:w="1483"/>
      </w:tblGrid>
      <w:tr>
        <w:tc>
          <w:tcPr>
            <w:tcW w:w="603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r>
      <w:tr>
        <w:tc>
          <w:tcPr>
            <w:tcW w:w="60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c>
          <w:tcPr>
            <w:tcW w:w="1483"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c>
          <w:tcPr>
            <w:tcW w:w="603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36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36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9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5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48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603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1,762</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1,503</w:t>
            </w:r>
          </w:p>
        </w:tc>
      </w:tr>
      <w:tr>
        <w:tc>
          <w:tcPr>
            <w:tcW w:w="715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Dividends declared on preference shares</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6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Tax expense on adjusted earnings</w:t>
            </w:r>
          </w:p>
        </w:tc>
        <w:tc>
          <w:tcPr>
            <w:tcW w:w="3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c>
          <w:tcPr>
            <w:tcW w:w="14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350</w:t>
            </w:r>
          </w:p>
        </w:tc>
      </w:tr>
      <w:tr>
        <w:tc>
          <w:tcPr>
            <w:tcW w:w="6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Pre-tax adjusted earnings</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2,167</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1,857</w:t>
            </w:r>
          </w:p>
        </w:tc>
      </w:tr>
      <w:tr>
        <w:tc>
          <w:tcPr>
            <w:tcW w:w="60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tax expense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423</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w:t>
            </w:r>
          </w:p>
        </w:tc>
      </w:tr>
      <w:tr>
        <w:tc>
          <w:tcPr>
            <w:tcW w:w="603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related to:</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14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46</w:t>
            </w:r>
          </w:p>
        </w:tc>
      </w:tr>
      <w:tr>
        <w:tc>
          <w:tcPr>
            <w:tcW w:w="7156" w:type="dxa"/>
            <w:gridSpan w:val="5"/>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w:t>
            </w:r>
          </w:p>
        </w:tc>
      </w:tr>
      <w:tr>
        <w:tc>
          <w:tcPr>
            <w:tcW w:w="6766" w:type="dxa"/>
            <w:gridSpan w:val="3"/>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c>
          <w:tcPr>
            <w:tcW w:w="603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finance costs</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6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c>
          <w:tcPr>
            <w:tcW w:w="603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operating gains, net</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36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w:t>
            </w:r>
          </w:p>
        </w:tc>
        <w:tc>
          <w:tcPr>
            <w:tcW w:w="14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(43)</w:t>
            </w:r>
          </w:p>
        </w:tc>
      </w:tr>
      <w:tr>
        <w:tc>
          <w:tcPr>
            <w:tcW w:w="6032"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items</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c>
          <w:tcPr>
            <w:tcW w:w="715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Subtotal - Remove tax benefit on pre-tax items removed from adjusted earnings</w:t>
            </w:r>
          </w:p>
        </w:tc>
        <w:tc>
          <w:tcPr>
            <w:tcW w:w="15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c>
          <w:tcPr>
            <w:tcW w:w="6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items impacting comparability</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c>
          <w:tcPr>
            <w:tcW w:w="7156" w:type="dxa"/>
            <w:gridSpan w:val="5"/>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 Remove all items impacting comparability</w:t>
            </w:r>
          </w:p>
        </w:tc>
        <w:tc>
          <w:tcPr>
            <w:tcW w:w="1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r>
      <w:tr>
        <w:tc>
          <w:tcPr>
            <w:tcW w:w="60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 on adjusted earnings</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401</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w:t>
            </w:r>
          </w:p>
        </w:tc>
      </w:tr>
      <w:tr>
        <w:tc>
          <w:tcPr>
            <w:tcW w:w="60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c>
          <w:tcPr>
            <w:tcW w:w="3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3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w:t>
            </w:r>
          </w:p>
        </w:tc>
        <w:tc>
          <w:tcPr>
            <w:tcW w:w="14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28</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cash provided by operating activities to free cash flow</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834"/>
        <w:gridCol w:w="898"/>
        <w:gridCol w:w="898"/>
        <w:gridCol w:w="887"/>
        <w:gridCol w:w="867"/>
        <w:gridCol w:w="1446"/>
        <w:gridCol w:w="1375"/>
      </w:tblGrid>
      <w:tr>
        <w:tc>
          <w:tcPr>
            <w:tcW w:w="383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c>
          <w:tcPr>
            <w:tcW w:w="38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9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September 30,</w:t>
            </w:r>
          </w:p>
        </w:tc>
        <w:tc>
          <w:tcPr>
            <w:tcW w:w="1754"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Nine months ended</w:t>
              <w:br/>
              <w:t>September 30,</w:t>
            </w:r>
          </w:p>
        </w:tc>
        <w:tc>
          <w:tcPr>
            <w:tcW w:w="1446"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c>
          <w:tcPr>
            <w:tcW w:w="1375"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c>
          <w:tcPr>
            <w:tcW w:w="383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8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86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37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383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Net cash provided by operating activities</w:t>
            </w:r>
            <w:r>
              <w:rPr>
                <w:rFonts w:ascii="Clario;sans-serif" w:hAnsi="Clario;sans-serif"/>
                <w:b/>
                <w:color w:val="404040"/>
                <w:sz w:val="12"/>
              </w:rPr>
              <w:t>(1)</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599</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2,024</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1,895</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2,651</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2,651</w:t>
            </w:r>
          </w:p>
        </w:tc>
      </w:tr>
      <w:t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(161)</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(508)</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(475)</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(632)</w:t>
            </w:r>
          </w:p>
        </w:tc>
      </w:tr>
      <w:t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investing activities</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383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Payments of lease principal</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r>
      <w:tr>
        <w:tc>
          <w:tcPr>
            <w:tcW w:w="383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Capital expenditures and payments of lease </w:t>
              <w:br/>
              <w:t>   principal from discontinued operations</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c>
          <w:tcPr>
            <w:tcW w:w="38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paid on preference shares</w:t>
            </w:r>
          </w:p>
        </w:tc>
        <w:tc>
          <w:tcPr>
            <w:tcW w:w="8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8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3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38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8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408</w:t>
            </w:r>
          </w:p>
        </w:tc>
        <w:tc>
          <w:tcPr>
            <w:tcW w:w="8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526</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1,467</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1,369</w:t>
            </w:r>
          </w:p>
        </w:tc>
        <w:tc>
          <w:tcPr>
            <w:tcW w:w="14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1,950</w:t>
            </w:r>
          </w:p>
        </w:tc>
        <w:tc>
          <w:tcPr>
            <w:tcW w:w="137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1,950</w:t>
            </w:r>
          </w:p>
        </w:tc>
      </w:tr>
    </w:tbl>
    <w:p>
      <w:pPr>
        <w:pStyle w:val="TextBody"/>
        <w:bidi w:val="0"/>
        <w:jc w:val="left"/>
      </w:pPr>
      <w:r>
        <w:t> </w:t>
      </w:r>
    </w:p>
    <w:p>
      <w:pPr>
        <w:pStyle w:val="TextBody"/>
        <w:bidi w:val="0"/>
        <w:spacing w:before="100" w:after="283"/>
        <w:jc w:val="left"/>
        <w:rPr>
          <w:rFonts w:ascii="Clario;sans-serif" w:hAnsi="Clario;sans-serif"/>
          <w:color w:val="404040"/>
          <w:sz w:val="16"/>
        </w:rPr>
      </w:pPr>
      <w:r>
        <w:rPr>
          <w:rFonts w:ascii="Clario;sans-serif" w:hAnsi="Clario;sans-serif"/>
          <w:color w:val="404040"/>
          <w:sz w:val="16"/>
        </w:rPr>
        <w:t>(1)</w:t>
      </w:r>
    </w:p>
    <w:p>
      <w:pPr>
        <w:pStyle w:val="TextBody"/>
        <w:bidi w:val="0"/>
        <w:spacing w:before="100" w:after="283"/>
        <w:jc w:val="left"/>
        <w:rPr>
          <w:rFonts w:ascii="Clario;sans-serif" w:hAnsi="Clario;sans-serif"/>
          <w:color w:val="404040"/>
          <w:sz w:val="16"/>
        </w:rPr>
      </w:pPr>
      <w:r>
        <w:rPr>
          <w:rFonts w:ascii="Clario;sans-serif" w:hAnsi="Clario;sans-serif"/>
          <w:color w:val="404040"/>
          <w:sz w:val="16"/>
        </w:rPr>
        <w:t xml:space="preserve">Includes operating cash flows from discontinued operations of $52 million, $69 million, $169 million, $198 million and $274 million in the three months ended September 30, 2026 and 2025, nine months ended September 30, 2026 and 2025 and the year ended December 31, 2025 - Revised, respectively. </w:t>
      </w:r>
    </w:p>
    <w:p>
      <w:pPr>
        <w:pStyle w:val="TextBody"/>
        <w:bidi w:val="0"/>
        <w:jc w:val="left"/>
      </w:pPr>
      <w:r>
        <w:t> </w:t>
      </w:r>
    </w:p>
    <w:p>
      <w:pPr>
        <w:pStyle w:val="TextBody"/>
        <w:bidi w:val="0"/>
        <w:jc w:val="left"/>
        <w:rPr>
          <w:rFonts w:ascii="Clario;sans-serif" w:hAnsi="Clario;sans-serif"/>
          <w:sz w:val="18"/>
        </w:rPr>
      </w:pPr>
      <w:r>
        <w:rPr>
          <w:rFonts w:ascii="Clario;sans-serif" w:hAnsi="Clario;sans-serif"/>
          <w:b/>
          <w:i/>
          <w:color w:val="404040"/>
          <w:sz w:val="18"/>
        </w:rPr>
        <w:t>Reconciliation of net debt and leverage ratio of net debt to adjusted EBITDA</w:t>
      </w:r>
      <w:r>
        <w:rPr>
          <w:rFonts w:ascii="Clario;sans-serif" w:hAnsi="Clario;sans-serif"/>
          <w:color w:val="404040"/>
          <w:sz w:val="18"/>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456"/>
        <w:gridCol w:w="233"/>
        <w:gridCol w:w="233"/>
        <w:gridCol w:w="233"/>
        <w:gridCol w:w="413"/>
        <w:gridCol w:w="1278"/>
        <w:gridCol w:w="1359"/>
      </w:tblGrid>
      <w:tr>
        <w:tc>
          <w:tcPr>
            <w:tcW w:w="64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c>
          <w:tcPr>
            <w:tcW w:w="645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1"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359"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c>
          <w:tcPr>
            <w:tcW w:w="645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413"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35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64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Current indebtedness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c>
          <w:tcPr>
            <w:tcW w:w="64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Long-term indebtedness</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c>
          <w:tcPr>
            <w:tcW w:w="13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c>
          <w:tcPr>
            <w:tcW w:w="64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3,812</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r>
      <w:tr>
        <w:tc>
          <w:tcPr>
            <w:tcW w:w="64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Swaps</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3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c>
          <w:tcPr>
            <w:tcW w:w="64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swaps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3,920</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2,139</w:t>
            </w:r>
          </w:p>
        </w:tc>
      </w:tr>
      <w:tr>
        <w:tc>
          <w:tcPr>
            <w:tcW w:w="64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Remove fair value adjustments for hedges</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3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c>
          <w:tcPr>
            <w:tcW w:w="645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hedging arrangements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3,919</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2,137</w:t>
            </w:r>
          </w:p>
        </w:tc>
      </w:tr>
      <w:tr>
        <w:tc>
          <w:tcPr>
            <w:tcW w:w="645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Collateral assets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c>
          <w:tcPr>
            <w:tcW w:w="7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Remove transaction costs, premiums or discounts, included in the carrying value of debt</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c>
          <w:tcPr>
            <w:tcW w:w="756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Add: Lease liabilities (current and non-current)</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228</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249</w:t>
            </w:r>
          </w:p>
        </w:tc>
      </w:tr>
      <w:tr>
        <w:tc>
          <w:tcPr>
            <w:tcW w:w="64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Less: Cash and cash equivalents</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3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c>
          <w:tcPr>
            <w:tcW w:w="64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debt</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2,747</w:t>
            </w:r>
          </w:p>
        </w:tc>
        <w:tc>
          <w:tcPr>
            <w:tcW w:w="13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r>
      <w:tr>
        <w:tc>
          <w:tcPr>
            <w:tcW w:w="756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4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Adjusted EBITDA</w:t>
            </w:r>
            <w:r>
              <w:rPr>
                <w:rFonts w:ascii="Clario;sans-serif" w:hAnsi="Clario;sans-serif"/>
                <w:b/>
                <w:color w:val="404040"/>
                <w:sz w:val="12"/>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2,827</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2,617</w:t>
            </w:r>
          </w:p>
        </w:tc>
      </w:tr>
      <w:tr>
        <w:tc>
          <w:tcPr>
            <w:tcW w:w="6456"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b/>
                <w:color w:val="404040"/>
                <w:sz w:val="18"/>
              </w:rPr>
              <w:t>Net debt/adjusted EBITDA</w:t>
            </w:r>
            <w:r>
              <w:rPr>
                <w:rFonts w:ascii="Clario;sans-serif" w:hAnsi="Clario;sans-serif"/>
                <w:b/>
                <w:color w:val="404040"/>
                <w:sz w:val="12"/>
              </w:rPr>
              <w:t>(1)</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4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w:t>
            </w:r>
          </w:p>
        </w:tc>
        <w:tc>
          <w:tcPr>
            <w:tcW w:w="13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r>
    </w:tbl>
    <w:p>
      <w:pPr>
        <w:pStyle w:val="TextBody"/>
        <w:bidi w:val="0"/>
        <w:jc w:val="left"/>
      </w:pPr>
      <w:r>
        <w:t> </w:t>
      </w:r>
    </w:p>
    <w:p>
      <w:pPr>
        <w:pStyle w:val="TextBody"/>
        <w:bidi w:val="0"/>
        <w:spacing w:before="100" w:after="283"/>
        <w:jc w:val="left"/>
        <w:rPr>
          <w:rFonts w:ascii="Clario;sans-serif" w:hAnsi="Clario;sans-serif"/>
          <w:color w:val="404040"/>
          <w:sz w:val="16"/>
        </w:rPr>
      </w:pPr>
      <w:r>
        <w:rPr>
          <w:rFonts w:ascii="Clario;sans-serif" w:hAnsi="Clario;sans-serif"/>
          <w:color w:val="404040"/>
          <w:sz w:val="16"/>
        </w:rPr>
        <w:t>(1)</w:t>
      </w:r>
    </w:p>
    <w:p>
      <w:pPr>
        <w:pStyle w:val="TextBody"/>
        <w:bidi w:val="0"/>
        <w:spacing w:before="100" w:after="283"/>
        <w:jc w:val="left"/>
        <w:rPr>
          <w:rFonts w:ascii="Clario;sans-serif" w:hAnsi="Clario;sans-serif"/>
          <w:color w:val="404040"/>
          <w:sz w:val="16"/>
        </w:rPr>
      </w:pPr>
      <w:r>
        <w:rPr>
          <w:rFonts w:ascii="Clario;sans-serif" w:hAnsi="Clario;sans-serif"/>
          <w:color w:val="404040"/>
          <w:sz w:val="16"/>
        </w:rPr>
        <w:t>Revised to reflect the Global Print business as discontinued operations for the year ended December 31, 2025..</w:t>
      </w:r>
    </w:p>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29</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before="180" w:after="283"/>
        <w:jc w:val="left"/>
        <w:rPr>
          <w:rFonts w:ascii="Clario;sans-serif" w:hAnsi="Clario;sans-serif"/>
          <w:b/>
          <w:i/>
          <w:color w:val="404040"/>
          <w:sz w:val="18"/>
        </w:rPr>
      </w:pPr>
      <w:r>
        <w:rPr>
          <w:rFonts w:ascii="Clario;sans-serif" w:hAnsi="Clario;sans-serif"/>
          <w:b/>
          <w:i/>
          <w:color w:val="404040"/>
          <w:sz w:val="18"/>
        </w:rPr>
        <w:t>Reconciliation of changes in revenues to changes in revenues excluding the effects of foreign currency (constant currency) as well as acquisitions/disposals (organic basis)</w:t>
      </w:r>
    </w:p>
    <w:p>
      <w:pPr>
        <w:pStyle w:val="TextBody"/>
        <w:bidi w:val="0"/>
        <w:jc w:val="left"/>
      </w:pPr>
      <w:r>
        <w:t> </w:t>
      </w:r>
    </w:p>
    <w:tbl>
      <w:tblPr>
        <w:tblW w:w="9897" w:type="dxa"/>
        <w:jc w:val="left"/>
        <w:tblInd w:w="0" w:type="dxa"/>
        <w:tblLayout w:type="fixed"/>
        <w:tblCellMar>
          <w:top w:w="28" w:type="dxa"/>
          <w:left w:w="28" w:type="dxa"/>
          <w:bottom w:w="28" w:type="dxa"/>
          <w:right w:w="28" w:type="dxa"/>
        </w:tblCellMar>
      </w:tblPr>
      <w:tblGrid>
        <w:gridCol w:w="3726"/>
        <w:gridCol w:w="661"/>
        <w:gridCol w:w="146"/>
        <w:gridCol w:w="646"/>
        <w:gridCol w:w="146"/>
        <w:gridCol w:w="526"/>
        <w:gridCol w:w="262"/>
        <w:gridCol w:w="624"/>
        <w:gridCol w:w="146"/>
        <w:gridCol w:w="886"/>
        <w:gridCol w:w="409"/>
        <w:gridCol w:w="762"/>
        <w:gridCol w:w="146"/>
        <w:gridCol w:w="811"/>
      </w:tblGrid>
      <w:tr>
        <w:tc>
          <w:tcPr>
            <w:tcW w:w="37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71"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September 30,</w:t>
            </w:r>
          </w:p>
        </w:tc>
      </w:tr>
      <w:tr>
        <w:tc>
          <w:tcPr>
            <w:tcW w:w="372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4572"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Total</w:t>
            </w:r>
          </w:p>
        </w:tc>
        <w:tc>
          <w:tcPr>
            <w:tcW w:w="88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17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12%</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4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Recurring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4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Recurring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Transactions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23%</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17%</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56%</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4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Transactions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30</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tbl>
      <w:tblPr>
        <w:tblW w:w="10189" w:type="dxa"/>
        <w:jc w:val="left"/>
        <w:tblInd w:w="0" w:type="dxa"/>
        <w:tblLayout w:type="fixed"/>
        <w:tblCellMar>
          <w:top w:w="28" w:type="dxa"/>
          <w:left w:w="28" w:type="dxa"/>
          <w:bottom w:w="28" w:type="dxa"/>
          <w:right w:w="28" w:type="dxa"/>
        </w:tblCellMar>
      </w:tblPr>
      <w:tblGrid>
        <w:gridCol w:w="3726"/>
        <w:gridCol w:w="661"/>
        <w:gridCol w:w="146"/>
        <w:gridCol w:w="646"/>
        <w:gridCol w:w="146"/>
        <w:gridCol w:w="526"/>
        <w:gridCol w:w="146"/>
        <w:gridCol w:w="886"/>
        <w:gridCol w:w="146"/>
        <w:gridCol w:w="886"/>
        <w:gridCol w:w="146"/>
        <w:gridCol w:w="1171"/>
        <w:gridCol w:w="146"/>
        <w:gridCol w:w="811"/>
      </w:tblGrid>
      <w:tr>
        <w:tc>
          <w:tcPr>
            <w:tcW w:w="37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3"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 September 30,</w:t>
            </w:r>
          </w:p>
        </w:tc>
      </w:tr>
      <w:tr>
        <w:tc>
          <w:tcPr>
            <w:tcW w:w="372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4864"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7%</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Recurring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Recurring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Transactions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12%</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18%</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w:t>
            </w:r>
          </w:p>
        </w:tc>
      </w:tr>
      <w:t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21%</w:t>
            </w:r>
          </w:p>
        </w:tc>
      </w:tr>
      <w:t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Transactions Revenues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bl>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038"/>
        <w:gridCol w:w="646"/>
        <w:gridCol w:w="146"/>
        <w:gridCol w:w="646"/>
        <w:gridCol w:w="146"/>
        <w:gridCol w:w="536"/>
        <w:gridCol w:w="262"/>
        <w:gridCol w:w="624"/>
        <w:gridCol w:w="146"/>
        <w:gridCol w:w="886"/>
        <w:gridCol w:w="301"/>
        <w:gridCol w:w="870"/>
        <w:gridCol w:w="146"/>
        <w:gridCol w:w="812"/>
      </w:tblGrid>
      <w:tr>
        <w:tc>
          <w:tcPr>
            <w:tcW w:w="40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c>
          <w:tcPr>
            <w:tcW w:w="40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167"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w:t>
            </w:r>
          </w:p>
        </w:tc>
      </w:tr>
      <w:tr>
        <w:tc>
          <w:tcPr>
            <w:tcW w:w="403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4583"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403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2024</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FFFFFF"/>
                <w:sz w:val="16"/>
              </w:rPr>
            </w:pPr>
            <w:r>
              <w:rPr>
                <w:rFonts w:ascii="Clario;sans-serif" w:hAnsi="Clario;sans-serif"/>
                <w:color w:val="FFFFFF"/>
                <w:sz w:val="16"/>
              </w:rPr>
              <w:t>Total</w:t>
            </w:r>
          </w:p>
        </w:tc>
        <w:tc>
          <w:tcPr>
            <w:tcW w:w="88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17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c>
          <w:tcPr>
            <w:tcW w:w="40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0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c>
          <w:tcPr>
            <w:tcW w:w="40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40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c>
          <w:tcPr>
            <w:tcW w:w="40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c>
          <w:tcPr>
            <w:tcW w:w="40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c>
          <w:tcPr>
            <w:tcW w:w="40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3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r>
      <w:tr>
        <w:tc>
          <w:tcPr>
            <w:tcW w:w="40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 - Revised</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6,986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6,739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40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5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r>
      <w:tr>
        <w:tc>
          <w:tcPr>
            <w:tcW w:w="40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Total Revenues including Global Print (Reported)</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5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3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31</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spacing w:lineRule="auto" w:line="360"/>
        <w:jc w:val="left"/>
        <w:rPr>
          <w:rFonts w:ascii="Clario;sans-serif" w:hAnsi="Clario;sans-serif"/>
          <w:sz w:val="12"/>
        </w:rPr>
      </w:pPr>
      <w:r>
        <w:rPr>
          <w:rFonts w:ascii="Clario;sans-serif" w:hAnsi="Clario;sans-serif"/>
          <w:b/>
          <w:i/>
          <w:color w:val="404040"/>
          <w:sz w:val="18"/>
        </w:rPr>
        <w:t>Reconciliation of changes in adjusted EBITDA and the related margin, consolidated operating expenses and adjusted EPS, excluding the effects of foreign currency</w:t>
      </w:r>
      <w:r>
        <w:rPr>
          <w:rFonts w:ascii="Clario;sans-serif" w:hAnsi="Clario;sans-serif"/>
          <w:color w:val="404040"/>
          <w:sz w:val="12"/>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638"/>
        <w:gridCol w:w="185"/>
        <w:gridCol w:w="185"/>
        <w:gridCol w:w="185"/>
        <w:gridCol w:w="146"/>
        <w:gridCol w:w="717"/>
        <w:gridCol w:w="146"/>
        <w:gridCol w:w="688"/>
        <w:gridCol w:w="146"/>
        <w:gridCol w:w="847"/>
        <w:gridCol w:w="146"/>
        <w:gridCol w:w="931"/>
        <w:gridCol w:w="146"/>
        <w:gridCol w:w="1099"/>
      </w:tblGrid>
      <w:tr>
        <w:tc>
          <w:tcPr>
            <w:tcW w:w="4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66"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September 30,</w:t>
            </w:r>
          </w:p>
        </w:tc>
      </w:tr>
      <w:tr>
        <w:tc>
          <w:tcPr>
            <w:tcW w:w="463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3169"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5193" w:type="dxa"/>
            <w:gridSpan w:val="4"/>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9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w:t>
            </w:r>
          </w:p>
        </w:tc>
      </w:tr>
      <w:tr>
        <w:tc>
          <w:tcPr>
            <w:tcW w:w="46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6%</w:t>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37%</w:t>
            </w:r>
          </w:p>
        </w:tc>
      </w:tr>
      <w:tr>
        <w:tc>
          <w:tcPr>
            <w:tcW w:w="4638"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c>
          <w:tcPr>
            <w:tcW w:w="46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 Margin</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(250)bp</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(40)bp</w:t>
            </w:r>
          </w:p>
        </w:tc>
      </w:tr>
      <w:tr>
        <w:tc>
          <w:tcPr>
            <w:tcW w:w="46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r>
      <w:tr>
        <w:tc>
          <w:tcPr>
            <w:tcW w:w="46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(150)bp</w:t>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440bp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450bp</w:t>
            </w:r>
          </w:p>
        </w:tc>
      </w:tr>
      <w:tr>
        <w:tc>
          <w:tcPr>
            <w:tcW w:w="4638"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 Margin</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717"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688"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9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r>
      <w:tr>
        <w:tc>
          <w:tcPr>
            <w:tcW w:w="46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46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$0.71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bl>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643"/>
        <w:gridCol w:w="185"/>
        <w:gridCol w:w="185"/>
        <w:gridCol w:w="185"/>
        <w:gridCol w:w="146"/>
        <w:gridCol w:w="717"/>
        <w:gridCol w:w="146"/>
        <w:gridCol w:w="688"/>
        <w:gridCol w:w="146"/>
        <w:gridCol w:w="843"/>
        <w:gridCol w:w="146"/>
        <w:gridCol w:w="931"/>
        <w:gridCol w:w="146"/>
        <w:gridCol w:w="1098"/>
      </w:tblGrid>
      <w:tr>
        <w:tc>
          <w:tcPr>
            <w:tcW w:w="46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61"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 September 30,</w:t>
            </w:r>
          </w:p>
        </w:tc>
      </w:tr>
      <w:tr>
        <w:tc>
          <w:tcPr>
            <w:tcW w:w="4643"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3164"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c>
          <w:tcPr>
            <w:tcW w:w="5198" w:type="dxa"/>
            <w:gridSpan w:val="4"/>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7%</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w:t>
            </w:r>
          </w:p>
        </w:tc>
      </w:tr>
      <w:t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15%</w:t>
            </w:r>
          </w:p>
        </w:tc>
      </w:tr>
      <w:t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 Margin</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(100)bp</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80bp</w:t>
            </w:r>
          </w:p>
        </w:tc>
      </w:tr>
      <w:t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r>
      <w:t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(50)bp</w:t>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(90)bp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120bp</w:t>
            </w:r>
          </w:p>
        </w:tc>
      </w:tr>
      <w:tr>
        <w:tc>
          <w:tcPr>
            <w:tcW w:w="4643"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 Margin</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185"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pPr>
            <w:r>
              <w:t> </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717"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688"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146" w:type="dxa"/>
            <w:tcBorders>
              <w:top w:val="single" w:sz="4" w:space="0" w:color="666666"/>
              <w:bottom w:val="single" w:sz="4" w:space="0" w:color="666666"/>
            </w:tcBorders>
            <w:shd w:fill="CFF0FC" w:val="clear"/>
            <w:tcMar>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r>
      <w:t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32</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color w:val="404040"/>
        </w:rPr>
      </w:pPr>
      <w:r>
        <w:rPr>
          <w:color w:val="404040"/>
        </w:rPr>
        <w:t>“</w:t>
      </w:r>
      <w:r>
        <w:rPr>
          <w:rFonts w:ascii="Clario;sans-serif" w:hAnsi="Clario;sans-serif"/>
          <w:b/>
          <w:i/>
          <w:color w:val="404040"/>
          <w:sz w:val="18"/>
        </w:rPr>
        <w:t>Big 3” segments and consolidated adjusted EBITDA and the related margins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093"/>
        <w:gridCol w:w="215"/>
        <w:gridCol w:w="215"/>
        <w:gridCol w:w="215"/>
        <w:gridCol w:w="215"/>
        <w:gridCol w:w="215"/>
        <w:gridCol w:w="215"/>
        <w:gridCol w:w="215"/>
        <w:gridCol w:w="215"/>
        <w:gridCol w:w="215"/>
        <w:gridCol w:w="146"/>
        <w:gridCol w:w="1483"/>
        <w:gridCol w:w="146"/>
        <w:gridCol w:w="1402"/>
      </w:tblGrid>
      <w:tr>
        <w:tc>
          <w:tcPr>
            <w:tcW w:w="5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c>
          <w:tcPr>
            <w:tcW w:w="50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77"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Year ended December 31,</w:t>
            </w:r>
          </w:p>
        </w:tc>
      </w:tr>
      <w:tr>
        <w:tc>
          <w:tcPr>
            <w:tcW w:w="509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Reported</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0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2025 - Revised</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50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1,354</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727</w:t>
            </w:r>
          </w:p>
        </w:tc>
      </w:tr>
      <w:tr>
        <w:tc>
          <w:tcPr>
            <w:tcW w:w="509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2,695</w:t>
            </w:r>
          </w:p>
        </w:tc>
      </w:tr>
      <w:tr>
        <w:tc>
          <w:tcPr>
            <w:tcW w:w="509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174</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w:t>
            </w:r>
          </w:p>
        </w:tc>
      </w:tr>
      <w:tr>
        <w:tc>
          <w:tcPr>
            <w:tcW w:w="509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(252)</w:t>
            </w:r>
          </w:p>
        </w:tc>
      </w:tr>
      <w:tr>
        <w:tc>
          <w:tcPr>
            <w:tcW w:w="50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2,617</w:t>
            </w:r>
          </w:p>
        </w:tc>
      </w:tr>
      <w:tr>
        <w:tc>
          <w:tcPr>
            <w:tcW w:w="509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"Big 3" Segments Combined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2,695</w:t>
            </w:r>
          </w:p>
        </w:tc>
      </w:tr>
      <w:tr>
        <w:tc>
          <w:tcPr>
            <w:tcW w:w="7028"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6,177</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r>
      <w:tr>
        <w:tc>
          <w:tcPr>
            <w:tcW w:w="509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Consolidated</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09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2,617</w:t>
            </w:r>
          </w:p>
        </w:tc>
      </w:tr>
      <w:tr>
        <w:tc>
          <w:tcPr>
            <w:tcW w:w="7028"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7,006</w:t>
            </w:r>
          </w:p>
        </w:tc>
      </w:tr>
      <w:tr>
        <w:tc>
          <w:tcPr>
            <w:tcW w:w="50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37.4%</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33</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adjusted EBITDA margin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815"/>
        <w:gridCol w:w="146"/>
        <w:gridCol w:w="1051"/>
        <w:gridCol w:w="146"/>
        <w:gridCol w:w="1261"/>
        <w:gridCol w:w="146"/>
        <w:gridCol w:w="1261"/>
        <w:gridCol w:w="146"/>
        <w:gridCol w:w="1021"/>
        <w:gridCol w:w="146"/>
        <w:gridCol w:w="1066"/>
      </w:tblGrid>
      <w:tr>
        <w:tc>
          <w:tcPr>
            <w:tcW w:w="3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c>
          <w:tcPr>
            <w:tcW w:w="381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IFRS </w:t>
              <w:br/>
              <w:t>revenues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Remove fair</w:t>
              <w:br/>
              <w:t>value</w:t>
              <w:br/>
              <w:t>adjustments</w:t>
              <w:br/>
              <w:t>to acquired</w:t>
              <w:br/>
              <w:t>deferred</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Revenues</w:t>
              <w:br/>
              <w:t xml:space="preserve">excluding </w:t>
              <w:br/>
              <w:t>fair value</w:t>
              <w:br/>
              <w:t>adjustments</w:t>
              <w:br/>
              <w:t>to acquired</w:t>
              <w:br/>
              <w:t xml:space="preserve">deferred </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br/>
              <w:t>margin</w:t>
            </w:r>
          </w:p>
        </w:tc>
      </w:tr>
      <w:t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September 30, 2026</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46.6%</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36.2%</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30.2%</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40.3%</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24.3%</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n/a</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r>
      <w:t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35.5%</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Nine months ended September 30, 2026</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47.7%</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37.9%</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42.5%</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43.3%</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20.5%</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n/a</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r>
      <w:t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37.9%</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September 30, 2025</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49.0%</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36.3%</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30.6%</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41.7%</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19.9%</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n/a</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35.8%</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Nine months ended September 30, 2025</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48.6%</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37.2%</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899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43.9%</w:t>
            </w:r>
          </w:p>
        </w:tc>
      </w:tr>
      <w:t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20.2%</w:t>
            </w:r>
          </w:p>
        </w:tc>
      </w:tr>
      <w:t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n/a</w:t>
            </w:r>
          </w:p>
        </w:tc>
      </w:tr>
      <w:t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Center</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34</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sz w:val="24"/>
        </w:rPr>
      </w:pPr>
      <w:r>
        <w:rPr>
          <w:rFonts w:ascii="Clario;sans-serif" w:hAnsi="Clario;sans-serif"/>
          <w:b/>
          <w:color w:val="404040"/>
          <w:sz w:val="24"/>
        </w:rPr>
        <w:t>Appendix C</w:t>
      </w:r>
      <w:r>
        <w:rPr>
          <w:rFonts w:ascii="Clario;sans-serif" w:hAnsi="Clario;sans-serif"/>
          <w:color w:val="404040"/>
          <w:sz w:val="24"/>
        </w:rPr>
        <w:t xml:space="preserve"> </w:t>
      </w:r>
    </w:p>
    <w:p>
      <w:pPr>
        <w:pStyle w:val="TextBody"/>
        <w:bidi w:val="0"/>
        <w:spacing w:before="100" w:after="283"/>
        <w:jc w:val="both"/>
        <w:rPr>
          <w:rFonts w:ascii="Clario;sans-serif" w:hAnsi="Clario;sans-serif"/>
          <w:b/>
          <w:i/>
          <w:color w:val="404040"/>
          <w:sz w:val="18"/>
        </w:rPr>
      </w:pPr>
      <w:r>
        <w:rPr>
          <w:rFonts w:ascii="Clario;sans-serif" w:hAnsi="Clario;sans-serif"/>
          <w:b/>
          <w:i/>
          <w:color w:val="404040"/>
          <w:sz w:val="18"/>
        </w:rPr>
        <w:t>Quarterly information (unaudited)</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three and nine months ended September 30, 2026, the Global Print business was reported as discontinued operations. Prior period amounts have been revised to reflect this change. Refer to the Global Print Transaction subsection within the "Executive Summary - Financial Highlights" section of this management's discussion and analysis for additional information.</w:t>
      </w:r>
    </w:p>
    <w:p>
      <w:pPr>
        <w:pStyle w:val="TextBody"/>
        <w:bidi w:val="0"/>
        <w:spacing w:before="100" w:after="283"/>
        <w:jc w:val="both"/>
        <w:rPr>
          <w:rFonts w:ascii="Clario;sans-serif" w:hAnsi="Clario;sans-serif"/>
          <w:color w:val="404040"/>
          <w:sz w:val="18"/>
        </w:rPr>
      </w:pPr>
      <w:r>
        <w:rPr>
          <w:rFonts w:ascii="Clario;sans-serif" w:hAnsi="Clario;sans-serif"/>
          <w:color w:val="404040"/>
          <w:sz w:val="18"/>
        </w:rPr>
        <w:t>The following table presents a summary of our consolidated operating results for the eight most recent quarters.</w:t>
      </w:r>
    </w:p>
    <w:p>
      <w:pPr>
        <w:pStyle w:val="TextBody"/>
        <w:bidi w:val="0"/>
        <w:jc w:val="both"/>
      </w:pPr>
      <w:r>
        <w:t> </w:t>
      </w:r>
    </w:p>
    <w:tbl>
      <w:tblPr>
        <w:tblW w:w="9294" w:type="dxa"/>
        <w:jc w:val="left"/>
        <w:tblInd w:w="0" w:type="dxa"/>
        <w:tblLayout w:type="fixed"/>
        <w:tblCellMar>
          <w:top w:w="28" w:type="dxa"/>
          <w:left w:w="28" w:type="dxa"/>
          <w:bottom w:w="28" w:type="dxa"/>
          <w:right w:w="28" w:type="dxa"/>
        </w:tblCellMar>
      </w:tblPr>
      <w:tblGrid>
        <w:gridCol w:w="2611"/>
        <w:gridCol w:w="1096"/>
        <w:gridCol w:w="646"/>
        <w:gridCol w:w="676"/>
        <w:gridCol w:w="1021"/>
        <w:gridCol w:w="1036"/>
        <w:gridCol w:w="571"/>
        <w:gridCol w:w="616"/>
        <w:gridCol w:w="1021"/>
      </w:tblGrid>
      <w:tr>
        <w:tc>
          <w:tcPr>
            <w:tcW w:w="26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3"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7"/>
              </w:rPr>
            </w:pPr>
            <w:r>
              <w:rPr>
                <w:rFonts w:ascii="Clario;sans-serif" w:hAnsi="Clario;sans-serif"/>
                <w:b/>
                <w:color w:val="404040"/>
                <w:sz w:val="17"/>
              </w:rPr>
              <w:t>Quarters ended</w:t>
            </w:r>
          </w:p>
        </w:tc>
      </w:tr>
      <w:tr>
        <w:tc>
          <w:tcPr>
            <w:tcW w:w="261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7"/>
              </w:rPr>
            </w:pPr>
            <w:r>
              <w:rPr>
                <w:rFonts w:ascii="Clario;sans-serif" w:hAnsi="Clario;sans-serif"/>
                <w:b/>
                <w:color w:val="FFFFFF"/>
                <w:sz w:val="17"/>
              </w:rPr>
              <w:t xml:space="preserve">(millions of U.S. dollars, </w:t>
              <w:br/>
              <w:t xml:space="preserve">   except per share </w:t>
              <w:br/>
              <w:t>   amounts)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September</w:t>
              <w:br/>
              <w:t> 30,</w:t>
              <w:br/>
              <w:t>2026</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June</w:t>
              <w:br/>
              <w:t> 30,</w:t>
              <w:br/>
              <w:t>2026</w:t>
            </w:r>
          </w:p>
        </w:tc>
        <w:tc>
          <w:tcPr>
            <w:tcW w:w="6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March</w:t>
              <w:br/>
              <w:t> 31,</w:t>
              <w:br/>
              <w:t>2026</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December</w:t>
              <w:br/>
              <w:t> 31,</w:t>
              <w:br/>
              <w:t> 2025</w:t>
            </w:r>
          </w:p>
        </w:tc>
        <w:tc>
          <w:tcPr>
            <w:tcW w:w="10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September</w:t>
              <w:br/>
              <w:t> 30,</w:t>
              <w:br/>
              <w:t>2025</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June</w:t>
              <w:br/>
              <w:t> 30,</w:t>
              <w:br/>
              <w:t>2025</w:t>
            </w:r>
          </w:p>
        </w:tc>
        <w:tc>
          <w:tcPr>
            <w:tcW w:w="61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March</w:t>
              <w:br/>
              <w:t> 31,</w:t>
              <w:br/>
              <w:t>2025</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December</w:t>
              <w:br/>
              <w:t> 31,</w:t>
              <w:br/>
              <w:t> 2024</w:t>
            </w:r>
          </w:p>
        </w:tc>
      </w:tr>
      <w:t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Revenues</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1,833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1,843</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1,975</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1,873</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1,658</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1,671</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1,784</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1,765</w:t>
            </w:r>
          </w:p>
        </w:tc>
      </w:tr>
      <w:t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Operating profit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402</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498</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571</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453</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517</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365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488</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625</w:t>
            </w:r>
          </w:p>
        </w:tc>
      </w:tr>
      <w:t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Earnings from continuing </w:t>
              <w:br/>
              <w:t>   operations</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289</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393</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420</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262</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364</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237</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362</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528</w:t>
            </w:r>
          </w:p>
        </w:tc>
      </w:tr>
      <w:tr>
        <w:tc>
          <w:tcPr>
            <w:tcW w:w="26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Earnings from discontinued </w:t>
              <w:br/>
              <w:t>   operations, net of tax</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50</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55</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39</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70</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59</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76</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72</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59</w:t>
            </w:r>
          </w:p>
        </w:tc>
      </w:tr>
      <w:tr>
        <w:tc>
          <w:tcPr>
            <w:tcW w:w="26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Net earnings</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339</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448</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423</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313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r>
      <w:t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Earnings attributable to </w:t>
              <w:br/>
              <w:t>   common shareholders</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339</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448</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423</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313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r>
      <w:tr>
        <w:tc>
          <w:tcPr>
            <w:tcW w:w="261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Basic earnings per share</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$0.89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$0.59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$0.81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$0.52</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$0.80</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$1.17</w:t>
            </w:r>
          </w:p>
        </w:tc>
      </w:tr>
      <w:tr>
        <w:tc>
          <w:tcPr>
            <w:tcW w:w="26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discontinued operations</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0.12</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0.13</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0.09</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0.15</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0.13</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0.17</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0.16</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0.13</w:t>
            </w:r>
          </w:p>
        </w:tc>
      </w:tr>
      <w:tr>
        <w:tc>
          <w:tcPr>
            <w:tcW w:w="26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$0.78</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$1.02</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r>
      <w:t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Diluted earnings per share</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$0.89</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$0.59</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$0.81</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$0.52</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$0.80</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$1.17</w:t>
            </w:r>
          </w:p>
        </w:tc>
      </w:tr>
      <w:tr>
        <w:tc>
          <w:tcPr>
            <w:tcW w:w="26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discontinued operations</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0.12</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0.13</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0.09</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0.15</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0.13</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0.17</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0.16</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0.13</w:t>
            </w:r>
          </w:p>
        </w:tc>
      </w:tr>
      <w:tr>
        <w:tc>
          <w:tcPr>
            <w:tcW w:w="26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$0.78</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$1.02</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r>
    </w:tbl>
    <w:p>
      <w:pPr>
        <w:pStyle w:val="TextBody"/>
        <w:bidi w:val="0"/>
        <w:spacing w:before="100" w:after="283"/>
        <w:jc w:val="left"/>
        <w:rPr>
          <w:rFonts w:ascii="Clario;sans-serif" w:hAnsi="Clario;sans-serif"/>
          <w:sz w:val="18"/>
        </w:rPr>
      </w:pPr>
      <w:r>
        <w:rPr>
          <w:rFonts w:ascii="Clario;sans-serif" w:hAnsi="Clario;sans-serif"/>
          <w:b/>
          <w:color w:val="404040"/>
          <w:sz w:val="18"/>
        </w:rPr>
        <w:t>Revenues</w:t>
      </w:r>
      <w:r>
        <w:rPr>
          <w:rFonts w:ascii="Clario;sans-serif" w:hAnsi="Clario;sans-serif"/>
          <w:color w:val="404040"/>
          <w:sz w:val="18"/>
        </w:rPr>
        <w:t xml:space="preserve"> </w:t>
      </w:r>
      <w:r>
        <w:rPr>
          <w:rFonts w:ascii="Clario;sans-serif" w:hAnsi="Clario;sans-serif"/>
          <w:color w:val="404040"/>
          <w:sz w:val="20"/>
        </w:rPr>
        <w:t xml:space="preserve">- </w:t>
      </w:r>
      <w:r>
        <w:rPr>
          <w:rFonts w:ascii="Clario;sans-serif" w:hAnsi="Clario;sans-serif"/>
          <w:color w:val="404040"/>
          <w:sz w:val="18"/>
        </w:rPr>
        <w:t xml:space="preserve">Our company revenues on a consolidated basis do not tend to be significantly impacted by seasonality as we record a large portion of our revenues ratably over a contract term. However, at the segment level, revenues on a consecutive quarter basis can be impacted by seasonality, most notably in our Tax, Audit &amp; Accounting Professionals business, where revenues tend to be concentrated in the first and fourth quarters. As most of our business is conducted in U.S. dollars, foreign currency had a minimal impact on our revenues. Our revenues reflected growth in recurring revenues and transactions revenues, including acquisitions. Our fourth quarter 2024 revenues included amounts related to FindLaw and other non-core businesses, which were sold in December 2024. </w:t>
      </w:r>
    </w:p>
    <w:p>
      <w:pPr>
        <w:pStyle w:val="TextBody"/>
        <w:bidi w:val="0"/>
        <w:spacing w:before="100" w:after="283"/>
        <w:jc w:val="left"/>
        <w:rPr>
          <w:rFonts w:ascii="Clario;sans-serif" w:hAnsi="Clario;sans-serif"/>
          <w:sz w:val="18"/>
        </w:rPr>
      </w:pPr>
      <w:r>
        <w:rPr>
          <w:rFonts w:ascii="Clario;sans-serif" w:hAnsi="Clario;sans-serif"/>
          <w:b/>
          <w:color w:val="404040"/>
          <w:sz w:val="18"/>
        </w:rPr>
        <w:t>Operating profit</w:t>
      </w:r>
      <w:r>
        <w:rPr>
          <w:rFonts w:ascii="Clario;sans-serif" w:hAnsi="Clario;sans-serif"/>
          <w:color w:val="404040"/>
          <w:sz w:val="18"/>
        </w:rPr>
        <w:t xml:space="preserve"> - Our operating profit does not tend to be significantly impacted by seasonality. As most of our operating expenses are fixed over the short-to-medium term, we generally become more profitable when our revenues increase. When our revenues decline, we generally become less profitable. The increase in operating profit in the third quarter of 2025 reflected an other operating gain on the sale of our remaining minority equity interest in the Elite business and the fourth quarter of 2024 reflected the gains on sales of FindLaw and other non-core businesses. </w:t>
      </w:r>
    </w:p>
    <w:p>
      <w:pPr>
        <w:pStyle w:val="TextBody"/>
        <w:bidi w:val="0"/>
        <w:spacing w:before="100" w:after="283"/>
        <w:jc w:val="left"/>
        <w:rPr>
          <w:rFonts w:ascii="Clario;sans-serif" w:hAnsi="Clario;sans-serif"/>
          <w:sz w:val="18"/>
        </w:rPr>
      </w:pPr>
      <w:r>
        <w:rPr>
          <w:rFonts w:ascii="Clario;sans-serif" w:hAnsi="Clario;sans-serif"/>
          <w:b/>
          <w:color w:val="404040"/>
          <w:sz w:val="18"/>
        </w:rPr>
        <w:t>Net earnings</w:t>
      </w:r>
      <w:r>
        <w:rPr>
          <w:rFonts w:ascii="Clario;sans-serif" w:hAnsi="Clario;sans-serif"/>
          <w:color w:val="404040"/>
          <w:sz w:val="18"/>
        </w:rPr>
        <w:t xml:space="preserve"> – Net earnings in the third quarter of 2025 reflected a gain on sale of our remaining equity interest in Elite, and the fourth quarter of 2024 included a gain on sale of FindLaw.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35</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sz w:val="24"/>
        </w:rPr>
      </w:pPr>
      <w:r>
        <w:rPr>
          <w:rFonts w:ascii="Clario;sans-serif" w:hAnsi="Clario;sans-serif"/>
          <w:b/>
          <w:color w:val="404040"/>
          <w:sz w:val="24"/>
        </w:rPr>
        <w:t>Appendix D</w:t>
      </w:r>
      <w:r>
        <w:rPr>
          <w:rFonts w:ascii="Clario;sans-serif" w:hAnsi="Clario;sans-serif"/>
          <w:color w:val="404040"/>
          <w:sz w:val="24"/>
        </w:rPr>
        <w:t xml:space="preserve"> </w:t>
      </w:r>
    </w:p>
    <w:p>
      <w:pPr>
        <w:pStyle w:val="TextBody"/>
        <w:bidi w:val="0"/>
        <w:spacing w:before="100" w:after="283"/>
        <w:jc w:val="both"/>
        <w:rPr>
          <w:rFonts w:ascii="Clario;sans-serif" w:hAnsi="Clario;sans-serif"/>
          <w:sz w:val="18"/>
        </w:rPr>
      </w:pPr>
      <w:r>
        <w:rPr>
          <w:rFonts w:ascii="Clario;sans-serif" w:hAnsi="Clario;sans-serif"/>
          <w:b/>
          <w:i/>
          <w:color w:val="404040"/>
          <w:sz w:val="18"/>
        </w:rPr>
        <w:t>Subsidiary Issuer and Guarantor Supplemental Financial Information</w:t>
      </w:r>
      <w:r>
        <w:rPr>
          <w:rFonts w:ascii="Clario;sans-serif" w:hAnsi="Clario;sans-serif"/>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Subsidiary Guarantors), of any debt securities issued by TR Finance LLC (referred to as the Subsidiary Issuer) under a trust indenture dated as of March 20, 2025, entered into between Thomson Reuters Corporation, TR Finance LLC, the Subsidiary Guarantors, Computershare Trust Company of Canada and Deutsche Bank Trust Company Americas, and the full and unconditional guarantee by the Subsidiary Guarantors of certain outstanding debt securities issued by Thomson Reuters Corporation under a second amended and restated trust indenture dated as of March 20, 2025, entered into between Thomson Reuters Corporation, the Subsidiary Guarantors, Computershare Trust Company of Canada and Deutsche Bank Trust Company Americas, and any debt securities issued by Thomson Reuters Corporation under a trust indenture to be entered into between Thomson Reuters Corporation, the Subsidiary Guarantors, Computershare Trust Company of Canada and Deutsche Bank Trust Company Americas in connection with any future offering of debt securities issued by Thomson Reuters Corporation and guaranteed by the Subsidiary Guarantors. Guarantees by the Subsidiary Guarantors may be subject to customary release provisions in connection with a merger, consolidation or sale of assets.</w:t>
      </w:r>
    </w:p>
    <w:p>
      <w:pPr>
        <w:pStyle w:val="TextBody"/>
        <w:bidi w:val="0"/>
        <w:spacing w:before="100" w:after="283"/>
        <w:jc w:val="left"/>
        <w:rPr>
          <w:rFonts w:ascii="Times New Roman" w:hAnsi="Times New Roman"/>
          <w:sz w:val="18"/>
        </w:rPr>
      </w:pPr>
      <w:r>
        <w:rPr>
          <w:rFonts w:ascii="Clario;sans-serif" w:hAnsi="Clario;sans-serif"/>
          <w:color w:val="404040"/>
          <w:sz w:val="18"/>
        </w:rPr>
        <w:t>TR Finance LLC is an indirect 100%-owned subsidiary of Thomson Reuters Corporation. TR Finance LLC is a financing vehicle for Thomson Reuters Corporation and its consolidated subsidiaries. TR Finance LLC has no independent operations, other than raising debt for use by Thomson Reuters, hedging such debt when appropriate and on-lending funds to companies in the Thomson Reuters group. In connection with each issuance of debt securities by TR Finance LLC to date, TR Finance LLC has loaned the proceeds thereof to, and in connection with each future issuance of debt securities by TR Finance LLC, TR Finance LLC expects that the proceeds thereof will be loaned to the Subsidiary Guarantors, and/or U.S. affiliates that are direct or indirect shareholders of the Subsidiary Guarantors. TR Finance LLC expects to be able to pay interest, premiums, operating expenses and to meet its debt obligations using interest income from the affiliate loans and will be further supported by guarantees provided by the Subsidiary Guarantors and Thomson Reuters Corporation. The ability of TR Finance LLC to pay interest, premiums, operating expenses and to meet its debt obligations depends upon the ability of the Subsidiary Guarantors and/or such other U.S. affiliates to pay interest and meet debt obligations under the affiliate loans and upon the credit support of the Subsidiary Guarantors and Thomson Reuters Corporation</w:t>
      </w:r>
      <w:r>
        <w:rPr>
          <w:rFonts w:ascii="Times New Roman" w:hAnsi="Times New Roman"/>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tables below contain condensed consolidating financial information for the following:</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Parent – Thomson Reuters Corporation, the direct or indirect owner of all of its subsidiaries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Issuer – TR Finance LLC</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Guarantors on a combined basis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Non-Guarantor Subsidiaries – Other subsidiaries of Thomson Reuters Corporation on a combined basis that will not guarantee TR Finance LLC or Thomson Reuters Corporation debt securities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Eliminations – Consolidating adjustments</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Thomson Reuters on a consolidated basis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Subsidiary Guarantors referred to above are comprised of the following indirect 100%-owned and consolidated subsidiaries of Thomson Reuters Corporation: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Thomson Reuters Applications Inc., which operates part of the Company’s Legal Professionals, Tax, Audit &amp; Accounting Professionals and Corporates businesses;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Thomson Reuters (Tax &amp; Accounting) Inc., which operates part of the Company’s Tax, Audit &amp; Accounting Professionals and Corporates businesses;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West Publishing Corporation, which operates part of the Company’s Legal Professionals and Corporates businesses, and the Global Print business through September 30, 2026.</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Subsidiary Guarantors and Non-Guarantor Subsidiaries are reflected in the “Eliminations” column.</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36</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basis of presentation is not intended to present the financial position of Thomson Reuters Corporation and the results of its operations for any purpose other than to comply with the specific requirements for subsidiary issuer and guarantor reporting and should be read in conjunction with our consolidated interim financial statements for the three and nine months ended September 30, 2026, our 2025 annual consolidated financial statements, as well as our 2025 annual management’s discussion and analysis, which are included in our 2025 annual report.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In the three and nine months ended September 30, 2026, the Global Print business was reported as discontinued operations. Prior period income statement amounts have been revised to reflect this change and other reclassifications. </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The following condensed consolidating financial information is provided in compliance with the requirements of Section 13.4 of National Instrument 51-102 - </w:t>
      </w:r>
      <w:r>
        <w:rPr>
          <w:rFonts w:ascii="Clario;sans-serif" w:hAnsi="Clario;sans-serif"/>
          <w:i/>
          <w:color w:val="404040"/>
          <w:sz w:val="18"/>
        </w:rPr>
        <w:t>Continuous Disclosure Obligations</w:t>
      </w:r>
      <w:r>
        <w:rPr>
          <w:rFonts w:ascii="Clario;sans-serif" w:hAnsi="Clario;sans-serif"/>
          <w:color w:val="404040"/>
          <w:sz w:val="18"/>
        </w:rPr>
        <w:t xml:space="preserve"> providing for an exemption for certain credit support issuers.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condensed consolidating financial information has been prepared in accordance with IFRS, as issued by the IASB and is unaudited.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September 30, 2026</w:t>
            </w:r>
          </w:p>
        </w:tc>
      </w:tr>
      <w:t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r>
      <w:t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(51)</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2</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income</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from continuing </w:t>
              <w:br/>
              <w:t>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r>
      <w:t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r>
      <w:t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w:t>
              <w:br/>
              <w:t>   common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r>
    </w:tbl>
    <w:p>
      <w:pPr>
        <w:pStyle w:val="TextBody"/>
        <w:bidi w:val="0"/>
        <w:jc w:val="left"/>
      </w:pPr>
      <w:r>
        <w:t> </w:t>
      </w:r>
    </w:p>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37</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Three months ended September 30, 2025</w:t>
            </w:r>
          </w:p>
        </w:tc>
      </w:tr>
      <w:t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(1,070)</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r>
      <w:t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517</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(38)</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Intercompany net interest income </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486</w:t>
            </w:r>
          </w:p>
        </w:tc>
      </w:tr>
      <w:t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r>
      <w:tr>
        <w:tc>
          <w:tcPr>
            <w:tcW w:w="172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from continuing </w:t>
              <w:br/>
              <w:t>   operations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r>
      <w:t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r>
      <w:t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38</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538"/>
        <w:gridCol w:w="146"/>
        <w:gridCol w:w="796"/>
        <w:gridCol w:w="146"/>
        <w:gridCol w:w="1216"/>
        <w:gridCol w:w="146"/>
        <w:gridCol w:w="1261"/>
        <w:gridCol w:w="146"/>
        <w:gridCol w:w="1665"/>
        <w:gridCol w:w="146"/>
        <w:gridCol w:w="1366"/>
        <w:gridCol w:w="146"/>
        <w:gridCol w:w="1487"/>
      </w:tblGrid>
      <w:tr>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21"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 September 30, 2026</w:t>
            </w:r>
          </w:p>
        </w:tc>
      </w:tr>
      <w:tr>
        <w:tc>
          <w:tcPr>
            <w:tcW w:w="153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796"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(3,509)</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r>
      <w:tr>
        <w:tc>
          <w:tcPr>
            <w:tcW w:w="1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1,471</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(137)</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19</w:t>
            </w:r>
          </w:p>
        </w:tc>
      </w:tr>
      <w:t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Intercompany net interest income </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(loss)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1,353</w:t>
            </w:r>
          </w:p>
        </w:tc>
      </w:tr>
      <w:tr>
        <w:tc>
          <w:tcPr>
            <w:tcW w:w="153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r>
      <w:tr>
        <w:tc>
          <w:tcPr>
            <w:tcW w:w="153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(loss) from continuing </w:t>
              <w:br/>
              <w:t>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1,102</w:t>
            </w:r>
          </w:p>
        </w:tc>
      </w:tr>
      <w:t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r>
      <w:tr>
        <w:tc>
          <w:tcPr>
            <w:tcW w:w="1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 (loss)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(1,344)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r>
      <w:tr>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(loss) attributable to </w:t>
              <w:br/>
              <w:t>   common shareholders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br/>
        <w:t> </w:t>
      </w:r>
    </w:p>
    <w:p>
      <w:pPr>
        <w:pStyle w:val="TextBody"/>
        <w:bidi w:val="0"/>
        <w:spacing w:before="100" w:after="283"/>
        <w:jc w:val="left"/>
      </w:pPr>
      <w:r>
        <w:t> </w:t>
      </w:r>
    </w:p>
    <w:p>
      <w:pPr>
        <w:pStyle w:val="TextBody"/>
        <w:bidi w:val="0"/>
        <w:spacing w:before="100" w:after="283"/>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39</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543"/>
        <w:gridCol w:w="146"/>
        <w:gridCol w:w="796"/>
        <w:gridCol w:w="146"/>
        <w:gridCol w:w="1214"/>
        <w:gridCol w:w="146"/>
        <w:gridCol w:w="1261"/>
        <w:gridCol w:w="146"/>
        <w:gridCol w:w="1662"/>
        <w:gridCol w:w="146"/>
        <w:gridCol w:w="1366"/>
        <w:gridCol w:w="146"/>
        <w:gridCol w:w="1487"/>
      </w:tblGrid>
      <w:tr>
        <w:tc>
          <w:tcPr>
            <w:tcW w:w="1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1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Nine months ended September 30, 2025</w:t>
            </w:r>
          </w:p>
        </w:tc>
      </w:tr>
      <w:tr>
        <w:tc>
          <w:tcPr>
            <w:tcW w:w="154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5,113</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(3,222)</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(77)</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(533)</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Amortization of other identifiable </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000000"/>
                <w:sz w:val="18"/>
              </w:rPr>
            </w:pPr>
            <w:r>
              <w:rPr>
                <w:rFonts w:ascii="Clario;sans-serif" w:hAnsi="Clario;sans-serif"/>
                <w:color w:val="000000"/>
                <w:sz w:val="18"/>
              </w:rPr>
              <w:t>(73)</w:t>
            </w:r>
          </w:p>
        </w:tc>
      </w:tr>
      <w:tr>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1,370</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000000"/>
                <w:sz w:val="18"/>
              </w:rPr>
            </w:pPr>
            <w:r>
              <w:rPr>
                <w:rFonts w:ascii="Clario;sans-serif" w:hAnsi="Clario;sans-serif"/>
                <w:color w:val="000000"/>
                <w:sz w:val="18"/>
              </w:rPr>
              <w:t>(103)</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000000"/>
                <w:sz w:val="18"/>
              </w:rPr>
            </w:pPr>
            <w:r>
              <w:rPr>
                <w:rFonts w:ascii="Clario;sans-serif" w:hAnsi="Clario;sans-serif"/>
                <w:color w:val="000000"/>
                <w:sz w:val="18"/>
              </w:rPr>
              <w:t>(51)</w:t>
            </w:r>
          </w:p>
        </w:tc>
      </w:tr>
      <w:t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income</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(Loss) 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1,216</w:t>
            </w:r>
          </w:p>
        </w:tc>
      </w:tr>
      <w:tr>
        <w:tc>
          <w:tcPr>
            <w:tcW w:w="15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earnings in</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benefit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r>
      <w:tr>
        <w:tc>
          <w:tcPr>
            <w:tcW w:w="15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963</w:t>
            </w:r>
          </w:p>
        </w:tc>
      </w:tr>
      <w:t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r>
      <w:tr>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r>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bl>
    <w:p>
      <w:pPr>
        <w:pStyle w:val="TextBody"/>
        <w:bidi w:val="0"/>
        <w:spacing w:before="100" w:after="283"/>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40</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510"/>
        <w:gridCol w:w="146"/>
        <w:gridCol w:w="796"/>
        <w:gridCol w:w="146"/>
        <w:gridCol w:w="1204"/>
        <w:gridCol w:w="146"/>
        <w:gridCol w:w="1261"/>
        <w:gridCol w:w="146"/>
        <w:gridCol w:w="1704"/>
        <w:gridCol w:w="146"/>
        <w:gridCol w:w="1366"/>
        <w:gridCol w:w="146"/>
        <w:gridCol w:w="1488"/>
      </w:tblGrid>
      <w:tr>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9"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September 30, 2026</w:t>
            </w:r>
          </w:p>
        </w:tc>
      </w:tr>
      <w:tr>
        <w:tc>
          <w:tcPr>
            <w:tcW w:w="151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1,154</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135</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421</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Current assets excluding assets held </w:t>
              <w:br/>
              <w:t>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3,104</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 held for sale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3,457</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303</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1,664</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3,034</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7,857</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163</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713</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1,237</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18,430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2,645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23,455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(33,089)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18,908</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1,071</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247</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1,191</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81</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 xml:space="preserve">Current liabilities excluding liabilities </w:t>
              <w:br/>
              <w:t xml:space="preserve">   associated with assets held for </w:t>
              <w:br/>
              <w:t>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3,155</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Liabilities associated with assets held </w:t>
              <w:br/>
              <w:t>   for sale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3,189</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613</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r>
      <w:tr>
        <w:tc>
          <w:tcPr>
            <w:tcW w:w="151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359</w:t>
            </w:r>
          </w:p>
        </w:tc>
      </w:tr>
      <w:tr>
        <w:tc>
          <w:tcPr>
            <w:tcW w:w="15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7,206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2,651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(14,805)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7,684</w:t>
            </w:r>
          </w:p>
        </w:tc>
      </w:tr>
      <w:tr>
        <w:tc>
          <w:tcPr>
            <w:tcW w:w="151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5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(18,284)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11,224</w:t>
            </w:r>
          </w:p>
        </w:tc>
      </w:tr>
      <w:tr>
        <w:tc>
          <w:tcPr>
            <w:tcW w:w="15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18,430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2,645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23,455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(33,089)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18,908</w:t>
            </w:r>
          </w:p>
        </w:tc>
      </w:tr>
    </w:tbl>
    <w:p>
      <w:pPr>
        <w:pStyle w:val="TextBody"/>
        <w:bidi w:val="0"/>
        <w:spacing w:before="100" w:after="283"/>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41</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492"/>
        <w:gridCol w:w="146"/>
        <w:gridCol w:w="796"/>
        <w:gridCol w:w="146"/>
        <w:gridCol w:w="1231"/>
        <w:gridCol w:w="146"/>
        <w:gridCol w:w="1261"/>
        <w:gridCol w:w="146"/>
        <w:gridCol w:w="1695"/>
        <w:gridCol w:w="146"/>
        <w:gridCol w:w="1366"/>
        <w:gridCol w:w="146"/>
        <w:gridCol w:w="1488"/>
      </w:tblGrid>
      <w:tr>
        <w:tc>
          <w:tcPr>
            <w:tcW w:w="1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7"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c>
          <w:tcPr>
            <w:tcW w:w="149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c>
          <w:tcPr>
            <w:tcW w:w="14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Current assets excluding assets </w:t>
              <w:br/>
              <w: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 held for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c>
          <w:tcPr>
            <w:tcW w:w="14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c>
          <w:tcPr>
            <w:tcW w:w="1638"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Current liabilities excluding liabilities </w:t>
              <w:br/>
              <w:t>      associated with assets held for sale</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c>
          <w:tcPr>
            <w:tcW w:w="1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Liabilities associated with assets held </w:t>
              <w:br/>
              <w:t>   for sale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c>
          <w:tcPr>
            <w:tcW w:w="149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14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c>
          <w:tcPr>
            <w:tcW w:w="14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2,037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c>
          <w:tcPr>
            <w:tcW w:w="149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8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4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c>
          <w:tcPr>
            <w:tcW w:w="14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4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bl>
    <w:p>
      <w:pPr>
        <w:pStyle w:val="TextBody"/>
        <w:bidi w:val="0"/>
        <w:spacing w:before="100" w:after="283"/>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42</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supplemental financial information is also being provided in accordance with Article 13 of Regulation S-X in respect of debt securities issued by the Subsidiary Issuer, which are fully and unconditionally guaranteed by the Parent and the Subsidiary Guarantors, and debt securities issued by the Parent, which are fully and unconditionally guaranteed by the Subsidiary Guarantors (in each case, as described above).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Set forth below is summarized financial information of the Parent, Subsidiary Issuer and Subsidiary Guarantors (collectively, the Obligor Group) and Parent and Subsidiary Guarantors (collectively, the Obligor Group excluding Subsidiary Issuer) as presented on a combined basis with intercompany balances and transactions between entities in the Obligor Group and Obligor Group excluding Subsidiary Issuer eliminated. Investments in and equity in earnings of the non-obligor group, which are not members of these groups and financial information of the non-obligor group have been excluded from the summarized financial information. In addition, the Obligor Group and the Obligor Group excluding Subsidiary Issuer’s amounts due to, amounts due from and transactions with each respective non-obligor group are presented below.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In the nine months ended September 30, 2026, the Global Print business was reported as discontinued operations. Prior period summarized income statement amounts have been revised to reflect this change and other reclassifications. </w:t>
      </w:r>
    </w:p>
    <w:p>
      <w:pPr>
        <w:pStyle w:val="TextBody"/>
        <w:bidi w:val="0"/>
        <w:jc w:val="left"/>
      </w:pPr>
      <w:r>
        <w:t> </w:t>
      </w:r>
    </w:p>
    <w:p>
      <w:pPr>
        <w:pStyle w:val="TextBody"/>
        <w:bidi w:val="0"/>
        <w:jc w:val="left"/>
        <w:rPr>
          <w:rFonts w:ascii="Clario;sans-serif" w:hAnsi="Clario;sans-serif"/>
          <w:b/>
          <w:color w:val="404040"/>
          <w:sz w:val="20"/>
        </w:rPr>
      </w:pPr>
      <w:r>
        <w:rPr>
          <w:rFonts w:ascii="Clario;sans-serif" w:hAnsi="Clario;sans-serif"/>
          <w:b/>
          <w:color w:val="404040"/>
          <w:sz w:val="20"/>
        </w:rPr>
        <w:t>SUMMARIZED INCOME STATEMENT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c>
          <w:tcPr>
            <w:tcW w:w="42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 September 30, 2026</w:t>
            </w:r>
          </w:p>
        </w:tc>
      </w:tr>
      <w:t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c>
          <w:tcPr>
            <w:tcW w:w="42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Revenues</w:t>
            </w:r>
            <w:r>
              <w:rPr>
                <w:rFonts w:ascii="Clario;sans-serif" w:hAnsi="Clario;sans-serif"/>
                <w:color w:val="404040"/>
                <w:sz w:val="12"/>
              </w:rPr>
              <w:t>(1)</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1,331</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1,331</w:t>
            </w:r>
          </w:p>
        </w:tc>
      </w:tr>
      <w:tr>
        <w:tc>
          <w:tcPr>
            <w:tcW w:w="427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Operating profit</w:t>
            </w:r>
            <w:r>
              <w:rPr>
                <w:rFonts w:ascii="Clario;sans-serif" w:hAnsi="Clario;sans-serif"/>
                <w:color w:val="404040"/>
                <w:sz w:val="12"/>
              </w:rPr>
              <w:t>(2)</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989</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989</w:t>
            </w:r>
          </w:p>
        </w:tc>
      </w:tr>
      <w:tr>
        <w:tc>
          <w:tcPr>
            <w:tcW w:w="42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Earnings from continuing operations</w:t>
            </w:r>
            <w:r>
              <w:rPr>
                <w:rFonts w:ascii="Clario;sans-serif" w:hAnsi="Clario;sans-serif"/>
                <w:color w:val="404040"/>
                <w:sz w:val="12"/>
              </w:rPr>
              <w:t>(2)(3)</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1,048</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1,049</w:t>
            </w:r>
          </w:p>
        </w:tc>
      </w:tr>
      <w:tr>
        <w:tc>
          <w:tcPr>
            <w:tcW w:w="427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Net earnings</w:t>
            </w:r>
            <w:r>
              <w:rPr>
                <w:rFonts w:ascii="Clario;sans-serif" w:hAnsi="Clario;sans-serif"/>
                <w:color w:val="404040"/>
                <w:sz w:val="12"/>
              </w:rPr>
              <w:t>(2)(3)(4)</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1,073</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1,074</w:t>
            </w:r>
          </w:p>
        </w:tc>
      </w:tr>
      <w:t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1,073</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1,074</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c>
          <w:tcPr>
            <w:tcW w:w="42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 2025</w:t>
            </w:r>
          </w:p>
        </w:tc>
      </w:tr>
      <w:t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c>
          <w:tcPr>
            <w:tcW w:w="42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Revenues</w:t>
            </w:r>
            <w:r>
              <w:rPr>
                <w:rFonts w:ascii="Clario;sans-serif" w:hAnsi="Clario;sans-serif"/>
                <w:color w:val="404040"/>
                <w:sz w:val="12"/>
              </w:rPr>
              <w:t>(1)</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1,801</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1,801</w:t>
            </w:r>
          </w:p>
        </w:tc>
      </w:tr>
      <w:tr>
        <w:tc>
          <w:tcPr>
            <w:tcW w:w="427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Operating profit</w:t>
            </w:r>
            <w:r>
              <w:rPr>
                <w:rFonts w:ascii="Clario;sans-serif" w:hAnsi="Clario;sans-serif"/>
                <w:color w:val="404040"/>
                <w:sz w:val="12"/>
              </w:rPr>
              <w:t>(2)</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5,097</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5,097</w:t>
            </w:r>
          </w:p>
        </w:tc>
      </w:tr>
      <w:tr>
        <w:tc>
          <w:tcPr>
            <w:tcW w:w="427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Earnings from continuing operations</w:t>
            </w:r>
            <w:r>
              <w:rPr>
                <w:rFonts w:ascii="Clario;sans-serif" w:hAnsi="Clario;sans-serif"/>
                <w:color w:val="404040"/>
                <w:sz w:val="12"/>
              </w:rPr>
              <w:t>(2)(3)</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4,961</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4,965</w:t>
            </w:r>
          </w:p>
        </w:tc>
      </w:tr>
      <w:tr>
        <w:tc>
          <w:tcPr>
            <w:tcW w:w="427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Net earnings</w:t>
            </w:r>
            <w:r>
              <w:rPr>
                <w:rFonts w:ascii="Clario;sans-serif" w:hAnsi="Clario;sans-serif"/>
                <w:color w:val="404040"/>
                <w:sz w:val="12"/>
              </w:rPr>
              <w:t>(2)(3)(4)</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bl>
    <w:p>
      <w:pPr>
        <w:pStyle w:val="TextBody"/>
        <w:bidi w:val="0"/>
        <w:jc w:val="left"/>
      </w:pPr>
      <w:r>
        <w:t> </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(1)</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Includes $644 million (2025 - $819 million) of revenues with each non-obligor group.</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(2)</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Includes $1,352 million (2025 - $5,521 million) of income, of which $699 million (2025 - $4,596 million) represents dividends received, from operating transactions with each non-obligor group.</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(3)</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 xml:space="preserve">Obligor Group and Obligor Group excluding Subsidiary Issuer includes $266 million and $194 million of net finance income, (2025 - $86 million and $20 million of net finance income), respectively, from transactions with each non-obligor group. </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(4)</w:t>
      </w:r>
    </w:p>
    <w:p>
      <w:pPr>
        <w:pStyle w:val="TextBody"/>
        <w:bidi w:val="0"/>
        <w:jc w:val="left"/>
        <w:rPr>
          <w:rFonts w:ascii="Clario;sans-serif" w:hAnsi="Clario;sans-serif"/>
          <w:color w:val="000000"/>
          <w:sz w:val="16"/>
        </w:rPr>
      </w:pPr>
      <w:r>
        <w:rPr>
          <w:rFonts w:ascii="Clario;sans-serif" w:hAnsi="Clario;sans-serif"/>
          <w:color w:val="000000"/>
          <w:sz w:val="16"/>
        </w:rPr>
        <w:t>Includes $119 million (2025 - $219 million) of net losses in earnings from discontinued operations from transactions with each non-obligor group.</w:t>
      </w:r>
    </w:p>
    <w:p>
      <w:pPr>
        <w:pStyle w:val="TextBody"/>
        <w:bidi w:val="0"/>
        <w:jc w:val="left"/>
      </w:pPr>
      <w:r>
        <w:t> </w:t>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September 30, 2026</w:t>
            </w:r>
          </w:p>
        </w:tc>
      </w:tr>
      <w:t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6,602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6,020</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981</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936</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7,583</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6,956</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4,221</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4,221</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1,282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1,504</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1,501</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7,007</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5,787</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6,057</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6,048</w:t>
            </w:r>
          </w:p>
        </w:tc>
      </w:tr>
      <w:t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1,049</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1,020</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7,106</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7,068</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3,720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1,165</w:t>
            </w:r>
          </w:p>
        </w:tc>
      </w:tr>
      <w:t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3,758</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1,943</w:t>
            </w:r>
          </w:p>
        </w:tc>
      </w:tr>
    </w:tbl>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404040"/>
          <w:sz w:val="14"/>
        </w:rPr>
      </w:pPr>
      <w:r>
        <w:rPr>
          <w:rFonts w:ascii="Clario;sans-serif" w:hAnsi="Clario;sans-serif"/>
          <w:color w:val="404040"/>
          <w:sz w:val="14"/>
        </w:rPr>
        <w:t>Page 43</w:t>
      </w:r>
    </w:p>
    <w:p>
      <w:pPr>
        <w:pStyle w:val="HorizontalLine"/>
        <w:pBdr>
          <w:bottom w:val="double" w:sz="2" w:space="0" w:color="808080"/>
        </w:pBdr>
        <w:bidi w:val="0"/>
        <w:spacing w:before="0" w:after="283"/>
        <w:jc w:val="left"/>
      </w:pPr>
      <w:r/>
    </w:p>
    <w:p>
      <w:pPr>
        <w:pStyle w:val="TextBody"/>
        <w:bidi w:val="0"/>
        <w:ind w:left="0" w:right="0" w:hanging="0"/>
        <w:jc w:val="center"/>
      </w:pPr>
      <w:r>
        <w:t> </w:t>
      </w:r>
    </w:p>
    <w:p>
      <w:pPr>
        <w:pStyle w:val="TextBody"/>
        <w:bidi w:val="0"/>
        <w:jc w:val="center"/>
      </w:pPr>
      <w:r>
        <w:t> </w:t>
      </w:r>
    </w:p>
    <w:p>
      <w:pPr>
        <w:pStyle w:val="TextBody"/>
        <w:bidi w:val="0"/>
        <w:jc w:val="center"/>
      </w:pPr>
      <w:r>
        <w:t> </w:t>
      </w:r>
    </w:p>
    <w:p>
      <w:pPr>
        <w:pStyle w:val="TextBody"/>
        <w:bidi w:val="0"/>
        <w:jc w:val="center"/>
      </w:pPr>
      <w:r>
        <w:t> </w:t>
      </w:r>
    </w:p>
    <w:p>
      <w:pPr>
        <w:pStyle w:val="TextBody"/>
        <w:bidi w:val="0"/>
        <w:jc w:val="left"/>
      </w:pPr>
      <w:r>
        <w:t> </w:t>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2,083</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1,638</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592</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2,682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2,230</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1,593</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1,590</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6,561</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6,069</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1,534</w:t>
            </w:r>
          </w:p>
        </w:tc>
      </w:tr>
      <w:t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1,406</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949</w:t>
            </w:r>
          </w:p>
        </w:tc>
      </w:tr>
      <w:t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2,948</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2,483</w:t>
            </w:r>
          </w:p>
        </w:tc>
      </w:tr>
      <w:t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r>
      <w:t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460</w:t>
            </w:r>
          </w:p>
        </w:tc>
      </w:tr>
      <w:t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1,238</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58595B"/>
          <w:sz w:val="14"/>
        </w:rPr>
      </w:pPr>
      <w:r>
        <w:rPr>
          <w:rFonts w:ascii="Clario;sans-serif" w:hAnsi="Clario;sans-serif"/>
          <w:color w:val="58595B"/>
          <w:sz w:val="14"/>
        </w:rPr>
        <w:t>Page 44</w:t>
      </w:r>
    </w:p>
    <w:p>
      <w:pPr>
        <w:pStyle w:val="HorizontalLine"/>
        <w:pBdr>
          <w:bottom w:val="double" w:sz="2" w:space="0" w:color="808080"/>
        </w:pBdr>
        <w:bidi w:val="0"/>
        <w:spacing w:before="0" w:after="283"/>
        <w:jc w:val="left"/>
      </w:pPr>
      <w:r/>
    </w:p>
    <w:p>
      <w:pPr>
        <w:pStyle w:val="TextBody"/>
        <w:bidi w:val="0"/>
        <w:ind w:left="0" w:right="0" w:hanging="0"/>
        <w:jc w:val="left"/>
      </w:pPr>
      <w:bookmarkStart w:id="4" w:name="tri-ex99_2.htm"/>
      <w:bookmarkStart w:id="5" w:name="kstriex99_2"/>
      <w:bookmarkEnd w:id="4"/>
      <w:bookmarkEnd w:id="5"/>
      <w:r>
        <w:t> </w:t>
      </w:r>
      <w:r>
        <w:br w:type="page"/>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Times New Roman" w:hAnsi="Times New Roman"/>
          <w:sz w:val="20"/>
        </w:rPr>
      </w:pPr>
      <w:r>
        <w:rPr>
          <w:rFonts w:ascii="Clario;sans-serif" w:hAnsi="Clario;sans-serif"/>
          <w:color w:val="404040"/>
          <w:sz w:val="32"/>
        </w:rPr>
        <w:t xml:space="preserve">Unaudited Consolidated Financial Statements </w:t>
      </w:r>
      <w:r>
        <w:rPr>
          <w:rFonts w:ascii="Times New Roman" w:hAnsi="Times New Roman"/>
          <w:b/>
          <w:color w:val="000000"/>
          <w:sz w:val="20"/>
        </w:rPr>
        <w:t>EXHIBIT 99.2</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INCOME STATEMENT</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51"/>
        <w:gridCol w:w="146"/>
        <w:gridCol w:w="691"/>
        <w:gridCol w:w="167"/>
        <w:gridCol w:w="924"/>
        <w:gridCol w:w="167"/>
        <w:gridCol w:w="907"/>
        <w:gridCol w:w="146"/>
        <w:gridCol w:w="948"/>
        <w:gridCol w:w="171"/>
        <w:gridCol w:w="987"/>
      </w:tblGrid>
      <w:t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65"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06"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95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2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0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4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(3,222)</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(533)</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r>
      <w:tr>
        <w:tc>
          <w:tcPr>
            <w:tcW w:w="49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c>
          <w:tcPr>
            <w:tcW w:w="49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before tax and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1,216</w:t>
            </w:r>
          </w:p>
        </w:tc>
      </w:tr>
      <w:tr>
        <w:tc>
          <w:tcPr>
            <w:tcW w:w="509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r>
        <w:tc>
          <w:tcPr>
            <w:tcW w:w="49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963</w:t>
            </w:r>
          </w:p>
        </w:tc>
      </w:tr>
      <w:tr>
        <w:tc>
          <w:tcPr>
            <w:tcW w:w="49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discontinued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r>
      <w:tr>
        <w:tc>
          <w:tcPr>
            <w:tcW w:w="49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w:t>
            </w:r>
          </w:p>
        </w:tc>
      </w:tr>
      <w:tr>
        <w:tc>
          <w:tcPr>
            <w:tcW w:w="49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discontinued operations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0.12</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0.13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0.33</w:t>
            </w:r>
          </w:p>
        </w:tc>
        <w:tc>
          <w:tcPr>
            <w:tcW w:w="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0.46</w:t>
            </w:r>
          </w:p>
        </w:tc>
      </w:tr>
      <w:tr>
        <w:tc>
          <w:tcPr>
            <w:tcW w:w="49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per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$0.78</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$2.83</w:t>
            </w:r>
          </w:p>
        </w:tc>
        <w:tc>
          <w:tcPr>
            <w:tcW w:w="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45</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COMPREHENSIVE INCOME</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861"/>
        <w:gridCol w:w="146"/>
        <w:gridCol w:w="692"/>
        <w:gridCol w:w="220"/>
        <w:gridCol w:w="887"/>
        <w:gridCol w:w="220"/>
        <w:gridCol w:w="887"/>
        <w:gridCol w:w="146"/>
        <w:gridCol w:w="945"/>
        <w:gridCol w:w="208"/>
        <w:gridCol w:w="993"/>
      </w:tblGrid>
      <w:t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1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2146"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86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9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22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0"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4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8"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8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Items that have been or may be subsequently </w:t>
              <w:br/>
              <w:t>   reclassified to 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c>
          <w:tcPr>
            <w:tcW w:w="5919" w:type="dxa"/>
            <w:gridSpan w:val="4"/>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benefit on cash flow hedges adjustments to equity</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Foreign currency translation adjustments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w:t>
            </w:r>
          </w:p>
        </w:tc>
      </w:tr>
      <w:tr>
        <w:tc>
          <w:tcPr>
            <w:tcW w:w="5699"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Reclassification of foreign currency translation </w:t>
              <w:br/>
              <w:t>      adjustments on disposal of equity method investment</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266</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Items that will not be reclassified to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adjustments on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expense on fair value adjustments</w:t>
              <w:br/>
              <w:t>       on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Remeasurement on defined benefit pension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c>
          <w:tcPr>
            <w:tcW w:w="5919" w:type="dxa"/>
            <w:gridSpan w:val="4"/>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 xml:space="preserve">Related tax benefit (expense) on remeasurement on defined </w:t>
              <w:br/>
              <w:t>      benefit pension plans</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c>
          <w:tcPr>
            <w:tcW w:w="48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r>
      <w:tr>
        <w:tc>
          <w:tcPr>
            <w:tcW w:w="48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(loss)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306</w:t>
            </w:r>
          </w:p>
        </w:tc>
      </w:tr>
      <w:tr>
        <w:tc>
          <w:tcPr>
            <w:tcW w:w="48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325</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1,251</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1,476</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91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Comprehensive income for the period attributable to:</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1,269</w:t>
            </w:r>
          </w:p>
        </w:tc>
      </w:tr>
      <w:tr>
        <w:tc>
          <w:tcPr>
            <w:tcW w:w="48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2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r>
      <w:tr>
        <w:tc>
          <w:tcPr>
            <w:tcW w:w="48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325</w:t>
            </w:r>
          </w:p>
        </w:tc>
        <w:tc>
          <w:tcPr>
            <w:tcW w:w="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1,251</w:t>
            </w:r>
          </w:p>
        </w:tc>
        <w:tc>
          <w:tcPr>
            <w:tcW w:w="2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1,476</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46</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FINANCIAL POSITION</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pPr>
      <w:r>
        <w:t> </w:t>
      </w:r>
    </w:p>
    <w:tbl>
      <w:tblPr>
        <w:tblW w:w="10018" w:type="dxa"/>
        <w:jc w:val="left"/>
        <w:tblInd w:w="0" w:type="dxa"/>
        <w:tblLayout w:type="fixed"/>
        <w:tblCellMar>
          <w:top w:w="28" w:type="dxa"/>
          <w:left w:w="28" w:type="dxa"/>
          <w:bottom w:w="28" w:type="dxa"/>
          <w:right w:w="28" w:type="dxa"/>
        </w:tblCellMar>
      </w:tblPr>
      <w:tblGrid>
        <w:gridCol w:w="5871"/>
        <w:gridCol w:w="939"/>
        <w:gridCol w:w="1621"/>
        <w:gridCol w:w="146"/>
        <w:gridCol w:w="1441"/>
      </w:tblGrid>
      <w:tr>
        <w:tc>
          <w:tcPr>
            <w:tcW w:w="58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c>
          <w:tcPr>
            <w:tcW w:w="587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939"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c>
          <w:tcPr>
            <w:tcW w:w="58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9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assets excluding assets held for sale</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c>
          <w:tcPr>
            <w:tcW w:w="58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 held for sale</w:t>
            </w:r>
          </w:p>
        </w:tc>
        <w:tc>
          <w:tcPr>
            <w:tcW w:w="9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 net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12</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c>
          <w:tcPr>
            <w:tcW w:w="58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9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18,908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13</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c>
          <w:tcPr>
            <w:tcW w:w="6810" w:type="dxa"/>
            <w:gridSpan w:val="2"/>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liabilities excluding liabilities associated with assets held for sale</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 associated with assets held for sale</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 and other non-current liabilities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c>
          <w:tcPr>
            <w:tcW w:w="58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9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7,684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87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3,597</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Retained earnings</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9,220</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Accumulated other comprehensive loss</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(966)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(903)</w:t>
            </w:r>
          </w:p>
        </w:tc>
      </w:tr>
      <w:tr>
        <w:tc>
          <w:tcPr>
            <w:tcW w:w="58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9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c>
          <w:tcPr>
            <w:tcW w:w="58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9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18,908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c>
          <w:tcPr>
            <w:tcW w:w="587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Contingencies (note 18)</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47</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CASH FLOW</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05"/>
        <w:gridCol w:w="146"/>
        <w:gridCol w:w="691"/>
        <w:gridCol w:w="186"/>
        <w:gridCol w:w="1033"/>
        <w:gridCol w:w="186"/>
        <w:gridCol w:w="787"/>
        <w:gridCol w:w="146"/>
        <w:gridCol w:w="853"/>
        <w:gridCol w:w="188"/>
        <w:gridCol w:w="1084"/>
      </w:tblGrid>
      <w:tr>
        <w:tc>
          <w:tcPr>
            <w:tcW w:w="4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2"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2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90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0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5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8"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8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963</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Adjustments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77</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533</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73</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gains on disposals of businesses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(164)</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Deferred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49</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Changes in working capital and other items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16</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1,697</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discontinued operations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52</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169</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w:t>
            </w:r>
          </w:p>
        </w:tc>
      </w:tr>
      <w:tr>
        <w:tc>
          <w:tcPr>
            <w:tcW w:w="49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599</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2,024</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1,895</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(823)</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Proceeds related to disposals of businesses and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252</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(475)</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Taxes (paid) received on disposals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Investing cash flows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(1,078)</w:t>
            </w:r>
          </w:p>
        </w:tc>
      </w:tr>
      <w:tr>
        <w:tc>
          <w:tcPr>
            <w:tcW w:w="49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Investing cash flows from 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used in investing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(761)</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(1,079)</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Proceeds from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(999)</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(repayments) borrowings under short-term </w:t>
              <w:br/>
              <w:t>   loan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339</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Payments of lease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Payments for return of capital on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Repurchases of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preference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(274)</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(779)</w:t>
            </w:r>
          </w:p>
        </w:tc>
      </w:tr>
      <w:tr>
        <w:tc>
          <w:tcPr>
            <w:tcW w:w="4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Financing cash flows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(2,169)</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Financing cash flows from discontinued operations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9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(used in) financing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405</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(380)</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(2,170)</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Translation adjustments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(1,350)</w:t>
            </w:r>
          </w:p>
        </w:tc>
      </w:tr>
      <w:tr>
        <w:tc>
          <w:tcPr>
            <w:tcW w:w="49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beginning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577</w:t>
            </w:r>
          </w:p>
        </w:tc>
        <w:tc>
          <w:tcPr>
            <w:tcW w:w="1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1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r>
      <w:tr>
        <w:tc>
          <w:tcPr>
            <w:tcW w:w="49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end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pPr>
            <w:r>
              <w:t> </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618</w:t>
            </w:r>
          </w:p>
        </w:tc>
      </w:tr>
      <w:tr>
        <w:tc>
          <w:tcPr>
            <w:tcW w:w="696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Supplemental cash flow information is provided in note 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05"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paid, net of debt related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(95)</w:t>
            </w:r>
          </w:p>
        </w:tc>
      </w:tr>
      <w:tr>
        <w:tc>
          <w:tcPr>
            <w:tcW w:w="490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r>
      <w:tr>
        <w:tc>
          <w:tcPr>
            <w:tcW w:w="49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 paid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16</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1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7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(203)</w:t>
            </w:r>
          </w:p>
        </w:tc>
        <w:tc>
          <w:tcPr>
            <w:tcW w:w="1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Interest received and interest paid are reflected as operating cash flows.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Income taxes paid are reflected as either operating or investing cash flows depending on the nature of the underlying transaction.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related notes form an integral part of these consolidated financial statements.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48</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CHANGES IN EQUITY</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pPr>
      <w:r>
        <w:t> </w:t>
      </w:r>
    </w:p>
    <w:tbl>
      <w:tblPr>
        <w:tblW w:w="9504" w:type="dxa"/>
        <w:jc w:val="left"/>
        <w:tblInd w:w="0" w:type="dxa"/>
        <w:tblLayout w:type="fixed"/>
        <w:tblCellMar>
          <w:top w:w="28" w:type="dxa"/>
          <w:left w:w="28" w:type="dxa"/>
          <w:bottom w:w="28" w:type="dxa"/>
          <w:right w:w="28" w:type="dxa"/>
        </w:tblCellMar>
      </w:tblPr>
      <w:tblGrid>
        <w:gridCol w:w="2596"/>
        <w:gridCol w:w="601"/>
        <w:gridCol w:w="976"/>
        <w:gridCol w:w="601"/>
        <w:gridCol w:w="766"/>
        <w:gridCol w:w="1096"/>
        <w:gridCol w:w="1006"/>
        <w:gridCol w:w="1216"/>
        <w:gridCol w:w="646"/>
      </w:tblGrid>
      <w:tr>
        <w:tc>
          <w:tcPr>
            <w:tcW w:w="2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c>
          <w:tcPr>
            <w:tcW w:w="25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121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accumulated</w:t>
              <w:br/>
              <w:t>other</w:t>
              <w:br/>
              <w:t>comprehensive</w:t>
              <w:br/>
              <w:t>loss (“AOCL”)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2,189</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1,408</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3,597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9,220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38</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(941)</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11,914</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1,246</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1,246</w:t>
            </w:r>
          </w:p>
        </w:tc>
      </w:tr>
      <w:t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Other comprehensive income </w:t>
              <w:br/>
              <w:t>   (loss)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8</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(64)</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w:t>
            </w:r>
          </w:p>
        </w:tc>
      </w:tr>
      <w:t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Total comprehensive income</w:t>
              <w:br/>
              <w:t>   (loss)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1,307</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8</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(64)</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1,251</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Return of capital on common </w:t>
              <w:br/>
              <w:t>   shares (see note 15)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(607)</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Transfer of gain on disposal of </w:t>
              <w:br/>
              <w:t xml:space="preserve">   equity investments to retained </w:t>
              <w:br/>
              <w: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(860)</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(860)</w:t>
            </w:r>
          </w:p>
        </w:tc>
      </w:tr>
      <w:t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Shares issued under Dividend </w:t>
              <w:br/>
              <w:t>   Reinvestment Plan (“DRIP”)</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31</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31</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31</w:t>
            </w:r>
          </w:p>
        </w:tc>
      </w:tr>
      <w:t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Repurchases of common shares</w:t>
              <w:br/>
              <w:t>   (see note 15)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(35)</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(576)</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(611)</w:t>
            </w:r>
          </w:p>
        </w:tc>
      </w:tr>
      <w:t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73</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36</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109</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109</w:t>
            </w:r>
          </w:p>
        </w:tc>
      </w:tr>
      <w:t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September 30, 2026</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1,651</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1,444</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3,095</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9,095</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39</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(1,005)</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(966)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11,224</w:t>
            </w:r>
          </w:p>
        </w:tc>
      </w:tr>
    </w:tbl>
    <w:p>
      <w:pPr>
        <w:pStyle w:val="TextBody"/>
        <w:bidi w:val="0"/>
        <w:jc w:val="left"/>
      </w:pPr>
      <w:r>
        <w:t> </w:t>
      </w:r>
    </w:p>
    <w:tbl>
      <w:tblPr>
        <w:tblW w:w="8964" w:type="dxa"/>
        <w:jc w:val="left"/>
        <w:tblInd w:w="0" w:type="dxa"/>
        <w:tblLayout w:type="fixed"/>
        <w:tblCellMar>
          <w:top w:w="28" w:type="dxa"/>
          <w:left w:w="28" w:type="dxa"/>
          <w:bottom w:w="28" w:type="dxa"/>
          <w:right w:w="28" w:type="dxa"/>
        </w:tblCellMar>
      </w:tblPr>
      <w:tblGrid>
        <w:gridCol w:w="2641"/>
        <w:gridCol w:w="601"/>
        <w:gridCol w:w="976"/>
        <w:gridCol w:w="601"/>
        <w:gridCol w:w="766"/>
        <w:gridCol w:w="1096"/>
        <w:gridCol w:w="1006"/>
        <w:gridCol w:w="631"/>
        <w:gridCol w:w="646"/>
      </w:tblGrid>
      <w:tr>
        <w:tc>
          <w:tcPr>
            <w:tcW w:w="26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c>
          <w:tcPr>
            <w:tcW w:w="264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63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2,067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1,431</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3,498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9,699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19</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(1,210)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(1,191)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12,006</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1,170</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1,170</w:t>
            </w:r>
          </w:p>
        </w:tc>
      </w:tr>
      <w:tr>
        <w:tc>
          <w:tcPr>
            <w:tcW w:w="2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Other comprehensive income</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16</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269</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285</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306</w:t>
            </w:r>
          </w:p>
        </w:tc>
      </w:tr>
      <w:tr>
        <w:tc>
          <w:tcPr>
            <w:tcW w:w="2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Total comprehensive income</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1,191</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16</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269</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285</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1,476</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Transfer of gain on disposal of </w:t>
              <w:br/>
              <w:t>   equity investments to retained</w:t>
              <w:br/>
              <w:t>   earnings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(804)</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(804)</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Shares issued under DRIP</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25</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25</w:t>
            </w:r>
          </w:p>
        </w:tc>
      </w:tr>
      <w:t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Repurchases of common shares </w:t>
              <w:br/>
              <w:t>   (see note 15)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(36)</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(689)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(725)</w:t>
            </w:r>
          </w:p>
        </w:tc>
      </w:tr>
      <w:t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Pre-defined share repurchase plan </w:t>
              <w:br/>
              <w:t>   (see note 15)</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(283)</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(292)</w:t>
            </w:r>
          </w:p>
        </w:tc>
      </w:tr>
      <w:tr>
        <w:tc>
          <w:tcPr>
            <w:tcW w:w="2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114</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(31)</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83</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78</w:t>
            </w:r>
          </w:p>
        </w:tc>
      </w:tr>
      <w:tr>
        <w:tc>
          <w:tcPr>
            <w:tcW w:w="2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September 30, 2025</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2,161</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1,400</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3,561</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9,113</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28</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(941)</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(913)</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11,761</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bidi w:val="0"/>
        <w:jc w:val="left"/>
      </w:pPr>
      <w:r>
        <w:t> </w:t>
      </w:r>
    </w:p>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49</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Heading1"/>
        <w:bidi w:val="0"/>
        <w:jc w:val="left"/>
        <w:rPr>
          <w:rFonts w:ascii="Clario;sans-serif" w:hAnsi="Clario;sans-serif"/>
          <w:color w:val="404040"/>
          <w:sz w:val="32"/>
        </w:rPr>
      </w:pPr>
      <w:r>
        <w:rPr>
          <w:rFonts w:ascii="Clario;sans-serif" w:hAnsi="Clario;sans-serif"/>
          <w:color w:val="404040"/>
          <w:sz w:val="32"/>
        </w:rPr>
        <w:t>Thomson Reuters Corporation</w:t>
      </w:r>
    </w:p>
    <w:p>
      <w:pPr>
        <w:pStyle w:val="Heading1"/>
        <w:bidi w:val="0"/>
        <w:jc w:val="left"/>
        <w:rPr>
          <w:rFonts w:ascii="Clario;sans-serif" w:hAnsi="Clario;sans-serif"/>
          <w:b w:val="false"/>
          <w:color w:val="404040"/>
          <w:sz w:val="32"/>
        </w:rPr>
      </w:pPr>
      <w:r>
        <w:rPr>
          <w:rFonts w:ascii="Clario;sans-serif" w:hAnsi="Clario;sans-serif"/>
          <w:b w:val="false"/>
          <w:color w:val="404040"/>
          <w:sz w:val="32"/>
        </w:rPr>
        <w:t>Notes to Consolidated Financial Statements (unaudited)</w:t>
      </w:r>
    </w:p>
    <w:p>
      <w:pPr>
        <w:pStyle w:val="TextBody"/>
        <w:bidi w:val="0"/>
        <w:spacing w:before="100" w:after="283"/>
        <w:jc w:val="left"/>
        <w:rPr>
          <w:rFonts w:ascii="Clario;sans-serif" w:hAnsi="Clario;sans-serif"/>
          <w:color w:val="404040"/>
          <w:sz w:val="20"/>
        </w:rPr>
      </w:pPr>
      <w:r>
        <w:rPr>
          <w:rFonts w:ascii="Clario;sans-serif" w:hAnsi="Clario;sans-serif"/>
          <w:color w:val="404040"/>
          <w:sz w:val="20"/>
        </w:rPr>
        <w:t>(unless otherwise stated, all amounts are in millions of U.S. dollars)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 Business Description and Basis of Preparation</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General business description</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Thomson Reuters Corporation is an Ontario, Canada corporation with common shares listed on the Toronto Stock Exchange ("TSX") and on the U.S. stock exchange, The Nasdaq Stock Market LLC (“Nasdaq”), under the ticker symbol “TRI”, and its Series II preference shares are listed on the TSX.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Unless otherwise indicated or the context otherwise requires, references in these consolidated financial statements to the “Company” and “Thomson Reuters” are to Thomson Reuters Corporation and its subsidiaries.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The Company serves professionals across legal, tax, audit, accounting, compliance, government, and media. The Company's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These unaudited interim consolidated financial statements (“interim financial statements”) were approved by the Audit Committee of the Board of Directors of the Company on November 2, 2026.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Basis of preparation</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The interim financial statements were prepared using the same accounting policies and methods as those used in the Company’s consolidated financial statements for the year ended December 31, 2025, except as described below. The interim financial statements comply with International Accounting Standard 34, </w:t>
      </w:r>
      <w:r>
        <w:rPr>
          <w:rFonts w:ascii="Clario;sans-serif" w:hAnsi="Clario;sans-serif"/>
          <w:i/>
          <w:color w:val="404040"/>
          <w:sz w:val="18"/>
        </w:rPr>
        <w:t>Interim Financial Reporting</w:t>
      </w:r>
      <w:r>
        <w:rPr>
          <w:rFonts w:ascii="Clario;sans-serif" w:hAnsi="Clario;sans-serif"/>
          <w:color w:val="404040"/>
          <w:sz w:val="18"/>
        </w:rPr>
        <w:t xml:space="preserve"> (“IAS 34”). Accordingly, certain information and footnote disclosure normally included in annual financial statements prepared in accordance with International Financial Reporting Standards (“IFRS”), as issued by the International Accounting Standards Board ("IASB"), have been omitted or condensed.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preparation of financial statements in accordance with IAS 34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have been disclosed in note 2 of the consolidated financial statements for the year ended December 31, 2025. </w:t>
      </w:r>
    </w:p>
    <w:p>
      <w:pPr>
        <w:pStyle w:val="TextBody"/>
        <w:bidi w:val="0"/>
        <w:spacing w:before="100" w:after="120"/>
        <w:jc w:val="left"/>
        <w:rPr>
          <w:rFonts w:ascii="Clario;sans-serif" w:hAnsi="Clario;sans-serif"/>
          <w:sz w:val="18"/>
        </w:rPr>
      </w:pPr>
      <w:r>
        <w:rPr>
          <w:rFonts w:ascii="Clario;sans-serif" w:hAnsi="Clario;sans-serif"/>
          <w:color w:val="404040"/>
          <w:sz w:val="18"/>
        </w:rPr>
        <w:t xml:space="preserve">On July 14, 2026, the Company announced a definitive agreement to enter into a joint venture with KKR, a leading global investment firm. This transaction closed on October 1, 2026 (see note 20). As part of the transaction, the Company sold a 51% stake in its Global Print business to capital accounts advised by KKR and retained a 49% equity interest in the joint venture. In the three and nine months ended September 30, 2026, the Global Print business was reported as discontinued operations. Prior-year period amounts have been revised to conform to the current period’s presentation, as prescribed by IFRS 5, </w:t>
      </w:r>
      <w:r>
        <w:rPr>
          <w:rFonts w:ascii="Clario;sans-serif" w:hAnsi="Clario;sans-serif"/>
          <w:i/>
          <w:color w:val="404040"/>
          <w:sz w:val="18"/>
        </w:rPr>
        <w:t>Non-current Assets Held for Sale and Discontinued Operations</w:t>
      </w:r>
      <w:r>
        <w:rPr>
          <w:rFonts w:ascii="Clario;sans-serif" w:hAnsi="Clario;sans-serif"/>
          <w:color w:val="404040"/>
          <w:sz w:val="18"/>
        </w:rPr>
        <w:t xml:space="preserve">. See note 9. </w:t>
      </w:r>
    </w:p>
    <w:p>
      <w:pPr>
        <w:pStyle w:val="TextBody"/>
        <w:bidi w:val="0"/>
        <w:jc w:val="left"/>
        <w:rPr>
          <w:rFonts w:ascii="Clario;sans-serif" w:hAnsi="Clario;sans-serif"/>
          <w:color w:val="404040"/>
          <w:sz w:val="18"/>
        </w:rPr>
      </w:pPr>
      <w:r>
        <w:rPr>
          <w:rFonts w:ascii="Clario;sans-serif" w:hAnsi="Clario;sans-serif"/>
          <w:color w:val="404040"/>
          <w:sz w:val="18"/>
        </w:rPr>
        <w:t xml:space="preserve">The Company continues to operate in an uncertain macroeconomic environment, reflecting ongoing geopolitical risk, uneven economic growth, and an evolving interest rate and inflationary backdrop, among other factors. While the Company is closely monitoring these conditions to assess potential impacts on its businesses, some of management’s estimates and judgments may be more variable and may change materially in the future due to the significant uncertainty created by these circumstances.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accompanying interim financial statements include all adjustments, composed of normal recurring adjustments, considered necessary by management to fairly state the Company’s results of operations, financial position and cash flows. The operating results for interim periods are not necessarily indicative of results that may be expected for any other interim period or for the full year. These interim financial statements should be read in conjunction with the Company’s consolidated financial statements for the year ended December 31, 2025, which are included in the Company’s 2025 annual report.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Changes in accounting policies</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In May 2024, the IASB issued amendments to IFRS 9, </w:t>
      </w:r>
      <w:r>
        <w:rPr>
          <w:rFonts w:ascii="Clario;sans-serif" w:hAnsi="Clario;sans-serif"/>
          <w:i/>
          <w:color w:val="404040"/>
          <w:sz w:val="18"/>
        </w:rPr>
        <w:t xml:space="preserve">Financial Instruments </w:t>
      </w:r>
      <w:r>
        <w:rPr>
          <w:rFonts w:ascii="Clario;sans-serif" w:hAnsi="Clario;sans-serif"/>
          <w:color w:val="404040"/>
          <w:sz w:val="18"/>
        </w:rPr>
        <w:t xml:space="preserve">and IFRS 7, </w:t>
      </w:r>
      <w:r>
        <w:rPr>
          <w:rFonts w:ascii="Clario;sans-serif" w:hAnsi="Clario;sans-serif"/>
          <w:i/>
          <w:color w:val="404040"/>
          <w:sz w:val="18"/>
        </w:rPr>
        <w:t xml:space="preserve">Financial Instruments: Disclosures. </w:t>
      </w:r>
      <w:r>
        <w:rPr>
          <w:rFonts w:ascii="Clario;sans-serif" w:hAnsi="Clario;sans-serif"/>
          <w:color w:val="404040"/>
          <w:sz w:val="18"/>
        </w:rPr>
        <w:t>The amendments introduce:</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An election permitting derecognition of financial liabilities that are settled through an electronic payment system before the actual settlement date, if certain conditions are met;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Expanded annual disclosures for (a) investments in equity instruments and (b) financial liabilities that have features unrelated to basic lending risks, such as achieving sustainability targets, that could affect the cash flows of those liabilities.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amendments were effective for reporting periods beginning January 1, 2026 and did not have a material impact on the Company’s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50</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sz w:val="18"/>
        </w:rPr>
      </w:pPr>
      <w:r>
        <w:rPr>
          <w:rFonts w:ascii="Clario;sans-serif" w:hAnsi="Clario;sans-serif"/>
          <w:b/>
          <w:color w:val="404040"/>
          <w:sz w:val="18"/>
        </w:rPr>
        <w:t>Recent accounting pronouncements</w:t>
      </w:r>
      <w:r>
        <w:rPr>
          <w:rFonts w:ascii="Clario;sans-serif" w:hAnsi="Clario;sans-serif"/>
          <w:color w:val="404040"/>
          <w:sz w:val="18"/>
        </w:rPr>
        <w:t xml:space="preserve"> </w:t>
      </w:r>
    </w:p>
    <w:p>
      <w:pPr>
        <w:pStyle w:val="TextBody"/>
        <w:bidi w:val="0"/>
        <w:spacing w:before="100" w:after="283"/>
        <w:jc w:val="left"/>
        <w:rPr>
          <w:rFonts w:ascii="Clario;sans-serif" w:hAnsi="Clario;sans-serif"/>
          <w:sz w:val="18"/>
        </w:rPr>
      </w:pPr>
      <w:r>
        <w:rPr>
          <w:rFonts w:ascii="Clario;sans-serif" w:hAnsi="Clario;sans-serif"/>
          <w:color w:val="404040"/>
          <w:sz w:val="18"/>
          <w:u w:val="single"/>
        </w:rPr>
        <w:t xml:space="preserve">IFRS 18, </w:t>
      </w:r>
      <w:r>
        <w:rPr>
          <w:rFonts w:ascii="Clario;sans-serif" w:hAnsi="Clario;sans-serif"/>
          <w:i/>
          <w:color w:val="404040"/>
          <w:sz w:val="18"/>
          <w:u w:val="single"/>
        </w:rPr>
        <w:t xml:space="preserve">Presentation and Disclosure in Financial Statements </w:t>
      </w:r>
      <w:r>
        <w:rPr>
          <w:rFonts w:ascii="Clario;sans-serif" w:hAnsi="Clario;sans-serif"/>
          <w:color w:val="404040"/>
          <w:sz w:val="18"/>
          <w:u w:val="single"/>
        </w:rPr>
        <w:t xml:space="preserve">and associated amendments to IAS 7, </w:t>
      </w:r>
      <w:r>
        <w:rPr>
          <w:rFonts w:ascii="Clario;sans-serif" w:hAnsi="Clario;sans-serif"/>
          <w:i/>
          <w:color w:val="404040"/>
          <w:sz w:val="18"/>
          <w:u w:val="single"/>
        </w:rPr>
        <w:t>Statement of Cash Flows</w:t>
      </w:r>
      <w:r>
        <w:rPr>
          <w:rFonts w:ascii="Clario;sans-serif" w:hAnsi="Clario;sans-serif"/>
          <w:color w:val="404040"/>
          <w:sz w:val="18"/>
        </w:rPr>
        <w:t xml:space="preserve"> </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In April 2024, the IASB issued IFRS 18 and amendments to IAS 7. IFRS 18 will replace IAS 1, </w:t>
      </w:r>
      <w:r>
        <w:rPr>
          <w:rFonts w:ascii="Clario;sans-serif" w:hAnsi="Clario;sans-serif"/>
          <w:i/>
          <w:color w:val="404040"/>
          <w:sz w:val="18"/>
        </w:rPr>
        <w:t xml:space="preserve">Presentation of Financial Statements. </w:t>
      </w:r>
      <w:r>
        <w:rPr>
          <w:rFonts w:ascii="Clario;sans-serif" w:hAnsi="Clario;sans-serif"/>
          <w:color w:val="404040"/>
          <w:sz w:val="18"/>
        </w:rPr>
        <w:t>IFRS 18 and related interpretations, together with the amendments to IAS 7, are effective for reporting periods beginning January 1, 2027, with retrospective application. Both IFRS 18 and the amendments to IAS 7 are presentation and disclosure related and do not impact the measurement of the Company’s results of operations, financial condition or cash flows.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IFRS 18 will change the presentation of the Company’s financial statements and add new disclosure requirements. Specifically, the new standard requires:</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consolidated income statement to be structured according to operating, investing, financing, income taxes and discontinued operations categories. IFRS 18 also requires subtotals for “Operating Profit” and “Profit Before Financing and Income Taxes”;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Management-defined performance measurements (“MPMs”), which represent certain of the Company’s non-IFRS measures, to be identified, defined, and have an explanation of why each one is useful. Each MPM must be reconciled to the most directly comparable IFRS subtotal. All disclosures related to MPMs must be disclosed in a single note within the consolidated financial statements;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The application of enhanced guidance related to the grouping of financial information associated with amounts presented within the financial statements, otherwise known as aggregation or disaggregation.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in the process of assessing its consolidated income statement and other financial statements according to the IFRS 18 and IAS 7 amendments guidance set forth in the standards. Additionally, the Company is evaluating its non-IFRS measures to identify those that meet the definition of a MPM.</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Other pronouncements issued by the IASB and International Financial Reporting Interpretations Committee (“IFRIC”) are not applicable or consequential to the Company.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operating results of Global Print, which was previously a reportable segment, is now reported as discontinued operations (see note 9).</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In the first quarter of 2026, the Company changed its segment reporting to reflect how it currently manages its segments. The change reflects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reported amounts.</w:t>
      </w:r>
    </w:p>
    <w:p>
      <w:pPr>
        <w:pStyle w:val="TextBody"/>
        <w:bidi w:val="0"/>
        <w:jc w:val="left"/>
      </w:pPr>
      <w:r>
        <w:t> </w:t>
      </w:r>
    </w:p>
    <w:p>
      <w:pPr>
        <w:pStyle w:val="TextBody"/>
        <w:bidi w:val="0"/>
        <w:jc w:val="left"/>
        <w:rPr>
          <w:rFonts w:ascii="Clario;sans-serif" w:hAnsi="Clario;sans-serif"/>
          <w:color w:val="404040"/>
          <w:sz w:val="18"/>
          <w:u w:val="single"/>
        </w:rPr>
      </w:pPr>
      <w:r>
        <w:rPr>
          <w:rFonts w:ascii="Clario;sans-serif" w:hAnsi="Clario;sans-serif"/>
          <w:color w:val="404040"/>
          <w:sz w:val="18"/>
          <w:u w:val="single"/>
        </w:rPr>
        <w:t>Three months ended September 30, 2025</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$7 million to $721 million and adjusted EBITDA decreased $1 million to $353 million;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$11 million to $489 million and adjusted EBITDA increased $3 million to $177 million;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$4 million to $247 million and adjusted EBITDA decreased $2 million to $76 million. </w:t>
      </w:r>
    </w:p>
    <w:p>
      <w:pPr>
        <w:pStyle w:val="TextBody"/>
        <w:bidi w:val="0"/>
        <w:jc w:val="left"/>
      </w:pPr>
      <w:r>
        <w:t> </w:t>
      </w:r>
    </w:p>
    <w:p>
      <w:pPr>
        <w:pStyle w:val="TextBody"/>
        <w:bidi w:val="0"/>
        <w:jc w:val="left"/>
        <w:rPr>
          <w:rFonts w:ascii="Clario;sans-serif" w:hAnsi="Clario;sans-serif"/>
          <w:sz w:val="18"/>
        </w:rPr>
      </w:pPr>
      <w:r>
        <w:rPr>
          <w:rFonts w:ascii="Clario;sans-serif" w:hAnsi="Clario;sans-serif"/>
          <w:color w:val="404040"/>
          <w:sz w:val="18"/>
          <w:u w:val="single"/>
        </w:rPr>
        <w:t>Nine months ended September 30, 2025</w:t>
      </w:r>
      <w:r>
        <w:rPr>
          <w:rFonts w:ascii="Clario;sans-serif" w:hAnsi="Clario;sans-serif"/>
          <w:color w:val="404040"/>
          <w:sz w:val="18"/>
        </w:rPr>
        <w:t xml:space="preserve"> </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 xml:space="preserve">Legal Professionals revenues decreased $17 million to $2,113 million and adjusted EBITDA decreased $1 million to $1,028 million;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$26 million to $1,517 million and adjusted EBITDA increased $8 million to $564 million;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Tax, Audit &amp; Accounting Professionals revenues decreased $9 million to $879 million and adjusted EBITDA decreased $7 million to $394 million.</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51</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sz w:val="18"/>
        </w:rPr>
      </w:pPr>
      <w:r>
        <w:rPr>
          <w:rFonts w:ascii="Clario;sans-serif" w:hAnsi="Clario;sans-serif"/>
          <w:b/>
          <w:i/>
          <w:color w:val="404040"/>
          <w:sz w:val="18"/>
        </w:rPr>
        <w:t>Note 2: Revenues</w:t>
      </w:r>
      <w:r>
        <w:rPr>
          <w:rFonts w:ascii="Clario;sans-serif" w:hAnsi="Clario;sans-serif"/>
          <w:color w:val="404040"/>
          <w:sz w:val="18"/>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Revenues by type and geography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following tables disaggregate revenues by type and geography and reconcile them to reportable segments (see note 3). </w:t>
      </w:r>
    </w:p>
    <w:p>
      <w:pPr>
        <w:pStyle w:val="TextBody"/>
        <w:bidi w:val="0"/>
        <w:spacing w:before="100" w:after="283"/>
        <w:jc w:val="left"/>
      </w:pPr>
      <w:r>
        <w:t> </w:t>
      </w:r>
    </w:p>
    <w:tbl>
      <w:tblPr>
        <w:tblW w:w="10205" w:type="dxa"/>
        <w:jc w:val="left"/>
        <w:tblInd w:w="0" w:type="dxa"/>
        <w:tblLayout w:type="fixed"/>
        <w:tblCellMar>
          <w:top w:w="28" w:type="dxa"/>
          <w:left w:w="28" w:type="dxa"/>
          <w:bottom w:w="28" w:type="dxa"/>
          <w:right w:w="28" w:type="dxa"/>
        </w:tblCellMar>
      </w:tblPr>
      <w:tblGrid>
        <w:gridCol w:w="1748"/>
        <w:gridCol w:w="793"/>
        <w:gridCol w:w="713"/>
        <w:gridCol w:w="593"/>
        <w:gridCol w:w="533"/>
        <w:gridCol w:w="1015"/>
        <w:gridCol w:w="913"/>
        <w:gridCol w:w="586"/>
        <w:gridCol w:w="526"/>
        <w:gridCol w:w="800"/>
        <w:gridCol w:w="719"/>
        <w:gridCol w:w="646"/>
        <w:gridCol w:w="620"/>
      </w:tblGrid>
      <w:tr>
        <w:tc>
          <w:tcPr>
            <w:tcW w:w="174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174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Revenues by type</w:t>
              <w:br/>
              <w:t>(millions of U.S. dollars)</w:t>
            </w:r>
          </w:p>
        </w:tc>
        <w:tc>
          <w:tcPr>
            <w:tcW w:w="150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92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519"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c>
          <w:tcPr>
            <w:tcW w:w="1748" w:type="dxa"/>
            <w:tcBorders/>
            <w:shd w:fill="D0D0D0"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404040"/>
                <w:sz w:val="16"/>
              </w:rPr>
              <w:t>Three months ended September 30,</w:t>
            </w:r>
            <w:r>
              <w:rPr>
                <w:rFonts w:ascii="Clario;sans-serif" w:hAnsi="Clario;sans-serif"/>
                <w:b/>
                <w:color w:val="404040"/>
                <w:sz w:val="11"/>
              </w:rPr>
              <w:t>(1)</w:t>
            </w:r>
          </w:p>
        </w:tc>
        <w:tc>
          <w:tcPr>
            <w:tcW w:w="7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101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9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c>
          <w:tcPr>
            <w:tcW w:w="174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Recurring</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768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703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468</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433</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201</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179</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188</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178</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1,618</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1,487</w:t>
            </w:r>
          </w:p>
        </w:tc>
      </w:tr>
      <w:tr>
        <w:tc>
          <w:tcPr>
            <w:tcW w:w="17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Transactions</w:t>
            </w:r>
          </w:p>
        </w:tc>
        <w:tc>
          <w:tcPr>
            <w:tcW w:w="7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w:t>
            </w:r>
          </w:p>
        </w:tc>
        <w:tc>
          <w:tcPr>
            <w:tcW w:w="7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76</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56</w:t>
            </w:r>
          </w:p>
        </w:tc>
        <w:tc>
          <w:tcPr>
            <w:tcW w:w="10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75</w:t>
            </w:r>
          </w:p>
        </w:tc>
        <w:tc>
          <w:tcPr>
            <w:tcW w:w="9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215</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171</w:t>
            </w:r>
          </w:p>
        </w:tc>
      </w:tr>
      <w:tr>
        <w:tc>
          <w:tcPr>
            <w:tcW w:w="17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788</w:t>
            </w:r>
          </w:p>
        </w:tc>
        <w:tc>
          <w:tcPr>
            <w:tcW w:w="7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721</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544</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489</w:t>
            </w:r>
          </w:p>
        </w:tc>
        <w:tc>
          <w:tcPr>
            <w:tcW w:w="10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276</w:t>
            </w:r>
          </w:p>
        </w:tc>
        <w:tc>
          <w:tcPr>
            <w:tcW w:w="9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247</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232</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207</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1,833</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1,658</w:t>
            </w:r>
          </w:p>
        </w:tc>
      </w:tr>
    </w:tbl>
    <w:p>
      <w:pPr>
        <w:pStyle w:val="TextBody"/>
        <w:bidi w:val="0"/>
        <w:spacing w:before="100" w:after="283"/>
        <w:jc w:val="left"/>
      </w:pPr>
      <w:r>
        <w:t> </w:t>
      </w:r>
    </w:p>
    <w:tbl>
      <w:tblPr>
        <w:tblW w:w="10205" w:type="dxa"/>
        <w:jc w:val="left"/>
        <w:tblInd w:w="0" w:type="dxa"/>
        <w:tblLayout w:type="fixed"/>
        <w:tblCellMar>
          <w:top w:w="28" w:type="dxa"/>
          <w:left w:w="28" w:type="dxa"/>
          <w:bottom w:w="28" w:type="dxa"/>
          <w:right w:w="28" w:type="dxa"/>
        </w:tblCellMar>
      </w:tblPr>
      <w:tblGrid>
        <w:gridCol w:w="1699"/>
        <w:gridCol w:w="796"/>
        <w:gridCol w:w="704"/>
        <w:gridCol w:w="646"/>
        <w:gridCol w:w="571"/>
        <w:gridCol w:w="1002"/>
        <w:gridCol w:w="901"/>
        <w:gridCol w:w="586"/>
        <w:gridCol w:w="526"/>
        <w:gridCol w:w="794"/>
        <w:gridCol w:w="714"/>
        <w:gridCol w:w="646"/>
        <w:gridCol w:w="620"/>
      </w:tblGrid>
      <w:tr>
        <w:tc>
          <w:tcPr>
            <w:tcW w:w="169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c>
          <w:tcPr>
            <w:tcW w:w="1699"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Revenues by type</w:t>
              <w:br/>
              <w:t>(millions of U.S. dollars)</w:t>
            </w:r>
          </w:p>
        </w:tc>
        <w:tc>
          <w:tcPr>
            <w:tcW w:w="1500"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21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903"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50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c>
          <w:tcPr>
            <w:tcW w:w="1699" w:type="dxa"/>
            <w:tcBorders/>
            <w:shd w:fill="D0D0D0"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404040"/>
                <w:sz w:val="16"/>
              </w:rPr>
              <w:t>Nine months ended September 30,</w:t>
            </w:r>
            <w:r>
              <w:rPr>
                <w:rFonts w:ascii="Clario;sans-serif" w:hAnsi="Clario;sans-serif"/>
                <w:b/>
                <w:color w:val="404040"/>
                <w:sz w:val="11"/>
              </w:rPr>
              <w:t>(1)</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100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9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c>
          <w:tcPr>
            <w:tcW w:w="169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Recurring</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2,255</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2,057</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1,379</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1,261</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639</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571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562</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529</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(21)</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4,814</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4,401</w:t>
            </w:r>
          </w:p>
        </w:tc>
      </w:tr>
      <w:tr>
        <w:tc>
          <w:tcPr>
            <w:tcW w:w="16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Transactions</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61</w:t>
            </w:r>
          </w:p>
        </w:tc>
        <w:tc>
          <w:tcPr>
            <w:tcW w:w="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310</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256</w:t>
            </w:r>
          </w:p>
        </w:tc>
        <w:tc>
          <w:tcPr>
            <w:tcW w:w="10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358</w:t>
            </w:r>
          </w:p>
        </w:tc>
        <w:tc>
          <w:tcPr>
            <w:tcW w:w="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308</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111</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92</w:t>
            </w:r>
          </w:p>
        </w:tc>
        <w:tc>
          <w:tcPr>
            <w:tcW w:w="7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7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837</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712</w:t>
            </w:r>
          </w:p>
        </w:tc>
      </w:tr>
      <w:tr>
        <w:tc>
          <w:tcPr>
            <w:tcW w:w="169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2,316</w:t>
            </w:r>
          </w:p>
        </w:tc>
        <w:tc>
          <w:tcPr>
            <w:tcW w:w="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2,113</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1,689</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1,517</w:t>
            </w:r>
          </w:p>
        </w:tc>
        <w:tc>
          <w:tcPr>
            <w:tcW w:w="10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997</w:t>
            </w:r>
          </w:p>
        </w:tc>
        <w:tc>
          <w:tcPr>
            <w:tcW w:w="9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879</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673</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621</w:t>
            </w:r>
          </w:p>
        </w:tc>
        <w:tc>
          <w:tcPr>
            <w:tcW w:w="7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w:t>
            </w:r>
          </w:p>
        </w:tc>
        <w:tc>
          <w:tcPr>
            <w:tcW w:w="7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5,651</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5,113</w:t>
            </w:r>
          </w:p>
        </w:tc>
      </w:tr>
    </w:tbl>
    <w:p>
      <w:pPr>
        <w:pStyle w:val="TextBody"/>
        <w:bidi w:val="0"/>
        <w:spacing w:before="100" w:after="283"/>
        <w:jc w:val="left"/>
      </w:pPr>
      <w:r>
        <w:t> </w:t>
      </w:r>
    </w:p>
    <w:tbl>
      <w:tblPr>
        <w:tblW w:w="10205" w:type="dxa"/>
        <w:jc w:val="left"/>
        <w:tblInd w:w="0" w:type="dxa"/>
        <w:tblLayout w:type="fixed"/>
        <w:tblCellMar>
          <w:top w:w="28" w:type="dxa"/>
          <w:left w:w="28" w:type="dxa"/>
          <w:bottom w:w="28" w:type="dxa"/>
          <w:right w:w="28" w:type="dxa"/>
        </w:tblCellMar>
      </w:tblPr>
      <w:tblGrid>
        <w:gridCol w:w="1726"/>
        <w:gridCol w:w="794"/>
        <w:gridCol w:w="714"/>
        <w:gridCol w:w="593"/>
        <w:gridCol w:w="533"/>
        <w:gridCol w:w="1022"/>
        <w:gridCol w:w="919"/>
        <w:gridCol w:w="586"/>
        <w:gridCol w:w="526"/>
        <w:gridCol w:w="803"/>
        <w:gridCol w:w="722"/>
        <w:gridCol w:w="646"/>
        <w:gridCol w:w="621"/>
      </w:tblGrid>
      <w:tr>
        <w:tc>
          <w:tcPr>
            <w:tcW w:w="17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c>
          <w:tcPr>
            <w:tcW w:w="1726" w:type="dxa"/>
            <w:tcBorders/>
            <w:shd w:fill="666666"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FFFFFF"/>
                <w:sz w:val="16"/>
              </w:rPr>
              <w:t>Revenues by geography</w:t>
            </w:r>
            <w:r>
              <w:rPr>
                <w:rFonts w:ascii="Clario;sans-serif" w:hAnsi="Clario;sans-serif"/>
                <w:b/>
                <w:color w:val="FFFFFF"/>
                <w:sz w:val="11"/>
              </w:rPr>
              <w:t>(2)</w:t>
            </w:r>
            <w:r>
              <w:rPr>
                <w:rFonts w:ascii="Clario;sans-serif" w:hAnsi="Clario;sans-serif"/>
                <w:b/>
                <w:color w:val="FFFFFF"/>
                <w:sz w:val="16"/>
              </w:rPr>
              <w:br/>
              <w:t>(millions of U.S. dollars)</w:t>
            </w:r>
          </w:p>
        </w:tc>
        <w:tc>
          <w:tcPr>
            <w:tcW w:w="150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941"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52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c>
          <w:tcPr>
            <w:tcW w:w="1726" w:type="dxa"/>
            <w:tcBorders/>
            <w:shd w:fill="D0D0D0"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404040"/>
                <w:sz w:val="16"/>
              </w:rPr>
              <w:t>Three months ended September 30,</w:t>
            </w:r>
            <w:r>
              <w:rPr>
                <w:rFonts w:ascii="Clario;sans-serif" w:hAnsi="Clario;sans-serif"/>
                <w:b/>
                <w:color w:val="404040"/>
                <w:sz w:val="11"/>
              </w:rPr>
              <w:t>(1)</w:t>
            </w:r>
          </w:p>
        </w:tc>
        <w:tc>
          <w:tcPr>
            <w:tcW w:w="7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10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9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U.S.</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616</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561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395</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368</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199</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186</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71</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51</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1,274</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1,160</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Canada</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42</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39</w:t>
            </w:r>
          </w:p>
        </w:tc>
      </w:tr>
      <w:tr>
        <w:tc>
          <w:tcPr>
            <w:tcW w:w="1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w:t>
            </w:r>
          </w:p>
        </w:tc>
        <w:tc>
          <w:tcPr>
            <w:tcW w:w="7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37</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26</w:t>
            </w:r>
          </w:p>
        </w:tc>
        <w:tc>
          <w:tcPr>
            <w:tcW w:w="10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60</w:t>
            </w:r>
          </w:p>
        </w:tc>
        <w:tc>
          <w:tcPr>
            <w:tcW w:w="9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46</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8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109</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83</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Americas</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655</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596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402</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263</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55</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1,425</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1,282</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U.K.</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84</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77</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42</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39</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116</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109</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249</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231</w:t>
            </w:r>
          </w:p>
        </w:tc>
      </w:tr>
      <w:tr>
        <w:tc>
          <w:tcPr>
            <w:tcW w:w="1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w:t>
            </w:r>
          </w:p>
        </w:tc>
        <w:tc>
          <w:tcPr>
            <w:tcW w:w="7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43</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34</w:t>
            </w:r>
          </w:p>
        </w:tc>
        <w:tc>
          <w:tcPr>
            <w:tcW w:w="10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30</w:t>
            </w:r>
          </w:p>
        </w:tc>
        <w:tc>
          <w:tcPr>
            <w:tcW w:w="8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87</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79</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EMEA</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97</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85</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73</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147</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139</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336</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310</w:t>
            </w:r>
          </w:p>
        </w:tc>
      </w:tr>
      <w:tr>
        <w:tc>
          <w:tcPr>
            <w:tcW w:w="17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Asia Pacific</w:t>
            </w:r>
          </w:p>
        </w:tc>
        <w:tc>
          <w:tcPr>
            <w:tcW w:w="7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36</w:t>
            </w:r>
          </w:p>
        </w:tc>
        <w:tc>
          <w:tcPr>
            <w:tcW w:w="7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34</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w:t>
            </w:r>
          </w:p>
        </w:tc>
        <w:tc>
          <w:tcPr>
            <w:tcW w:w="10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9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w:t>
            </w:r>
          </w:p>
        </w:tc>
        <w:tc>
          <w:tcPr>
            <w:tcW w:w="8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72</w:t>
            </w:r>
          </w:p>
        </w:tc>
        <w:tc>
          <w:tcPr>
            <w:tcW w:w="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66</w:t>
            </w:r>
          </w:p>
        </w:tc>
      </w:tr>
      <w:tr>
        <w:tc>
          <w:tcPr>
            <w:tcW w:w="1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788</w:t>
            </w:r>
          </w:p>
        </w:tc>
        <w:tc>
          <w:tcPr>
            <w:tcW w:w="7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721</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544</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489</w:t>
            </w:r>
          </w:p>
        </w:tc>
        <w:tc>
          <w:tcPr>
            <w:tcW w:w="10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276</w:t>
            </w:r>
          </w:p>
        </w:tc>
        <w:tc>
          <w:tcPr>
            <w:tcW w:w="9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247</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232</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207</w:t>
            </w:r>
          </w:p>
        </w:tc>
        <w:tc>
          <w:tcPr>
            <w:tcW w:w="8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1,833</w:t>
            </w:r>
          </w:p>
        </w:tc>
        <w:tc>
          <w:tcPr>
            <w:tcW w:w="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1,658</w:t>
            </w:r>
          </w:p>
        </w:tc>
      </w:tr>
    </w:tbl>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77"/>
        <w:gridCol w:w="798"/>
        <w:gridCol w:w="705"/>
        <w:gridCol w:w="646"/>
        <w:gridCol w:w="571"/>
        <w:gridCol w:w="1009"/>
        <w:gridCol w:w="908"/>
        <w:gridCol w:w="586"/>
        <w:gridCol w:w="526"/>
        <w:gridCol w:w="797"/>
        <w:gridCol w:w="717"/>
        <w:gridCol w:w="646"/>
        <w:gridCol w:w="619"/>
      </w:tblGrid>
      <w:tr>
        <w:tc>
          <w:tcPr>
            <w:tcW w:w="167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c>
          <w:tcPr>
            <w:tcW w:w="1677" w:type="dxa"/>
            <w:tcBorders/>
            <w:shd w:fill="666666"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FFFFFF"/>
                <w:sz w:val="16"/>
              </w:rPr>
              <w:t>Revenues by geography</w:t>
            </w:r>
            <w:r>
              <w:rPr>
                <w:rFonts w:ascii="Clario;sans-serif" w:hAnsi="Clario;sans-serif"/>
                <w:b/>
                <w:color w:val="FFFFFF"/>
                <w:sz w:val="11"/>
              </w:rPr>
              <w:t>(2)</w:t>
            </w:r>
            <w:r>
              <w:rPr>
                <w:rFonts w:ascii="Clario;sans-serif" w:hAnsi="Clario;sans-serif"/>
                <w:b/>
                <w:color w:val="FFFFFF"/>
                <w:sz w:val="16"/>
              </w:rPr>
              <w:br/>
              <w:t>(millions of U.S. dollars)</w:t>
            </w:r>
          </w:p>
        </w:tc>
        <w:tc>
          <w:tcPr>
            <w:tcW w:w="1503"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21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917"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514"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c>
          <w:tcPr>
            <w:tcW w:w="1677" w:type="dxa"/>
            <w:tcBorders/>
            <w:shd w:fill="D0D0D0"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6"/>
              </w:rPr>
            </w:pPr>
            <w:r>
              <w:rPr>
                <w:rFonts w:ascii="Clario;sans-serif" w:hAnsi="Clario;sans-serif"/>
                <w:b/>
                <w:color w:val="404040"/>
                <w:sz w:val="16"/>
              </w:rPr>
              <w:t>Nine months ended September 30,</w:t>
            </w:r>
            <w:r>
              <w:rPr>
                <w:rFonts w:ascii="Clario;sans-serif" w:hAnsi="Clario;sans-serif"/>
                <w:b/>
                <w:color w:val="404040"/>
                <w:sz w:val="11"/>
              </w:rPr>
              <w:t>(1)</w:t>
            </w:r>
          </w:p>
        </w:tc>
        <w:tc>
          <w:tcPr>
            <w:tcW w:w="7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100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9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9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U.S.</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1,810</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1,653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1,232</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1,148</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757</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187</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153</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3,962</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3,622</w:t>
            </w:r>
          </w:p>
        </w:tc>
      </w:tr>
      <w:t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Canada</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87</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78</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26</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26</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147</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131</w:t>
            </w:r>
          </w:p>
        </w:tc>
      </w:tr>
      <w:tr>
        <w:tc>
          <w:tcPr>
            <w:tcW w:w="16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28</w:t>
            </w:r>
          </w:p>
        </w:tc>
        <w:tc>
          <w:tcPr>
            <w:tcW w:w="7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98</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72</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171</w:t>
            </w:r>
          </w:p>
        </w:tc>
        <w:tc>
          <w:tcPr>
            <w:tcW w:w="9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131</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w:t>
            </w:r>
          </w:p>
        </w:tc>
        <w:tc>
          <w:tcPr>
            <w:tcW w:w="7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304</w:t>
            </w:r>
          </w:p>
        </w:tc>
        <w:tc>
          <w:tcPr>
            <w:tcW w:w="6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235</w:t>
            </w:r>
          </w:p>
        </w:tc>
      </w:tr>
      <w:tr>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Americas</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1,925</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1,756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1,360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1,246</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954</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839</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198</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164</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4,413</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3,988</w:t>
            </w:r>
          </w:p>
        </w:tc>
      </w:tr>
      <w:t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U.K.</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248</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223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130</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115</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344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326</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744</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685</w:t>
            </w:r>
          </w:p>
        </w:tc>
      </w:tr>
      <w:tr>
        <w:tc>
          <w:tcPr>
            <w:tcW w:w="16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40</w:t>
            </w:r>
          </w:p>
        </w:tc>
        <w:tc>
          <w:tcPr>
            <w:tcW w:w="7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38</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141</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110</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w:t>
            </w:r>
          </w:p>
        </w:tc>
        <w:tc>
          <w:tcPr>
            <w:tcW w:w="9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94</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93</w:t>
            </w:r>
          </w:p>
        </w:tc>
        <w:tc>
          <w:tcPr>
            <w:tcW w:w="7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279</w:t>
            </w:r>
          </w:p>
        </w:tc>
        <w:tc>
          <w:tcPr>
            <w:tcW w:w="6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245</w:t>
            </w:r>
          </w:p>
        </w:tc>
      </w:tr>
      <w:tr>
        <w:tc>
          <w:tcPr>
            <w:tcW w:w="16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EMEA</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288</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261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271</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225</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26</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438</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419</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1,023</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930</w:t>
            </w:r>
          </w:p>
        </w:tc>
      </w:tr>
      <w:tr>
        <w:tc>
          <w:tcPr>
            <w:tcW w:w="16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Asia Pacific</w:t>
            </w:r>
          </w:p>
        </w:tc>
        <w:tc>
          <w:tcPr>
            <w:tcW w:w="7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103</w:t>
            </w:r>
          </w:p>
        </w:tc>
        <w:tc>
          <w:tcPr>
            <w:tcW w:w="70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58</w:t>
            </w:r>
          </w:p>
        </w:tc>
        <w:tc>
          <w:tcPr>
            <w:tcW w:w="5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46</w:t>
            </w:r>
          </w:p>
        </w:tc>
        <w:tc>
          <w:tcPr>
            <w:tcW w:w="1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9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37</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38</w:t>
            </w:r>
          </w:p>
        </w:tc>
        <w:tc>
          <w:tcPr>
            <w:tcW w:w="7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215</w:t>
            </w:r>
          </w:p>
        </w:tc>
        <w:tc>
          <w:tcPr>
            <w:tcW w:w="6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195</w:t>
            </w:r>
          </w:p>
        </w:tc>
      </w:tr>
      <w:tr>
        <w:tc>
          <w:tcPr>
            <w:tcW w:w="16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2,316</w:t>
            </w:r>
          </w:p>
        </w:tc>
        <w:tc>
          <w:tcPr>
            <w:tcW w:w="7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2,113</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1,689</w:t>
            </w:r>
          </w:p>
        </w:tc>
        <w:tc>
          <w:tcPr>
            <w:tcW w:w="5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1,517</w:t>
            </w:r>
          </w:p>
        </w:tc>
        <w:tc>
          <w:tcPr>
            <w:tcW w:w="1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997</w:t>
            </w:r>
          </w:p>
        </w:tc>
        <w:tc>
          <w:tcPr>
            <w:tcW w:w="9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879</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673</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621</w:t>
            </w:r>
          </w:p>
        </w:tc>
        <w:tc>
          <w:tcPr>
            <w:tcW w:w="7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(24)</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5,651</w:t>
            </w:r>
          </w:p>
        </w:tc>
        <w:tc>
          <w:tcPr>
            <w:tcW w:w="6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5,113</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and nine months ended September 30, 2025. See note 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Revenues by geography are based on the location of the customer. Revenues from the Reuters agreement with the Data &amp; Analytics business of London Stock Exchange Group (“LSEG”), the Company’s largest customer, are included entirely in the U.K. Canada represents the Company's country of domicile. Americas represents North America, Latin America and South America and EMEA represents Europe, Middle East and Africa.</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52</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3: Segment Information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organized as four reportable segments, reflecting how its products and services are managed and offered to target customers as described below. The operating results of Global Print, which was previously a reportable segment, is now reported as discontinued operations (see note 9).</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Legal Professionals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Serves corporations, ranging from small businesses to multinational organizations, including the seven largest global accounting firms, with the Company’s full suite of content-driven products, powered by AI-enabled technology and integrated compliance workflow solutions to help them achieve their business outcomes.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Serves tax, audit and accounting firms (other than the seven largest, which are served by the Corporates segment) with research and workflow products powered by AI-enabled technology.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Supplies business, financial and global news and data to the world’s media organizations, professionals and news consumers through Reuters News Agency, Reuters.com, Reuters Events, Thomson Reuters products and to financial firms exclusively via LSEG products.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Information by segment and reconciliations to the consolidated income statement are set forth below:</w:t>
      </w:r>
    </w:p>
    <w:p>
      <w:pPr>
        <w:pStyle w:val="TextBody"/>
        <w:bidi w:val="0"/>
        <w:spacing w:before="100" w:after="283"/>
        <w:jc w:val="left"/>
      </w:pPr>
      <w:r>
        <w:t> </w:t>
      </w:r>
    </w:p>
    <w:tbl>
      <w:tblPr>
        <w:tblW w:w="9873" w:type="dxa"/>
        <w:jc w:val="left"/>
        <w:tblInd w:w="0" w:type="dxa"/>
        <w:tblLayout w:type="fixed"/>
        <w:tblCellMar>
          <w:top w:w="28" w:type="dxa"/>
          <w:left w:w="28" w:type="dxa"/>
          <w:bottom w:w="28" w:type="dxa"/>
          <w:right w:w="28" w:type="dxa"/>
        </w:tblCellMar>
      </w:tblPr>
      <w:tblGrid>
        <w:gridCol w:w="5041"/>
        <w:gridCol w:w="146"/>
        <w:gridCol w:w="146"/>
        <w:gridCol w:w="191"/>
        <w:gridCol w:w="867"/>
        <w:gridCol w:w="191"/>
        <w:gridCol w:w="985"/>
        <w:gridCol w:w="146"/>
        <w:gridCol w:w="891"/>
        <w:gridCol w:w="196"/>
        <w:gridCol w:w="1073"/>
      </w:tblGrid>
      <w:t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04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6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85" w:type="dxa"/>
            <w:tcBorders/>
            <w:shd w:fill="666666" w:val="clear"/>
            <w:tcMar>
              <w:top w:w="0" w:type="dxa"/>
              <w:left w:w="0" w:type="dxa"/>
              <w:bottom w:w="0" w:type="dxa"/>
              <w:right w:w="0" w:type="dxa"/>
            </w:tcMar>
            <w:vAlign w:val="center"/>
          </w:tcPr>
          <w:p>
            <w:pPr>
              <w:pStyle w:val="TableContents"/>
              <w:bidi w:val="0"/>
              <w:spacing w:lineRule="auto" w:line="360" w:before="0" w:after="283"/>
              <w:jc w:val="right"/>
              <w:rPr>
                <w:rFonts w:ascii="Clario;sans-serif" w:hAnsi="Clario;sans-serif"/>
                <w:sz w:val="18"/>
              </w:rPr>
            </w:pPr>
            <w:r>
              <w:rPr>
                <w:rFonts w:ascii="Clario;sans-serif" w:hAnsi="Clario;sans-serif"/>
                <w:color w:val="FFFFFF"/>
                <w:sz w:val="18"/>
              </w:rPr>
              <w:t>2025</w:t>
            </w:r>
            <w:r>
              <w:rPr>
                <w:rFonts w:ascii="Clario;sans-serif" w:hAnsi="Clario;sans-serif"/>
                <w:color w:val="FFFFFF"/>
                <w:sz w:val="12"/>
              </w:rPr>
              <w:t>(1)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9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073" w:type="dxa"/>
            <w:tcBorders/>
            <w:shd w:fill="666666" w:val="clear"/>
            <w:tcMar>
              <w:top w:w="0" w:type="dxa"/>
              <w:left w:w="0" w:type="dxa"/>
              <w:bottom w:w="0" w:type="dxa"/>
              <w:right w:w="0" w:type="dxa"/>
            </w:tcMar>
            <w:vAlign w:val="center"/>
          </w:tcPr>
          <w:p>
            <w:pPr>
              <w:pStyle w:val="TableContents"/>
              <w:bidi w:val="0"/>
              <w:spacing w:lineRule="auto" w:line="360" w:before="0" w:after="283"/>
              <w:jc w:val="right"/>
              <w:rPr>
                <w:rFonts w:ascii="Clario;sans-serif" w:hAnsi="Clario;sans-serif"/>
                <w:sz w:val="18"/>
              </w:rPr>
            </w:pPr>
            <w:r>
              <w:rPr>
                <w:rFonts w:ascii="Clario;sans-serif" w:hAnsi="Clario;sans-serif"/>
                <w:color w:val="FFFFFF"/>
                <w:sz w:val="18"/>
              </w:rPr>
              <w:t>2025</w:t>
            </w:r>
            <w:r>
              <w:rPr>
                <w:rFonts w:ascii="Clario;sans-serif" w:hAnsi="Clario;sans-serif"/>
                <w:color w:val="FFFFFF"/>
                <w:sz w:val="12"/>
              </w:rPr>
              <w:t>(1)</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2,113</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1,517</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879</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621</w:t>
            </w:r>
          </w:p>
        </w:tc>
      </w:tr>
      <w:t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7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1,833</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5,651</w:t>
            </w:r>
          </w:p>
        </w:tc>
        <w:tc>
          <w:tcPr>
            <w:tcW w:w="1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7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5,113</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1,028</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564</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394</w:t>
            </w:r>
          </w:p>
        </w:tc>
      </w:tr>
      <w:t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138</w:t>
            </w:r>
          </w:p>
        </w:tc>
        <w:tc>
          <w:tcPr>
            <w:tcW w:w="1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7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reportable segments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2,112</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Corporate Center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w:t>
            </w:r>
          </w:p>
        </w:tc>
      </w:tr>
      <w:tr>
        <w:tc>
          <w:tcPr>
            <w:tcW w:w="50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(533)</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r>
      <w:t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gains,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1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7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1,370</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(235)</w:t>
            </w:r>
          </w:p>
        </w:tc>
        <w:tc>
          <w:tcPr>
            <w:tcW w:w="1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(230)</w:t>
            </w:r>
          </w:p>
        </w:tc>
      </w:tr>
      <w:t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289</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1,102</w:t>
            </w:r>
          </w:p>
        </w:tc>
        <w:tc>
          <w:tcPr>
            <w:tcW w:w="1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7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963</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and nine months ended September 30, 2025. See note 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acquired deferred revenue of $20 million in the nine months ended September 30, 2025.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Reuters revenues included $7 million (2025 - $6 million) and $24 million (2025 - $17 million) in the three and nine months ended September 30, 2026, respectively, primarily from content-related services that it provided to the Legal Professionals, Corporates and Tax, Audit &amp; Accounting Professionals segments.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53</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sz w:val="18"/>
        </w:rPr>
      </w:pPr>
      <w:r>
        <w:rPr>
          <w:rFonts w:ascii="Clario;sans-serif" w:hAnsi="Clario;sans-serif"/>
          <w:color w:val="404040"/>
          <w:sz w:val="18"/>
        </w:rPr>
        <w:t xml:space="preserve">In accordance with IFRS 8, </w:t>
      </w:r>
      <w:r>
        <w:rPr>
          <w:rFonts w:ascii="Clario;sans-serif" w:hAnsi="Clario;sans-serif"/>
          <w:i/>
          <w:color w:val="404040"/>
          <w:sz w:val="18"/>
        </w:rPr>
        <w:t>Operating Segments</w:t>
      </w:r>
      <w:r>
        <w:rPr>
          <w:rFonts w:ascii="Clario;sans-serif" w:hAnsi="Clario;sans-serif"/>
          <w:color w:val="404040"/>
          <w:sz w:val="18"/>
        </w:rPr>
        <w:t>, the Company discloses certain information about its reportable segments based upon measures used by management in assessing the performance of those reportable segments. The profitability measure is defined below and may not be comparable to similar measures of other companies.</w:t>
      </w:r>
    </w:p>
    <w:p>
      <w:pPr>
        <w:pStyle w:val="TextBody"/>
        <w:bidi w:val="0"/>
        <w:spacing w:before="100" w:after="283"/>
        <w:jc w:val="left"/>
        <w:rPr>
          <w:rFonts w:ascii="Clario;sans-serif" w:hAnsi="Clario;sans-serif"/>
          <w:sz w:val="18"/>
        </w:rPr>
      </w:pPr>
      <w:r>
        <w:rPr>
          <w:rFonts w:ascii="Clario;sans-serif" w:hAnsi="Clario;sans-serif"/>
          <w:i/>
          <w:color w:val="404040"/>
          <w:sz w:val="18"/>
        </w:rPr>
        <w:t>Segment Adjusted EBITDA</w:t>
      </w:r>
      <w:r>
        <w:rPr>
          <w:rFonts w:ascii="Clario;sans-serif" w:hAnsi="Clario;sans-serif"/>
          <w:color w:val="404040"/>
          <w:sz w:val="18"/>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Segment adjusted EBITDA represents earnings or loss from continuing operations before tax expense or benefit, net interest expense, other finance costs or income, depreciation, amortization of software and other identifiable intangible assets, the Company’s share of post-tax earnings or losses in equity method investments, other operating gains or losses, certain asset impairment charges, corporate related items and fair value adjustments, including those related to acquired deferred revenue (see note 17).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The Company does not consider these excluded items to be controllable operating activities for purposes of assessing the current performance of the reportable segments.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Each segment includes an allocation of costs, based on usage or other applicable measures, for centralized support services such as technology-related services, commercial operations, marketing costs, and product and content development. Additionally, product costs are allocated when one segment sells products managed by another segment.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Corporate Center, which was previously called Corporate costs, includes expenses for centrally managed functions such as finance, legal, human resources and the executive office, as well as certain content and editorial costs associated with our former Global Print business. These costs are not allocated to the segments. </w:t>
      </w:r>
    </w:p>
    <w:p>
      <w:pPr>
        <w:pStyle w:val="TextBody"/>
        <w:bidi w:val="0"/>
        <w:spacing w:before="100" w:after="283"/>
        <w:jc w:val="left"/>
        <w:rPr>
          <w:rFonts w:ascii="Clario;sans-serif" w:hAnsi="Clario;sans-serif"/>
          <w:sz w:val="18"/>
        </w:rPr>
      </w:pPr>
      <w:r>
        <w:rPr>
          <w:rFonts w:ascii="Clario;sans-serif" w:hAnsi="Clario;sans-serif"/>
          <w:b/>
          <w:i/>
          <w:color w:val="404040"/>
          <w:sz w:val="18"/>
        </w:rPr>
        <w:t>Note 4: Seasonality</w:t>
      </w:r>
      <w:r>
        <w:rPr>
          <w:rFonts w:ascii="Clario;sans-serif" w:hAnsi="Clario;sans-serif"/>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Company’s revenues and operating profit on a consolidated basis do not tend to be significantly impacted by seasonality as it records a large portion of its revenues ratably over the contract term and its costs are generally incurred evenly throughout the year. However, at the segment level, revenues on a consecutive quarter basis can be impacted by seasonality, most notably in the Company’s Tax, Audit &amp; Accounting Professionals business, where revenues tend to be concentrated in the first and fourth quarters.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5: Operating Expenses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components of operating expenses include the following: </w:t>
      </w:r>
    </w:p>
    <w:p>
      <w:pPr>
        <w:pStyle w:val="TextBody"/>
        <w:bidi w:val="0"/>
        <w:jc w:val="left"/>
      </w:pPr>
      <w:r>
        <w:t> </w:t>
      </w:r>
    </w:p>
    <w:tbl>
      <w:tblPr>
        <w:tblW w:w="8358" w:type="dxa"/>
        <w:jc w:val="left"/>
        <w:tblInd w:w="0" w:type="dxa"/>
        <w:tblLayout w:type="fixed"/>
        <w:tblCellMar>
          <w:top w:w="28" w:type="dxa"/>
          <w:left w:w="28" w:type="dxa"/>
          <w:bottom w:w="28" w:type="dxa"/>
          <w:right w:w="28" w:type="dxa"/>
        </w:tblCellMar>
      </w:tblPr>
      <w:tblGrid>
        <w:gridCol w:w="3526"/>
        <w:gridCol w:w="146"/>
        <w:gridCol w:w="146"/>
        <w:gridCol w:w="204"/>
        <w:gridCol w:w="924"/>
        <w:gridCol w:w="204"/>
        <w:gridCol w:w="903"/>
        <w:gridCol w:w="146"/>
        <w:gridCol w:w="953"/>
        <w:gridCol w:w="210"/>
        <w:gridCol w:w="996"/>
      </w:tblGrid>
      <w:t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c>
          <w:tcPr>
            <w:tcW w:w="35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5"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5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3526"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20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92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90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95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0"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99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Salaries, commissions and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1,707</w:t>
            </w:r>
          </w:p>
        </w:tc>
      </w:tr>
      <w:t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r>
      <w:tr>
        <w:tc>
          <w:tcPr>
            <w:tcW w:w="3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Post-employment benefits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w:t>
            </w:r>
          </w:p>
        </w:tc>
        <w:tc>
          <w:tcPr>
            <w:tcW w:w="2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w:t>
            </w:r>
          </w:p>
        </w:tc>
      </w:tr>
      <w:t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1,893</w:t>
            </w:r>
          </w:p>
        </w:tc>
      </w:tr>
      <w:tr>
        <w:tc>
          <w:tcPr>
            <w:tcW w:w="35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Goods and services</w:t>
            </w:r>
            <w:r>
              <w:rPr>
                <w:rFonts w:ascii="Clario;sans-serif" w:hAnsi="Clario;sans-serif"/>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1,036</w:t>
            </w:r>
          </w:p>
        </w:tc>
      </w:tr>
      <w:t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w:t>
            </w:r>
          </w:p>
        </w:tc>
      </w:tr>
      <w:t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Telecommunications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r>
      <w:tr>
        <w:tc>
          <w:tcPr>
            <w:tcW w:w="3526"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r>
      <w:tr>
        <w:tc>
          <w:tcPr>
            <w:tcW w:w="3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operating expenses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w:t>
            </w:r>
          </w:p>
        </w:tc>
        <w:tc>
          <w:tcPr>
            <w:tcW w:w="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3,509</w:t>
            </w:r>
          </w:p>
        </w:tc>
        <w:tc>
          <w:tcPr>
            <w:tcW w:w="2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3,222</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Goods and services include technology-related expenses, professional fees, consulting, contractors, marketing and other general and administrative costs.</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Clario;sans-serif" w:hAnsi="Clario;sans-serif"/>
          <w:sz w:val="18"/>
        </w:rPr>
      </w:pPr>
      <w:r>
        <w:rPr>
          <w:rFonts w:ascii="Clario;sans-serif" w:hAnsi="Clario;sans-serif"/>
          <w:b/>
          <w:i/>
          <w:color w:val="404040"/>
          <w:sz w:val="18"/>
        </w:rPr>
        <w:t>Note 6: Other Operating (Losses) Gains, Net</w:t>
      </w:r>
      <w:r>
        <w:rPr>
          <w:rFonts w:ascii="Clario;sans-serif" w:hAnsi="Clario;sans-serif"/>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Other operating (losses) gains, net were $(1) million and $72 million in the three and nine months ended September 30, 2026, respectively. Other operating gains, net in the nine months ended September 30, 2026 primarily related to acquisitions and investments.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Other operating gains net, were $160 million and $162 million in the three and nine months ended September 30, 2025, respectively. Both periods included a gain of $161 million on the sale of the Company's remaining minority interest in Elite, an equity method investment.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54</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7: Finance Costs, Net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components of finance costs, net, include interest expense (income) and other finance costs (income). The components of net interest expense are as follows: </w:t>
      </w:r>
    </w:p>
    <w:p>
      <w:pPr>
        <w:pStyle w:val="TextBody"/>
        <w:bidi w:val="0"/>
        <w:jc w:val="left"/>
      </w:pPr>
      <w:r>
        <w:t> </w:t>
      </w:r>
    </w:p>
    <w:tbl>
      <w:tblPr>
        <w:tblW w:w="10074" w:type="dxa"/>
        <w:jc w:val="left"/>
        <w:tblInd w:w="0" w:type="dxa"/>
        <w:tblLayout w:type="fixed"/>
        <w:tblCellMar>
          <w:top w:w="28" w:type="dxa"/>
          <w:left w:w="28" w:type="dxa"/>
          <w:bottom w:w="28" w:type="dxa"/>
          <w:right w:w="28" w:type="dxa"/>
        </w:tblCellMar>
      </w:tblPr>
      <w:tblGrid>
        <w:gridCol w:w="5200"/>
        <w:gridCol w:w="167"/>
        <w:gridCol w:w="167"/>
        <w:gridCol w:w="222"/>
        <w:gridCol w:w="895"/>
        <w:gridCol w:w="222"/>
        <w:gridCol w:w="895"/>
        <w:gridCol w:w="146"/>
        <w:gridCol w:w="929"/>
        <w:gridCol w:w="231"/>
        <w:gridCol w:w="1000"/>
      </w:tblGrid>
      <w:tr>
        <w:tc>
          <w:tcPr>
            <w:tcW w:w="52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52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20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67"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expense:</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r>
      <w:t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net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r>
      <w:t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(gains) losses on financial instruments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hedges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c>
          <w:tcPr>
            <w:tcW w:w="5534"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transfer from equity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c>
          <w:tcPr>
            <w:tcW w:w="5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foreign exchange (gains) losses on debt</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c>
          <w:tcPr>
            <w:tcW w:w="520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debt and other</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106</w:t>
            </w:r>
          </w:p>
        </w:tc>
      </w:tr>
      <w:tr>
        <w:tc>
          <w:tcPr>
            <w:tcW w:w="520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leases</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c>
          <w:tcPr>
            <w:tcW w:w="553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interest expense - pension and other post-employment </w:t>
              <w:br/>
              <w:t>   benefit plans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c>
          <w:tcPr>
            <w:tcW w:w="5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income</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r>
        <w:tc>
          <w:tcPr>
            <w:tcW w:w="5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6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components of other finance (income) costs are as follows:</w:t>
      </w:r>
    </w:p>
    <w:p>
      <w:pPr>
        <w:pStyle w:val="TextBody"/>
        <w:bidi w:val="0"/>
        <w:jc w:val="left"/>
      </w:pPr>
      <w:r>
        <w:t> </w:t>
      </w:r>
    </w:p>
    <w:p>
      <w:pPr>
        <w:pStyle w:val="TextBody"/>
        <w:bidi w:val="0"/>
        <w:jc w:val="left"/>
      </w:pPr>
      <w:r>
        <w:t> </w:t>
      </w:r>
    </w:p>
    <w:tbl>
      <w:tblPr>
        <w:tblW w:w="9565" w:type="dxa"/>
        <w:jc w:val="left"/>
        <w:tblInd w:w="0" w:type="dxa"/>
        <w:tblLayout w:type="fixed"/>
        <w:tblCellMar>
          <w:top w:w="28" w:type="dxa"/>
          <w:left w:w="28" w:type="dxa"/>
          <w:bottom w:w="28" w:type="dxa"/>
          <w:right w:w="28" w:type="dxa"/>
        </w:tblCellMar>
      </w:tblPr>
      <w:tblGrid>
        <w:gridCol w:w="4545"/>
        <w:gridCol w:w="240"/>
        <w:gridCol w:w="240"/>
        <w:gridCol w:w="222"/>
        <w:gridCol w:w="895"/>
        <w:gridCol w:w="222"/>
        <w:gridCol w:w="895"/>
        <w:gridCol w:w="146"/>
        <w:gridCol w:w="929"/>
        <w:gridCol w:w="231"/>
        <w:gridCol w:w="1000"/>
      </w:tblGrid>
      <w:tr>
        <w:tc>
          <w:tcPr>
            <w:tcW w:w="45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454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54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4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40"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02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(gains) losses due to changes in foreign currency </w:t>
              <w:br/>
              <w:t>   exchange rates</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w:t>
            </w:r>
          </w:p>
        </w:tc>
      </w:tr>
      <w:tr>
        <w:tc>
          <w:tcPr>
            <w:tcW w:w="45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45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Net (gains) losses due to changes in foreign currency exchange rates were principally comprised of amounts related to certain intercompany funding arrangements.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Other includes the ineffective portion of cash flow and fair value hedges and certain other financing costs.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8: Taxation</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Tax expense was $59 million (2025 - $109 million) and $235 million (2025 - $230 million) in the three and nine months ended September 30, 2026, respectively. Tax expense in each period reflected the mix of taxing jurisdictions in which pre-tax profits and losses were recognized. Tax expense or benefit in interim periods is not necessarily indicative of the tax expense or benefit for the full year because the geographical mix of pre-tax profits and losses in interim periods may be different from that for the full year.</w:t>
      </w:r>
    </w:p>
    <w:p>
      <w:pPr>
        <w:pStyle w:val="TextBody"/>
        <w:bidi w:val="0"/>
        <w:spacing w:before="100" w:after="283"/>
        <w:jc w:val="left"/>
        <w:rPr>
          <w:rFonts w:ascii="Times New Roman" w:hAnsi="Times New Roman"/>
          <w:sz w:val="10"/>
        </w:rPr>
      </w:pPr>
      <w:r>
        <w:rPr>
          <w:rFonts w:ascii="Clario;sans-serif" w:hAnsi="Clario;sans-serif"/>
          <w:color w:val="231F20"/>
          <w:sz w:val="19"/>
        </w:rPr>
        <w:t>I</w:t>
      </w:r>
      <w:r>
        <w:rPr>
          <w:rFonts w:ascii="Clario;sans-serif" w:hAnsi="Clario;sans-serif"/>
          <w:color w:val="404040"/>
          <w:sz w:val="18"/>
        </w:rPr>
        <w:t>n January 2024, the Company began recording tax expense associated with the “Pillar Two model rules” as published by the Organization for Economic Cooperation and Development and enacted by key jurisdictions in which the Company operates.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The Company has applied the exception to recognizing and disclosing information about deferred tax assets and liabilities related to Pillar Two income taxes. The application of the "Pillar Two model rules" did not have a significant impact on the Company's tax expense in the three and nine months ended September 30, 2026 and 2025.</w:t>
      </w:r>
      <w:r>
        <w:rPr>
          <w:rFonts w:ascii="Times New Roman" w:hAnsi="Times New Roman"/>
          <w:color w:val="404040"/>
          <w:sz w:val="1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9: Discontinued Operations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On July 14, 2026, the Company announced a definitive agreement to enter into a joint venture with KKR. On October 1, 2026, the Company sold a 51% stake in its Global Print business to capital accounts advised by KKR for approximately $500 million in gross proceeds and retained a 49% equity interest in the joint venture (see note 20). The Global Print business provided legal and tax information primarily in print format and via ProView to customers around the world and commercial printing services to a wide range of book publishers.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55</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Discontinued operations include the results of Global Print, as well as earnings and losses relating to a tax indemnity associated with a previously sold business that was classified as discontinued operations in the consolidated financial statements in prior periods. Total earnings from discontinued operations are summarized as follows:</w:t>
      </w:r>
    </w:p>
    <w:p>
      <w:pPr>
        <w:pStyle w:val="TextBody"/>
        <w:bidi w:val="0"/>
        <w:jc w:val="left"/>
      </w:pPr>
      <w:r>
        <w:t> </w:t>
      </w:r>
    </w:p>
    <w:tbl>
      <w:tblPr>
        <w:tblW w:w="9864" w:type="dxa"/>
        <w:jc w:val="left"/>
        <w:tblInd w:w="0" w:type="dxa"/>
        <w:tblLayout w:type="fixed"/>
        <w:tblCellMar>
          <w:top w:w="28" w:type="dxa"/>
          <w:left w:w="28" w:type="dxa"/>
          <w:bottom w:w="28" w:type="dxa"/>
          <w:right w:w="28" w:type="dxa"/>
        </w:tblCellMar>
      </w:tblPr>
      <w:tblGrid>
        <w:gridCol w:w="5009"/>
        <w:gridCol w:w="158"/>
        <w:gridCol w:w="158"/>
        <w:gridCol w:w="222"/>
        <w:gridCol w:w="895"/>
        <w:gridCol w:w="222"/>
        <w:gridCol w:w="895"/>
        <w:gridCol w:w="146"/>
        <w:gridCol w:w="935"/>
        <w:gridCol w:w="221"/>
        <w:gridCol w:w="1003"/>
      </w:tblGrid>
      <w:tr>
        <w:tc>
          <w:tcPr>
            <w:tcW w:w="50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c>
          <w:tcPr>
            <w:tcW w:w="50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5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009"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5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93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1"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00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00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354</w:t>
            </w:r>
          </w:p>
        </w:tc>
      </w:tr>
      <w:tr>
        <w:tc>
          <w:tcPr>
            <w:tcW w:w="5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Expenses</w:t>
            </w:r>
          </w:p>
        </w:tc>
        <w:tc>
          <w:tcPr>
            <w:tcW w:w="1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c>
          <w:tcPr>
            <w:tcW w:w="2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w:t>
            </w:r>
          </w:p>
        </w:tc>
      </w:tr>
      <w:tr>
        <w:tc>
          <w:tcPr>
            <w:tcW w:w="532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discontinued operations before income tax</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175</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242</w:t>
            </w:r>
          </w:p>
        </w:tc>
      </w:tr>
      <w:tr>
        <w:tc>
          <w:tcPr>
            <w:tcW w:w="50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2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c>
          <w:tcPr>
            <w:tcW w:w="50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discontinued operations, net of tax</w:t>
            </w:r>
          </w:p>
        </w:tc>
        <w:tc>
          <w:tcPr>
            <w:tcW w:w="1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2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assets and liabilities of the Global Print business classified as held for sale in the consolidated statement of financial position are as follows:</w:t>
      </w:r>
    </w:p>
    <w:p>
      <w:pPr>
        <w:pStyle w:val="TextBody"/>
        <w:bidi w:val="0"/>
        <w:spacing w:before="100" w:after="283"/>
        <w:jc w:val="left"/>
      </w:pPr>
      <w:r>
        <w:t> </w:t>
      </w:r>
    </w:p>
    <w:tbl>
      <w:tblPr>
        <w:tblW w:w="7293" w:type="dxa"/>
        <w:jc w:val="left"/>
        <w:tblInd w:w="0" w:type="dxa"/>
        <w:tblLayout w:type="fixed"/>
        <w:tblCellMar>
          <w:top w:w="28" w:type="dxa"/>
          <w:left w:w="28" w:type="dxa"/>
          <w:bottom w:w="28" w:type="dxa"/>
          <w:right w:w="28" w:type="dxa"/>
        </w:tblCellMar>
      </w:tblPr>
      <w:tblGrid>
        <w:gridCol w:w="4606"/>
        <w:gridCol w:w="146"/>
        <w:gridCol w:w="146"/>
        <w:gridCol w:w="146"/>
        <w:gridCol w:w="146"/>
        <w:gridCol w:w="146"/>
        <w:gridCol w:w="146"/>
        <w:gridCol w:w="146"/>
        <w:gridCol w:w="263"/>
        <w:gridCol w:w="263"/>
        <w:gridCol w:w="1139"/>
      </w:tblGrid>
      <w:t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6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r>
      <w:tr>
        <w:tc>
          <w:tcPr>
            <w:tcW w:w="460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26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26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139"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2026</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r>
      <w:tr>
        <w:tc>
          <w:tcPr>
            <w:tcW w:w="4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248</w:t>
            </w:r>
          </w:p>
        </w:tc>
      </w:tr>
      <w:tr>
        <w:tc>
          <w:tcPr>
            <w:tcW w:w="46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 held for sale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353</w:t>
            </w:r>
          </w:p>
        </w:tc>
      </w:tr>
      <w:t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r>
      <w:t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r>
      <w:tr>
        <w:tc>
          <w:tcPr>
            <w:tcW w:w="46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1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r>
      <w:tr>
        <w:tc>
          <w:tcPr>
            <w:tcW w:w="46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associated with assets held for sale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6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1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r>
    </w:tbl>
    <w:p>
      <w:pPr>
        <w:pStyle w:val="TextBody"/>
        <w:bidi w:val="0"/>
        <w:spacing w:before="100" w:after="283"/>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10: Earnings Per Share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Diluted earnings per share was calculated using the denominator of the basic calculation described above adjusted to include the potentially dilutive effect of outstanding stock options and time-based restricted share units (“TRSUs”).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Earnings used in determining consolidated earnings per share and earnings per share from continuing operations are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377"/>
        <w:gridCol w:w="174"/>
        <w:gridCol w:w="174"/>
        <w:gridCol w:w="218"/>
        <w:gridCol w:w="881"/>
        <w:gridCol w:w="218"/>
        <w:gridCol w:w="881"/>
        <w:gridCol w:w="146"/>
        <w:gridCol w:w="940"/>
        <w:gridCol w:w="207"/>
        <w:gridCol w:w="989"/>
      </w:tblGrid>
      <w:tr>
        <w:tc>
          <w:tcPr>
            <w:tcW w:w="53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c>
          <w:tcPr>
            <w:tcW w:w="537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98"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36"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37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74"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74"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1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8"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8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07"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3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339</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1,246</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1,170</w:t>
            </w:r>
          </w:p>
        </w:tc>
      </w:tr>
      <w:tr>
        <w:tc>
          <w:tcPr>
            <w:tcW w:w="53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Dividends declared on preference shares</w:t>
            </w:r>
          </w:p>
        </w:tc>
        <w:tc>
          <w:tcPr>
            <w:tcW w:w="1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7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2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c>
          <w:tcPr>
            <w:tcW w:w="537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consolidated earnings per share</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1,243</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1,167</w:t>
            </w:r>
          </w:p>
        </w:tc>
      </w:tr>
      <w:tr>
        <w:tc>
          <w:tcPr>
            <w:tcW w:w="5725"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Earnings from discontinued operations, net of tax</w:t>
            </w:r>
          </w:p>
        </w:tc>
        <w:tc>
          <w:tcPr>
            <w:tcW w:w="2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2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(144)</w:t>
            </w:r>
          </w:p>
        </w:tc>
        <w:tc>
          <w:tcPr>
            <w:tcW w:w="2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(207)</w:t>
            </w:r>
          </w:p>
        </w:tc>
      </w:tr>
      <w:tr>
        <w:tc>
          <w:tcPr>
            <w:tcW w:w="5725"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earnings per share from continuing operations</w:t>
            </w:r>
          </w:p>
        </w:tc>
        <w:tc>
          <w:tcPr>
            <w:tcW w:w="2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288</w:t>
            </w:r>
          </w:p>
        </w:tc>
        <w:tc>
          <w:tcPr>
            <w:tcW w:w="2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1,099</w:t>
            </w:r>
          </w:p>
        </w:tc>
        <w:tc>
          <w:tcPr>
            <w:tcW w:w="2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960</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pStyle w:val="TextBody"/>
        <w:bidi w:val="0"/>
        <w:jc w:val="left"/>
      </w:pPr>
      <w:r>
        <w:t> </w:t>
      </w:r>
    </w:p>
    <w:tbl>
      <w:tblPr>
        <w:tblW w:w="9957" w:type="dxa"/>
        <w:jc w:val="left"/>
        <w:tblInd w:w="0" w:type="dxa"/>
        <w:tblLayout w:type="fixed"/>
        <w:tblCellMar>
          <w:top w:w="28" w:type="dxa"/>
          <w:left w:w="28" w:type="dxa"/>
          <w:bottom w:w="28" w:type="dxa"/>
          <w:right w:w="28" w:type="dxa"/>
        </w:tblCellMar>
      </w:tblPr>
      <w:tblGrid>
        <w:gridCol w:w="4336"/>
        <w:gridCol w:w="1336"/>
        <w:gridCol w:w="146"/>
        <w:gridCol w:w="1306"/>
        <w:gridCol w:w="1336"/>
        <w:gridCol w:w="146"/>
        <w:gridCol w:w="1351"/>
      </w:tblGrid>
      <w:tr>
        <w:tc>
          <w:tcPr>
            <w:tcW w:w="43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c>
          <w:tcPr>
            <w:tcW w:w="433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88"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2833"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33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3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0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Weighted-average number of common shares </w:t>
              <w:br/>
              <w:t>   outstanding</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433,596,918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449,658,160</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438,769,452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450,116,632</w:t>
            </w:r>
          </w:p>
        </w:tc>
      </w:tr>
      <w:tr>
        <w:tc>
          <w:tcPr>
            <w:tcW w:w="4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Weighted-average number of vested DSUs</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112,736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125,259</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115,396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128,163</w:t>
            </w:r>
          </w:p>
        </w:tc>
      </w:tr>
      <w:t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433,709,654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449,783,419</w:t>
            </w:r>
          </w:p>
        </w:tc>
        <w:tc>
          <w:tcPr>
            <w:tcW w:w="13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438,884,848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450,244,795</w:t>
            </w:r>
          </w:p>
        </w:tc>
      </w:tr>
      <w:tr>
        <w:tc>
          <w:tcPr>
            <w:tcW w:w="4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Effect of stock options and TRSUs</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307,501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500,309</w:t>
            </w:r>
          </w:p>
        </w:tc>
        <w:tc>
          <w:tcPr>
            <w:tcW w:w="1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250,836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551,793</w:t>
            </w:r>
          </w:p>
        </w:tc>
      </w:tr>
      <w:tr>
        <w:tc>
          <w:tcPr>
            <w:tcW w:w="4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w:t>
            </w:r>
          </w:p>
        </w:tc>
        <w:tc>
          <w:tcPr>
            <w:tcW w:w="1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434,017,155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450,283,728</w:t>
            </w:r>
          </w:p>
        </w:tc>
        <w:tc>
          <w:tcPr>
            <w:tcW w:w="1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439,135,684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3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450,796,588</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56</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Note 11: Financial Instruments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assets and liabilities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Financial assets and liabilities in the consolidated statement of financial position are as follows: </w:t>
      </w:r>
    </w:p>
    <w:p>
      <w:pPr>
        <w:pStyle w:val="TextBody"/>
        <w:bidi w:val="0"/>
        <w:jc w:val="left"/>
      </w:pPr>
      <w:r>
        <w:t>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68"/>
        <w:gridCol w:w="146"/>
        <w:gridCol w:w="1602"/>
        <w:gridCol w:w="146"/>
        <w:gridCol w:w="1689"/>
        <w:gridCol w:w="146"/>
        <w:gridCol w:w="2306"/>
        <w:gridCol w:w="146"/>
        <w:gridCol w:w="1414"/>
        <w:gridCol w:w="146"/>
        <w:gridCol w:w="796"/>
      </w:tblGrid>
      <w:tr>
        <w:tc>
          <w:tcPr>
            <w:tcW w:w="1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c>
          <w:tcPr>
            <w:tcW w:w="1668"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September 30, 2026 </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1,394</w:t>
            </w:r>
          </w:p>
        </w:tc>
      </w:tr>
      <w:t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1,154</w:t>
            </w:r>
          </w:p>
        </w:tc>
      </w:tr>
      <w:t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135</w:t>
            </w:r>
          </w:p>
        </w:tc>
      </w:tr>
      <w:tr>
        <w:tc>
          <w:tcPr>
            <w:tcW w:w="181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r>
      <w:t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r>
      <w:tr>
        <w:tc>
          <w:tcPr>
            <w:tcW w:w="166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r>
      <w:t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(784)</w:t>
            </w:r>
          </w:p>
        </w:tc>
      </w:tr>
      <w:tr>
        <w:tc>
          <w:tcPr>
            <w:tcW w:w="1668"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 xml:space="preserve">Other financial liabilities - </w:t>
              <w:br/>
              <w:t>   current</w:t>
            </w:r>
            <w:r>
              <w:rPr>
                <w:rFonts w:ascii="Clario;sans-serif" w:hAnsi="Clario;sans-serif"/>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r>
      <w:tr>
        <w:tc>
          <w:tcPr>
            <w:tcW w:w="166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r>
      <w:tr>
        <w:tc>
          <w:tcPr>
            <w:tcW w:w="1668"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(276)</w:t>
            </w:r>
          </w:p>
        </w:tc>
      </w:tr>
      <w:tr>
        <w:tc>
          <w:tcPr>
            <w:tcW w:w="166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6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6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(1,954)</w:t>
            </w:r>
          </w:p>
        </w:tc>
      </w:tr>
    </w:tbl>
    <w:p>
      <w:pPr>
        <w:pStyle w:val="TextBody"/>
        <w:bidi w:val="0"/>
        <w:jc w:val="left"/>
      </w:pPr>
      <w:r>
        <w:t>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669"/>
        <w:gridCol w:w="146"/>
        <w:gridCol w:w="1604"/>
        <w:gridCol w:w="146"/>
        <w:gridCol w:w="1693"/>
        <w:gridCol w:w="146"/>
        <w:gridCol w:w="2311"/>
        <w:gridCol w:w="146"/>
        <w:gridCol w:w="1416"/>
        <w:gridCol w:w="146"/>
        <w:gridCol w:w="782"/>
      </w:tblGrid>
      <w:tr>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c>
          <w:tcPr>
            <w:tcW w:w="1669"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December 31, 2025 </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c>
          <w:tcPr>
            <w:tcW w:w="16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 xml:space="preserve">Other financial liabilities - </w:t>
              <w:br/>
              <w:t>   current</w:t>
            </w:r>
            <w:r>
              <w:rPr>
                <w:rFonts w:ascii="Clario;sans-serif" w:hAnsi="Clario;sans-serif"/>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c>
          <w:tcPr>
            <w:tcW w:w="1669"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6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3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7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c>
          <w:tcPr>
            <w:tcW w:w="166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6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6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3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78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(1,200)</w:t>
            </w:r>
          </w:p>
        </w:tc>
      </w:tr>
    </w:tbl>
    <w:p>
      <w:pPr>
        <w:pStyle w:val="TextBody"/>
        <w:bidi w:val="0"/>
        <w:jc w:val="left"/>
      </w:pPr>
      <w:r>
        <w:t> </w:t>
      </w:r>
    </w:p>
    <w:p>
      <w:pPr>
        <w:pStyle w:val="TextBody"/>
        <w:bidi w:val="0"/>
        <w:jc w:val="left"/>
      </w:pPr>
      <w: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Includes lease liabilities of $63 million (2025 - $59 million).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lease liabilities of $165 million (2025 - $190 million). </w:t>
      </w:r>
    </w:p>
    <w:p>
      <w:pPr>
        <w:pStyle w:val="TextBody"/>
        <w:bidi w:val="0"/>
        <w:spacing w:before="0" w:after="120"/>
        <w:jc w:val="left"/>
      </w:pPr>
      <w:r>
        <w:t>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Of total cash and cash equivalents, $129 million and $140 million as of September 30, 2026 and December 31, 2025, respectively, were held in subsidiaries which have regulatory restrictions or contractual restrictions or operate in countries where exchange controls and other legal restrictions apply and were therefore not available for general use by the Company.</w:t>
      </w:r>
    </w:p>
    <w:p>
      <w:pPr>
        <w:pStyle w:val="TextBody"/>
        <w:bidi w:val="0"/>
        <w:jc w:val="left"/>
        <w:rPr>
          <w:rFonts w:ascii="Clario;sans-serif" w:hAnsi="Clario;sans-serif"/>
          <w:i/>
          <w:color w:val="404040"/>
          <w:sz w:val="18"/>
        </w:rPr>
      </w:pPr>
      <w:r>
        <w:rPr>
          <w:rFonts w:ascii="Clario;sans-serif" w:hAnsi="Clario;sans-serif"/>
          <w:i/>
          <w:color w:val="404040"/>
          <w:sz w:val="18"/>
        </w:rPr>
        <w:t>Commercial paper program</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The Company’s $2.0 billion commercial paper program provides cost-effective and flexible short-term funding. The carrying amount of outstanding commercial paper of $565 million is included in “Current indebtedness” within the consolidated statement of financial position as of September 30, 2026 (December 31, 2025 - $295 million).</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57</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sz w:val="18"/>
        </w:rPr>
      </w:pPr>
      <w:r>
        <w:rPr>
          <w:rFonts w:ascii="Clario;sans-serif" w:hAnsi="Clario;sans-serif"/>
          <w:i/>
          <w:color w:val="404040"/>
          <w:sz w:val="18"/>
        </w:rPr>
        <w:t>Credit facility</w:t>
      </w:r>
      <w:r>
        <w:rPr>
          <w:rFonts w:ascii="Clario;sans-serif" w:hAnsi="Clario;sans-serif"/>
          <w:color w:val="404040"/>
          <w:sz w:val="18"/>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Company has a $2.0 billion syndicated credit facility agreement which matures in November 2030 and may be used to provide liquidity for general corporate purposes (including acquisitions or support for its commercial paper program). There were no outstanding borrowings under the credit facility as of September 30, 2026 and December 31, 2025. Based on the Company’s current credit ratings, the cost of borrowing under the facility is priced at the Term Secured Overnight Financing Rate (“SOFR”)/Euro Interbank Offered Rate (“EURiBOR")/Simple Sterling Overnight Index Average (“SONIA") plus 92 basis points. The Company has the option to request an increase, subject to approval by applicable lenders, in the lenders’ commitments in an aggregate amount of $600 million for a maximum credit facility commitment of $2.6 billion.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Company guarantees borrowings by its subsidiaries under the credit facility. The Company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 million, the Company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September 30, 2026, the Company complied with this covenant as its ratio of net debt to EBITDA, as calculated under the terms of its syndicated credit facility, was 0.9:1.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fair values of cash and cash equivalents, trade and other receivables, trade payables and accruals approximate their carrying amounts because of the short-term maturity of these instruments.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Debt and Related Derivative Instruments</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Carrying Amounts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Amounts recorded in the consolidated statement of financial position are referred to as “carrying amounts”. The carrying amounts of primary debt are reflected in “Current indebtedness” or “Long-term indebtedness” and the carrying amounts of related derivative instruments are included in “Other financial assets” and “Other financial liabilities”, current or non-current, within the consolidated statement of financial position, as appropriate.</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debt is estimated based on either quoted market prices for similar issues or current rates offered to the Company for debt of the same maturity. The fair value of interest rate swaps and cross-currency interest rate swaps are estimated based upon discounted cash flows using applicable current market rates and considering non-performance risk.</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is a summary of the Company's debt and related derivative instruments that hedge debt: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112"/>
        <w:gridCol w:w="146"/>
        <w:gridCol w:w="1927"/>
        <w:gridCol w:w="146"/>
        <w:gridCol w:w="1803"/>
        <w:gridCol w:w="146"/>
        <w:gridCol w:w="1927"/>
        <w:gridCol w:w="146"/>
        <w:gridCol w:w="1852"/>
      </w:tblGrid>
      <w:tr>
        <w:tc>
          <w:tcPr>
            <w:tcW w:w="2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pPr>
            <w:r>
              <w:t> </w:t>
            </w:r>
          </w:p>
        </w:tc>
        <w:tc>
          <w:tcPr>
            <w:tcW w:w="3876"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3925"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c>
          <w:tcPr>
            <w:tcW w:w="2112"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September 30, 2026</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pPr>
            <w:r>
              <w:t> </w:t>
            </w:r>
          </w:p>
        </w:tc>
        <w:tc>
          <w:tcPr>
            <w:tcW w:w="1927"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803"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927"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852"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b/>
                <w:color w:val="404040"/>
                <w:sz w:val="18"/>
              </w:rPr>
            </w:pPr>
            <w:r>
              <w:rPr>
                <w:rFonts w:ascii="Clario;sans-serif" w:hAnsi="Clario;sans-serif"/>
                <w:b/>
                <w:color w:val="404040"/>
                <w:sz w:val="18"/>
              </w:rPr>
              <w:t>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C$350 4.13%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C$350 4.48%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C$300 Floating rate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$800 5.10% Notes due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5.75% Notes due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5.85% Notes due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$119 4.50% Notes due 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r>
      <w:tr>
        <w:tc>
          <w:tcPr>
            <w:tcW w:w="2112"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$350 5.65%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w:t>
            </w:r>
          </w:p>
        </w:tc>
      </w:tr>
      <w:tr>
        <w:tc>
          <w:tcPr>
            <w:tcW w:w="21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$400 5.50% Debentures due 2035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5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r>
      <w:tr>
        <w:tc>
          <w:tcPr>
            <w:tcW w:w="21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5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r>
      <w:tr>
        <w:tc>
          <w:tcPr>
            <w:tcW w:w="2112"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3,247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58</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047"/>
        <w:gridCol w:w="146"/>
        <w:gridCol w:w="1946"/>
        <w:gridCol w:w="146"/>
        <w:gridCol w:w="1818"/>
        <w:gridCol w:w="146"/>
        <w:gridCol w:w="1946"/>
        <w:gridCol w:w="146"/>
        <w:gridCol w:w="1864"/>
      </w:tblGrid>
      <w:t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c>
          <w:tcPr>
            <w:tcW w:w="204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pPr>
            <w:r>
              <w:t> </w:t>
            </w:r>
          </w:p>
        </w:tc>
        <w:tc>
          <w:tcPr>
            <w:tcW w:w="3910"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3956"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c>
          <w:tcPr>
            <w:tcW w:w="2047"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pPr>
            <w: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81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pPr>
            <w:r>
              <w:t> </w:t>
            </w:r>
          </w:p>
        </w:tc>
        <w:tc>
          <w:tcPr>
            <w:tcW w:w="1864"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b/>
                <w:color w:val="404040"/>
                <w:sz w:val="18"/>
              </w:rPr>
            </w:pPr>
            <w:r>
              <w:rPr>
                <w:rFonts w:ascii="Clario;sans-serif" w:hAnsi="Clario;sans-serif"/>
                <w:b/>
                <w:color w:val="404040"/>
                <w:sz w:val="18"/>
              </w:rPr>
              <w:t>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3.35%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5.85% Notes due 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$119 4.50%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$350 5.65% Notes due 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20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$400 5.50% Debentures due 2035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20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20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Long-term debt activity</w:t>
      </w:r>
    </w:p>
    <w:p>
      <w:pPr>
        <w:pStyle w:val="TextBody"/>
        <w:bidi w:val="0"/>
        <w:spacing w:before="100" w:after="113"/>
        <w:jc w:val="left"/>
        <w:rPr>
          <w:rFonts w:ascii="Clario;sans-serif" w:hAnsi="Clario;sans-serif"/>
          <w:color w:val="404040"/>
          <w:sz w:val="18"/>
        </w:rPr>
      </w:pPr>
      <w:r>
        <w:rPr>
          <w:rFonts w:ascii="Clario;sans-serif" w:hAnsi="Clario;sans-serif"/>
          <w:color w:val="404040"/>
          <w:sz w:val="18"/>
        </w:rPr>
        <w:t>In September 2026, the Company issued a total of US$1.3 billion and C$1.0 billion principal amount of notes (which were swapped to US$0.7 billion). The net proceeds, in aggregate, of $2,022 million were used for general corporate purposes, which included the repayment of borrowings under its commercial paper program. In May 2026, the Company repaid its $500 million 3.35% notes upon maturity with cash on hand and commercial paper borrowings. In May 2025, the Company repaid its C$1.4 billion (US$999 million) 2.239% notes upon maturity with cash on hand and settled the related cross-currency interest rate swaps.</w:t>
      </w:r>
    </w:p>
    <w:p>
      <w:pPr>
        <w:pStyle w:val="TextBody"/>
        <w:bidi w:val="0"/>
        <w:spacing w:before="0" w:after="113"/>
        <w:jc w:val="left"/>
        <w:rPr>
          <w:rFonts w:ascii="Clario;sans-serif" w:hAnsi="Clario;sans-serif"/>
          <w:color w:val="404040"/>
          <w:sz w:val="18"/>
        </w:rPr>
      </w:pPr>
      <w:r>
        <w:rPr>
          <w:rFonts w:ascii="Clario;sans-serif" w:hAnsi="Clario;sans-serif"/>
          <w:color w:val="404040"/>
          <w:sz w:val="18"/>
        </w:rPr>
        <w:t xml:space="preserve">Details of the notes issued and repaid are as follows: </w:t>
      </w:r>
    </w:p>
    <w:tbl>
      <w:tblPr>
        <w:tblW w:w="6955" w:type="dxa"/>
        <w:jc w:val="left"/>
        <w:tblInd w:w="0" w:type="dxa"/>
        <w:tblLayout w:type="fixed"/>
        <w:tblCellMar>
          <w:top w:w="28" w:type="dxa"/>
          <w:left w:w="28" w:type="dxa"/>
          <w:bottom w:w="28" w:type="dxa"/>
          <w:right w:w="28" w:type="dxa"/>
        </w:tblCellMar>
      </w:tblPr>
      <w:tblGrid>
        <w:gridCol w:w="1996"/>
        <w:gridCol w:w="146"/>
        <w:gridCol w:w="2746"/>
        <w:gridCol w:w="146"/>
        <w:gridCol w:w="1921"/>
      </w:tblGrid>
      <w:t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c>
          <w:tcPr>
            <w:tcW w:w="19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Month/Year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Transaction</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Principal Amount</w:t>
              <w:br/>
              <w:t>(in millions)</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Notes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4.13%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C$350</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4.48% Notes due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C$350</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Floating rate notes due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C$300</w:t>
            </w:r>
          </w:p>
        </w:tc>
      </w:tr>
      <w:t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Public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5.10% Notes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US$800</w:t>
            </w:r>
          </w:p>
        </w:tc>
      </w:tr>
      <w:t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2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5.75% Notes due 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US$500</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Notes repaid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May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3.35%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US$500</w:t>
            </w:r>
          </w:p>
        </w:tc>
      </w:tr>
      <w:t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May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2.239% Notes due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C$1,400</w:t>
            </w:r>
          </w:p>
        </w:tc>
      </w:tr>
    </w:tbl>
    <w:p>
      <w:pPr>
        <w:pStyle w:val="TextBody"/>
        <w:bidi w:val="0"/>
        <w:spacing w:before="100" w:after="113"/>
        <w:jc w:val="left"/>
        <w:rPr>
          <w:rFonts w:ascii="Clario;sans-serif" w:hAnsi="Clario;sans-serif"/>
          <w:i/>
          <w:color w:val="404040"/>
          <w:sz w:val="18"/>
        </w:rPr>
      </w:pPr>
      <w:r>
        <w:rPr>
          <w:rFonts w:ascii="Clario;sans-serif" w:hAnsi="Clario;sans-serif"/>
          <w:i/>
          <w:color w:val="404040"/>
          <w:sz w:val="18"/>
        </w:rPr>
        <w:t>Cross-currency interest rate swaps</w:t>
      </w:r>
    </w:p>
    <w:p>
      <w:pPr>
        <w:pStyle w:val="TextBody"/>
        <w:bidi w:val="0"/>
        <w:spacing w:before="0" w:after="113"/>
        <w:jc w:val="left"/>
        <w:rPr>
          <w:rFonts w:ascii="Clario;sans-serif" w:hAnsi="Clario;sans-serif"/>
          <w:color w:val="404040"/>
          <w:sz w:val="18"/>
        </w:rPr>
      </w:pPr>
      <w:r>
        <w:rPr>
          <w:rFonts w:ascii="Clario;sans-serif" w:hAnsi="Clario;sans-serif"/>
          <w:color w:val="404040"/>
          <w:sz w:val="18"/>
        </w:rPr>
        <w:t>In connection with the issuance of Canadian dollar denominated notes in September 2026, the Company entered into cross-currency interest rate swaps, which swap Canadian dollar denominated principal and interest payments into U.S. dollars. The swaps were designated as cash flow hedges of foreign exchange risk on the notes. The critical terms of the swaps, such as the timing and amount of cash flows, match the terms of the related indebtedness, creating an economic relationship between the hedged item and hedging instrument. The effective portion of the changes in the fair value of the swaps is recognized in "Other comprehensive (loss) income and is reclassified to the consolidated income statement in the same periods as the hedged cash flows. Hedge ineffectiveness, which may arise from changes in cross-currency basis spread and counterparty credit risk, is recognized within "Finance costs, net" in the consolidated income statement. As the Company’s risk management objective is to mitigate debt-related currency exposures, it seeks to achieve a 1:1 hedge ratio between the notional principal amount of the swaps and the underlying debt exposures, in which the critical terms of the instruments match. As of September 30, 2026, the Company recorded the swaps outstanding in the consolidated statement of financial position at their fair value, which was a liability of $15 million, reported within "Other financial liabilities, non-current", in the consolidated statement of financial position. The details of these instruments are set forth below:</w:t>
      </w:r>
    </w:p>
    <w:tbl>
      <w:tblPr>
        <w:tblW w:w="9853" w:type="dxa"/>
        <w:jc w:val="left"/>
        <w:tblInd w:w="0" w:type="dxa"/>
        <w:tblLayout w:type="fixed"/>
        <w:tblCellMar>
          <w:top w:w="28" w:type="dxa"/>
          <w:left w:w="28" w:type="dxa"/>
          <w:bottom w:w="28" w:type="dxa"/>
          <w:right w:w="28" w:type="dxa"/>
        </w:tblCellMar>
      </w:tblPr>
      <w:tblGrid>
        <w:gridCol w:w="2446"/>
        <w:gridCol w:w="146"/>
        <w:gridCol w:w="1414"/>
        <w:gridCol w:w="371"/>
        <w:gridCol w:w="1560"/>
        <w:gridCol w:w="165"/>
        <w:gridCol w:w="1771"/>
        <w:gridCol w:w="264"/>
        <w:gridCol w:w="1716"/>
      </w:tblGrid>
      <w:t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c>
          <w:tcPr>
            <w:tcW w:w="24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Received</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1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Paid</w:t>
            </w:r>
          </w:p>
        </w:tc>
        <w:tc>
          <w:tcPr>
            <w:tcW w:w="371"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560"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Hedged Risk</w:t>
            </w:r>
          </w:p>
        </w:tc>
        <w:tc>
          <w:tcPr>
            <w:tcW w:w="165"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77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Year of Maturity</w:t>
            </w:r>
          </w:p>
        </w:tc>
        <w:tc>
          <w:tcPr>
            <w:tcW w:w="1980"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 xml:space="preserve">Principal Amount </w:t>
              <w:br/>
              <w:t>(in millions)</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2026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6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r>
      <w:t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 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fixed</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2029</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US$ 253</w:t>
            </w:r>
          </w:p>
        </w:tc>
      </w:tr>
      <w:t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 fixed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fixed</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2031</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716"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US$ 253</w:t>
            </w:r>
          </w:p>
        </w:tc>
      </w:tr>
      <w:tr>
        <w:tc>
          <w:tcPr>
            <w:tcW w:w="244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Canadian dollar floating</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8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dollar floating</w:t>
            </w:r>
          </w:p>
        </w:tc>
        <w:tc>
          <w:tcPr>
            <w:tcW w:w="172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Foreign exchange</w:t>
            </w:r>
          </w:p>
        </w:tc>
        <w:tc>
          <w:tcPr>
            <w:tcW w:w="17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2029</w:t>
            </w:r>
          </w:p>
        </w:tc>
        <w:tc>
          <w:tcPr>
            <w:tcW w:w="2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pPr>
            <w:r>
              <w:t> </w:t>
            </w:r>
          </w:p>
        </w:tc>
        <w:tc>
          <w:tcPr>
            <w:tcW w:w="17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US$ 216</w:t>
            </w:r>
          </w:p>
        </w:tc>
      </w:tr>
    </w:tbl>
    <w:p>
      <w:pPr>
        <w:pStyle w:val="TextBody"/>
        <w:bidi w:val="0"/>
        <w:spacing w:before="0" w:after="113"/>
        <w:jc w:val="left"/>
      </w:pPr>
      <w: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Interest rate equal to daily compounded Canadian Overnight Repo Rate Average ("CORRA") plus 76 basis points swapped to daily compounded SOFR plus 87.4 basis points.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59</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Fixed-to-floating interest rate swaps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As of September 30, 2026, the Company had fixed-to-floating interest rate swaps totaling $1,050 million in notional amount, of which $415 million was entered into during the three months ended September 30, 2026 and $640 million during the nine months ended September 30, 2026. Additionally, $410 million notional amount of swaps were entered in September 2025. Under these arrangements, the Company receives a fixed rate of interest and pays a floating rate based on daily compounded SOFR plus a spread. These swaps are designated as fair value hedges for a portion of each of the Company's $400 million principal amount of 5.50% debentures due August 2035 ($190 million hedged), $500 million principal amount of 5.85% notes due April 2040 ($450 million hedged), $119 million principal amount of 4.50% notes due May 2043 ($80 million hedged) and $350 million principal amount of 5.65% notes due November 2043 ($330 million hedged), covering the remaining term to debt maturity. The swaps were entered into as part of the Company's strategy to manage interest rate risk and the swap notional is aligned 1:1 with the portion of the debt being hedged.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swaps are reported at fair value in the consolidated statement of financial position with changes in their fair value recorded within “Finance costs, net” in the consolidated income statement. The carrying amount of the hedged debt is adjusted for changes in its fair value attributable to the hedged interest rate risk, which is also recorded within "Finance costs, net" in the consolidated income statement. The fair value of the swaps was a liability of $93 million, reported within "Other financial liabilities, non-current", in the consolidated statement of financial position as of September 30, 2026 (December 31, 2025 - $16 million). In the nine months ended September 30, 2026 the change in fair value of the swaps was a loss of $77 million, which was largely offset by a gain of $75 million on the hedged debt, resulting in net hedge ineffectiveness of $2 million recorded within "Finance costs, net" in the consolidated income statement.</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In addition, the Company has credit support agreements with its counterparties under which one party may call on the other party to post cash collateral when the market value of the swaps exceeds specific thresholds, thus limiting credit exposure. As of September 30, 2026, the Company had a cash collateral receivable of $44 million (December 31, 2025 - $7 million) related to its fixed-to-floating interest rate swaps. Cash flows associated with collateral movements were classified as financing activities in the consolidated statement of cash flow.</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Fair value estimation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fair value measurement hierarchy is used for financial instruments that are measured in the consolidated statement of financial position at fair value:</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Level 1 - quoted prices (unadjusted) in active markets for identical assets or liabilities;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Level 2 - inputs other than quoted prices included within level 1 that are observable for the asset or liability, either directly (that is, as prices) or indirectly (that is, derived from prices);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Level 3 - inputs for the asset or liability that are not based on observable market data (that is, unobservable inputs).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levels used to determine fair value measurements for those instruments carried at fair value in the consolidated statement of financial position are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574"/>
        <w:gridCol w:w="317"/>
        <w:gridCol w:w="317"/>
        <w:gridCol w:w="146"/>
        <w:gridCol w:w="821"/>
        <w:gridCol w:w="146"/>
        <w:gridCol w:w="821"/>
        <w:gridCol w:w="146"/>
        <w:gridCol w:w="821"/>
        <w:gridCol w:w="146"/>
        <w:gridCol w:w="950"/>
      </w:tblGrid>
      <w:tr>
        <w:tc>
          <w:tcPr>
            <w:tcW w:w="55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c>
          <w:tcPr>
            <w:tcW w:w="557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September 30, 2026</w:t>
              <w:br/>
              <w:t>(millions of U.S. dollars)</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c>
          <w:tcPr>
            <w:tcW w:w="557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623</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Other receivables</w:t>
            </w:r>
            <w:r>
              <w:rPr>
                <w:rFonts w:ascii="Clario;sans-serif" w:hAnsi="Clario;sans-serif"/>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360</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983</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195</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1,178</w:t>
            </w:r>
          </w:p>
        </w:tc>
      </w:tr>
      <w:t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(108)</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60</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494"/>
        <w:gridCol w:w="357"/>
        <w:gridCol w:w="357"/>
        <w:gridCol w:w="146"/>
        <w:gridCol w:w="821"/>
        <w:gridCol w:w="146"/>
        <w:gridCol w:w="821"/>
        <w:gridCol w:w="146"/>
        <w:gridCol w:w="821"/>
        <w:gridCol w:w="146"/>
        <w:gridCol w:w="950"/>
      </w:tblGrid>
      <w:tr>
        <w:tc>
          <w:tcPr>
            <w:tcW w:w="54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c>
          <w:tcPr>
            <w:tcW w:w="549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c>
          <w:tcPr>
            <w:tcW w:w="549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235</w:t>
            </w:r>
          </w:p>
        </w:tc>
      </w:tr>
      <w:tr>
        <w:tc>
          <w:tcPr>
            <w:tcW w:w="5494"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Other receivables</w:t>
            </w:r>
            <w:r>
              <w:rPr>
                <w:rFonts w:ascii="Clario;sans-serif" w:hAnsi="Clario;sans-serif"/>
                <w:color w:val="404040"/>
                <w:sz w:val="12"/>
              </w:rPr>
              <w:t>(1)</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607</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r>
      <w:t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6208" w:type="dxa"/>
            <w:gridSpan w:val="3"/>
            <w:tcBorders/>
            <w:shd w:fill="FFFFFF" w:val="clear"/>
            <w:tcMar>
              <w:top w:w="0" w:type="dxa"/>
              <w:left w:w="0" w:type="dxa"/>
              <w:bottom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ind w:left="100" w:right="0" w:firstLine="100"/>
              <w:jc w:val="left"/>
              <w:rPr>
                <w:rFonts w:ascii="Clario;sans-serif" w:hAnsi="Clario;sans-serif"/>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r>
      <w:t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bl>
    <w:p>
      <w:pPr>
        <w:pStyle w:val="TextBody"/>
        <w:bidi w:val="0"/>
        <w:jc w:val="left"/>
      </w:pPr>
      <w: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Receivables under an indemnification and other arrangements.</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Investments in entities over which the Company does not have control, joint control or significant influence.</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(3)</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Comprised of fixed-to-floating interest rate swaps and, in 2026, cross-currency interest rate swaps on indebtedness.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(4)</w:t>
      </w:r>
    </w:p>
    <w:p>
      <w:pPr>
        <w:pStyle w:val="TextBody"/>
        <w:bidi w:val="0"/>
        <w:jc w:val="left"/>
        <w:rPr>
          <w:rFonts w:ascii="Clario;sans-serif" w:hAnsi="Clario;sans-serif"/>
          <w:color w:val="404040"/>
          <w:sz w:val="16"/>
        </w:rPr>
      </w:pPr>
      <w:r>
        <w:rPr>
          <w:rFonts w:ascii="Clario;sans-serif" w:hAnsi="Clario;sans-serif"/>
          <w:color w:val="404040"/>
          <w:sz w:val="16"/>
        </w:rPr>
        <w:t xml:space="preserve">Obligations to pay additional consideration for prior acquisitions, based upon performance measures contractually agreed at the time of purchase, and in 2025, to purchase shares from minority owners of a subsidiary.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As of September 30, 2026, other receivables in level 3 of the fair value measurement hierarchy primarily include $275 million (December 31, 2025 - $288 million) due from an indemnification arrangement and $85 million (December 31, 2025 - $84 million) in receivables from the sale of the Company's FindLaw business in December 2024. The decrease in the receivable from the indemnification arrangement between September 30, 2026 and December 31, 2025 is primarily comprised of losses recognized from the resolution of a tax dispute. The decrease also included impacts from changes in foreign exchange and interest rates associated with the indemnifying party’s credit profile. This activity is included in “Earnings from discontinued operations, net of tax”, within the consolidated income statement.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September 30, 2026, investments in level 3 financial assets measured at fair value through other comprehensive income were $195 million (2025 - $168 million). The increase between September 30, 2026 and December 31, 2025 was primarily due to additional investments of $32 million and fair value net gains reflecting pricing from equity funding rounds during the period, which were partly offset by disposals.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Company recognizes transfers into and out of the fair value measurement hierarchy levels at the end of the reporting period in which the event or change in circumstances that caused the transfer occurred. There were no transfers between hierarchy levels for the nine months ended September 30, 2026.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Valuation Techniques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Specific valuation techniques used to value financial instruments include: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fair value of investments predominantly reflect pricing from equity funding rounds;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receivables due under indemnification and other arrangements primarily considers estimated future cash flows, current market interest rates and non-performance risk;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contingent consideration liability is calculated based on estimates of future revenue performance or the achievement of certain commercial milestones;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Interest rate swaps and cross-currency interest rate swaps are calculated as the present value of the estimated cash flows based on observable yield curves.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12: Other Non-Current Assets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components of other non-current assets include the following: </w:t>
      </w:r>
    </w:p>
    <w:p>
      <w:pPr>
        <w:pStyle w:val="TextBody"/>
        <w:bidi w:val="0"/>
        <w:jc w:val="left"/>
      </w:pPr>
      <w:r>
        <w:t> </w:t>
      </w:r>
    </w:p>
    <w:tbl>
      <w:tblPr>
        <w:tblW w:w="7600" w:type="dxa"/>
        <w:jc w:val="left"/>
        <w:tblInd w:w="0" w:type="dxa"/>
        <w:tblLayout w:type="fixed"/>
        <w:tblCellMar>
          <w:top w:w="28" w:type="dxa"/>
          <w:left w:w="28" w:type="dxa"/>
          <w:bottom w:w="28" w:type="dxa"/>
          <w:right w:w="28" w:type="dxa"/>
        </w:tblCellMar>
      </w:tblPr>
      <w:tblGrid>
        <w:gridCol w:w="4246"/>
        <w:gridCol w:w="146"/>
        <w:gridCol w:w="1621"/>
        <w:gridCol w:w="146"/>
        <w:gridCol w:w="1441"/>
      </w:tblGrid>
      <w:t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4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c>
          <w:tcPr>
            <w:tcW w:w="42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surrender value of life insurance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384</w:t>
            </w:r>
          </w:p>
        </w:tc>
      </w:tr>
      <w:t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r>
      <w:t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surpluses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w:t>
            </w:r>
          </w:p>
        </w:tc>
      </w:tr>
      <w:tr>
        <w:tc>
          <w:tcPr>
            <w:tcW w:w="4246" w:type="dxa"/>
            <w:tcBorders>
              <w:bottom w:val="single" w:sz="4" w:space="0" w:color="666666"/>
            </w:tcBorders>
            <w:shd w:fill="FFFFFF"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Other non-current assets</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c>
          <w:tcPr>
            <w:tcW w:w="4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other non-current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bl>
    <w:p>
      <w:pPr>
        <w:pStyle w:val="TextBody"/>
        <w:bidi w:val="0"/>
        <w:jc w:val="left"/>
      </w:pPr>
      <w:r>
        <w:t> </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a tax receivable from HM Revenue &amp; Customs (“HMRC”) of $94 million and $96 million as of September 30, 2026 and December 31, 2025, respectively (see note 18).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61</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13: Payables, Accruals and Provisions</w:t>
      </w:r>
    </w:p>
    <w:p>
      <w:pPr>
        <w:pStyle w:val="TextBody"/>
        <w:bidi w:val="0"/>
        <w:spacing w:before="100" w:after="283"/>
        <w:jc w:val="left"/>
        <w:rPr>
          <w:rFonts w:ascii="Clario;sans-serif" w:hAnsi="Clario;sans-serif"/>
          <w:color w:val="404040"/>
          <w:sz w:val="18"/>
        </w:rPr>
      </w:pPr>
      <w:bookmarkStart w:id="6" w:name="pic25payables"/>
      <w:bookmarkEnd w:id="6"/>
      <w:r>
        <w:rPr>
          <w:rFonts w:ascii="Clario;sans-serif" w:hAnsi="Clario;sans-serif"/>
          <w:color w:val="404040"/>
          <w:sz w:val="18"/>
        </w:rPr>
        <w:t xml:space="preserve">The components of payables, accruals and provisions include the following: </w:t>
      </w:r>
    </w:p>
    <w:p>
      <w:pPr>
        <w:pStyle w:val="TextBody"/>
        <w:bidi w:val="0"/>
        <w:jc w:val="left"/>
      </w:pPr>
      <w:r>
        <w:t> </w:t>
      </w:r>
    </w:p>
    <w:tbl>
      <w:tblPr>
        <w:tblW w:w="7000" w:type="dxa"/>
        <w:jc w:val="left"/>
        <w:tblInd w:w="0" w:type="dxa"/>
        <w:tblLayout w:type="fixed"/>
        <w:tblCellMar>
          <w:top w:w="28" w:type="dxa"/>
          <w:left w:w="28" w:type="dxa"/>
          <w:bottom w:w="28" w:type="dxa"/>
          <w:right w:w="28" w:type="dxa"/>
        </w:tblCellMar>
      </w:tblPr>
      <w:tblGrid>
        <w:gridCol w:w="3646"/>
        <w:gridCol w:w="146"/>
        <w:gridCol w:w="1621"/>
        <w:gridCol w:w="146"/>
        <w:gridCol w:w="1441"/>
      </w:tblGrid>
      <w:t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36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c>
          <w:tcPr>
            <w:tcW w:w="36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r>
      <w:tr>
        <w:tc>
          <w:tcPr>
            <w:tcW w:w="3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r>
        <w:tc>
          <w:tcPr>
            <w:tcW w:w="3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payables, accruals and provisions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bl>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Note 14: Provisions and Other Non-Current Liabilities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components of provisions and other non-current liabilities include the following: </w:t>
      </w:r>
    </w:p>
    <w:p>
      <w:pPr>
        <w:pStyle w:val="TextBody"/>
        <w:bidi w:val="0"/>
        <w:jc w:val="left"/>
      </w:pPr>
      <w:r>
        <w:t> </w:t>
      </w:r>
    </w:p>
    <w:tbl>
      <w:tblPr>
        <w:tblW w:w="7900" w:type="dxa"/>
        <w:jc w:val="left"/>
        <w:tblInd w:w="0" w:type="dxa"/>
        <w:tblLayout w:type="fixed"/>
        <w:tblCellMar>
          <w:top w:w="28" w:type="dxa"/>
          <w:left w:w="28" w:type="dxa"/>
          <w:bottom w:w="28" w:type="dxa"/>
          <w:right w:w="28" w:type="dxa"/>
        </w:tblCellMar>
      </w:tblPr>
      <w:tblGrid>
        <w:gridCol w:w="4546"/>
        <w:gridCol w:w="146"/>
        <w:gridCol w:w="1621"/>
        <w:gridCol w:w="146"/>
        <w:gridCol w:w="1441"/>
      </w:tblGrid>
      <w:t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c>
          <w:tcPr>
            <w:tcW w:w="45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c>
          <w:tcPr>
            <w:tcW w:w="45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504</w:t>
            </w:r>
          </w:p>
        </w:tc>
      </w:tr>
      <w:t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compensation and employee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w:t>
            </w:r>
          </w:p>
        </w:tc>
      </w:tr>
      <w:t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c>
          <w:tcPr>
            <w:tcW w:w="45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4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provisions and other non-current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6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bl>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Note 15: Capital</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repurchases – Normal Course Issuer Bid (“NCIB”)</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Company buys back shares (and subsequently cancels them) from time to time as part of its capital strategy. Share repurchases are typically executed under a NCIB program, which is approved by the TSX. The NCIB program, as amended in February 2026, allowed the Company to repurchase up to 16 million common shares between August 19, 2025 and August 18, 2026. In February 2026, the Company announced its plan to repurchase up to $600 million of its common shares and completed this program in July 2026.</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The Company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the Company receives, if applicable, an issuer bid exemption order in the future from applicable securities regulatory authorities in Canada for such purchases. The price that the Company will pay for common shares in open market transactions will be the market price at the time of purchase or such other price as may be permitted by the TSX.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Details of share repurchases are as follows: </w:t>
      </w:r>
    </w:p>
    <w:p>
      <w:pPr>
        <w:pStyle w:val="TextBody"/>
        <w:bidi w:val="0"/>
        <w:jc w:val="left"/>
      </w:pPr>
      <w:r>
        <w:t> </w:t>
      </w:r>
    </w:p>
    <w:tbl>
      <w:tblPr>
        <w:tblW w:w="9119" w:type="dxa"/>
        <w:jc w:val="left"/>
        <w:tblInd w:w="0" w:type="dxa"/>
        <w:tblLayout w:type="fixed"/>
        <w:tblCellMar>
          <w:top w:w="28" w:type="dxa"/>
          <w:left w:w="28" w:type="dxa"/>
          <w:bottom w:w="28" w:type="dxa"/>
          <w:right w:w="28" w:type="dxa"/>
        </w:tblCellMar>
      </w:tblPr>
      <w:tblGrid>
        <w:gridCol w:w="4141"/>
        <w:gridCol w:w="146"/>
        <w:gridCol w:w="146"/>
        <w:gridCol w:w="146"/>
        <w:gridCol w:w="963"/>
        <w:gridCol w:w="180"/>
        <w:gridCol w:w="1092"/>
        <w:gridCol w:w="146"/>
        <w:gridCol w:w="908"/>
        <w:gridCol w:w="169"/>
        <w:gridCol w:w="1082"/>
      </w:tblGrid>
      <w:t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c>
          <w:tcPr>
            <w:tcW w:w="41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pPr>
            <w:r>
              <w:t> </w:t>
            </w:r>
          </w:p>
        </w:tc>
        <w:tc>
          <w:tcPr>
            <w:tcW w:w="215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141"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963"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0"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1092"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908"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69"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pPr>
            <w:r>
              <w:t> </w:t>
            </w:r>
          </w:p>
        </w:tc>
        <w:tc>
          <w:tcPr>
            <w:tcW w:w="1082" w:type="dxa"/>
            <w:tcBorders>
              <w:bottom w:val="single" w:sz="4" w:space="0" w:color="AFAFAF"/>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(millions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r>
      <w:t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Shares repurchased (number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r>
      <w:tr>
        <w:tc>
          <w:tcPr>
            <w:tcW w:w="4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repurchases - average price per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pPr>
            <w: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$92.61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$97.48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$172.03</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Decisions regarding any future repurchases will depend on certain factors, such as market conditions, share price, and other opportunities to invest capital for growth. The Company may elect to suspend or discontinue share repurchases at any time, in accordance with applicable laws. From time to time when the Company does not possess material nonpublic information about itself or its securities, it may enter into a pre-defined plan with its broker to allow for the repurchase of shares at times when the Company ordinarily would not be active in the market due to its own internal trading blackout periods, insider trading rules or otherwise. Any such plans entered into with the Company’s broker will be adopted in accordance with applicable Canadian securities laws and the requirements of Rule 10b5-1 under the U.S. Securities Exchange Act of 1934, as amended.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Excise taxes payable totaled $11 million as of September 30, 2026, and are reflected as part of the repurchases of common shares included in the consolidated statement of changes in equity (2025 - $38 million of liabilities related to unsettled share repurchases as well as $17 million of excise taxes payable).</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62</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Dividends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Dividends on common shares are declared in U.S. dollars. In the consolidated statement of cash flow, dividends paid on common shares are shown net of amounts reinvested in the Company under its dividend reinvestment plan.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375"/>
        <w:gridCol w:w="146"/>
        <w:gridCol w:w="146"/>
        <w:gridCol w:w="176"/>
        <w:gridCol w:w="948"/>
        <w:gridCol w:w="176"/>
        <w:gridCol w:w="930"/>
        <w:gridCol w:w="146"/>
        <w:gridCol w:w="970"/>
        <w:gridCol w:w="180"/>
        <w:gridCol w:w="1012"/>
      </w:tblGrid>
      <w:tr>
        <w:tc>
          <w:tcPr>
            <w:tcW w:w="5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c>
          <w:tcPr>
            <w:tcW w:w="53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0"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62"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537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7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4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7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0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537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$1.965</w:t>
            </w:r>
          </w:p>
        </w:tc>
        <w:tc>
          <w:tcPr>
            <w:tcW w:w="1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$1.785</w:t>
            </w:r>
          </w:p>
        </w:tc>
      </w:tr>
      <w:tr>
        <w:tc>
          <w:tcPr>
            <w:tcW w:w="537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804</w:t>
            </w:r>
          </w:p>
        </w:tc>
      </w:tr>
      <w:tr>
        <w:tc>
          <w:tcPr>
            <w:tcW w:w="537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9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c>
          <w:tcPr>
            <w:tcW w:w="53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274</w:t>
            </w:r>
          </w:p>
        </w:tc>
        <w:tc>
          <w:tcPr>
            <w:tcW w:w="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9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8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779</w:t>
            </w:r>
          </w:p>
        </w:tc>
      </w:tr>
    </w:tbl>
    <w:p>
      <w:pPr>
        <w:pStyle w:val="TextBody"/>
        <w:bidi w:val="0"/>
        <w:spacing w:before="100" w:after="120"/>
        <w:jc w:val="left"/>
        <w:rPr>
          <w:rFonts w:ascii="Clario;sans-serif" w:hAnsi="Clario;sans-serif"/>
          <w:sz w:val="18"/>
        </w:rPr>
      </w:pPr>
      <w:r>
        <w:rPr>
          <w:rFonts w:ascii="Clario;sans-serif" w:hAnsi="Clario;sans-serif"/>
          <w:b/>
          <w:color w:val="404040"/>
          <w:sz w:val="18"/>
        </w:rPr>
        <w:t>Return of capital and share consolidation transactions</w:t>
      </w:r>
      <w:r>
        <w:rPr>
          <w:rFonts w:ascii="Clario;sans-serif" w:hAnsi="Clario;sans-serif"/>
          <w:color w:val="404040"/>
          <w:sz w:val="18"/>
        </w:rPr>
        <w:t xml:space="preserve"> </w:t>
      </w:r>
    </w:p>
    <w:p>
      <w:pPr>
        <w:pStyle w:val="TextBody"/>
        <w:bidi w:val="0"/>
        <w:jc w:val="left"/>
        <w:rPr>
          <w:rFonts w:ascii="Clario;sans-serif" w:hAnsi="Clario;sans-serif"/>
          <w:color w:val="404040"/>
          <w:sz w:val="18"/>
        </w:rPr>
      </w:pPr>
      <w:r>
        <w:rPr>
          <w:rFonts w:ascii="Clario;sans-serif" w:hAnsi="Clario;sans-serif"/>
          <w:color w:val="404040"/>
          <w:sz w:val="18"/>
        </w:rPr>
        <w:t xml:space="preserve">On May 4, 2026, the Company returned $605 million to its shareholders and reduced its common shares outstanding by approximately 6.5 million shares through return of capital and share consolidation transactions, which was derived from the May 2024 sales of LSEG shares. The transactions consisted of a special cash distribution of $1.435518 per participating common share and a share consolidation, or “reverse stock split”, which reduced the number of outstanding common shares at a ratio of 1 pre-consolidated share for 0.984560 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the Company's common shares on the Nasdaq for the five-trading day period immediately preceding the May 4, 2026 effective date. Woodbridge, the Company's principal shareholder, participated in this transaction. </w:t>
      </w:r>
    </w:p>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Note 16: Supplemental Cash Flow Information</w:t>
      </w:r>
    </w:p>
    <w:p>
      <w:pPr>
        <w:pStyle w:val="TextBody"/>
        <w:bidi w:val="0"/>
        <w:spacing w:before="100" w:after="283"/>
        <w:jc w:val="left"/>
        <w:rPr>
          <w:rFonts w:ascii="Clario;sans-serif" w:hAnsi="Clario;sans-serif"/>
          <w:sz w:val="18"/>
        </w:rPr>
      </w:pPr>
      <w:r>
        <w:rPr>
          <w:rFonts w:ascii="Clario;sans-serif" w:hAnsi="Clario;sans-serif"/>
          <w:color w:val="404040"/>
          <w:sz w:val="18"/>
        </w:rPr>
        <w:t>Details of “Other” within the net cash provided by operating activities section in the consolidated statement of cash flow are as follows:</w:t>
      </w:r>
      <w:r>
        <w:rPr>
          <w:rFonts w:ascii="Clario;sans-serif" w:hAnsi="Clario;sans-serif"/>
          <w:color w:val="000000"/>
          <w:sz w:val="18"/>
        </w:rPr>
        <w:t xml:space="preserve"> </w:t>
      </w:r>
    </w:p>
    <w:p>
      <w:pPr>
        <w:pStyle w:val="TextBody"/>
        <w:bidi w:val="0"/>
        <w:jc w:val="left"/>
      </w:pPr>
      <w:r>
        <w:t> </w:t>
      </w:r>
    </w:p>
    <w:tbl>
      <w:tblPr>
        <w:tblW w:w="9579" w:type="dxa"/>
        <w:jc w:val="left"/>
        <w:tblInd w:w="0" w:type="dxa"/>
        <w:tblLayout w:type="fixed"/>
        <w:tblCellMar>
          <w:top w:w="28" w:type="dxa"/>
          <w:left w:w="28" w:type="dxa"/>
          <w:bottom w:w="28" w:type="dxa"/>
          <w:right w:w="28" w:type="dxa"/>
        </w:tblCellMar>
      </w:tblPr>
      <w:tblGrid>
        <w:gridCol w:w="4639"/>
        <w:gridCol w:w="200"/>
        <w:gridCol w:w="200"/>
        <w:gridCol w:w="222"/>
        <w:gridCol w:w="895"/>
        <w:gridCol w:w="222"/>
        <w:gridCol w:w="895"/>
        <w:gridCol w:w="146"/>
        <w:gridCol w:w="929"/>
        <w:gridCol w:w="231"/>
        <w:gridCol w:w="1000"/>
      </w:tblGrid>
      <w:tr>
        <w:tc>
          <w:tcPr>
            <w:tcW w:w="46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463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639"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00"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00"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63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Non-cash employee benefit charges</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w:t>
            </w:r>
          </w:p>
        </w:tc>
      </w:tr>
      <w:tr>
        <w:tc>
          <w:tcPr>
            <w:tcW w:w="503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Net (gains) losses on foreign exchange and derivative </w:t>
              <w:br/>
              <w:t>   financial instruments</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r>
      <w:tr>
        <w:tc>
          <w:tcPr>
            <w:tcW w:w="463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adjustments (see note 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r>
      <w:tr>
        <w:tc>
          <w:tcPr>
            <w:tcW w:w="46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r>
      <w:tr>
        <w:tc>
          <w:tcPr>
            <w:tcW w:w="46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w:t>
            </w:r>
          </w:p>
        </w:tc>
        <w:tc>
          <w:tcPr>
            <w:tcW w:w="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r>
    </w:tbl>
    <w:p>
      <w:pPr>
        <w:pStyle w:val="TextBody"/>
        <w:bidi w:val="0"/>
        <w:jc w:val="left"/>
      </w:pPr>
      <w:r>
        <w:t> </w:t>
      </w:r>
    </w:p>
    <w:p>
      <w:pPr>
        <w:pStyle w:val="TextBody"/>
        <w:bidi w:val="0"/>
        <w:jc w:val="left"/>
        <w:rPr>
          <w:rFonts w:ascii="Clario;sans-serif" w:hAnsi="Clario;sans-serif"/>
          <w:sz w:val="18"/>
        </w:rPr>
      </w:pPr>
      <w:r>
        <w:rPr>
          <w:rFonts w:ascii="Clario;sans-serif" w:hAnsi="Clario;sans-serif"/>
          <w:color w:val="404040"/>
          <w:sz w:val="18"/>
        </w:rPr>
        <w:t>Details of “Changes in working capital and other items” within the net cash provided by operating activities section in the consolidated statement of cash flow are as follows:</w:t>
      </w:r>
      <w:r>
        <w:rPr>
          <w:rFonts w:ascii="Clario;sans-serif" w:hAnsi="Clario;sans-serif"/>
          <w:color w:val="000000"/>
          <w:sz w:val="18"/>
        </w:rPr>
        <w:t xml:space="preserve"> </w:t>
      </w:r>
    </w:p>
    <w:p>
      <w:pPr>
        <w:pStyle w:val="TextBody"/>
        <w:bidi w:val="0"/>
        <w:jc w:val="left"/>
      </w:pPr>
      <w:r>
        <w:t> </w:t>
      </w:r>
    </w:p>
    <w:tbl>
      <w:tblPr>
        <w:tblW w:w="8822" w:type="dxa"/>
        <w:jc w:val="left"/>
        <w:tblInd w:w="0" w:type="dxa"/>
        <w:tblLayout w:type="fixed"/>
        <w:tblCellMar>
          <w:top w:w="28" w:type="dxa"/>
          <w:left w:w="28" w:type="dxa"/>
          <w:bottom w:w="28" w:type="dxa"/>
          <w:right w:w="28" w:type="dxa"/>
        </w:tblCellMar>
      </w:tblPr>
      <w:tblGrid>
        <w:gridCol w:w="3991"/>
        <w:gridCol w:w="146"/>
        <w:gridCol w:w="146"/>
        <w:gridCol w:w="222"/>
        <w:gridCol w:w="895"/>
        <w:gridCol w:w="222"/>
        <w:gridCol w:w="895"/>
        <w:gridCol w:w="146"/>
        <w:gridCol w:w="935"/>
        <w:gridCol w:w="221"/>
        <w:gridCol w:w="1003"/>
      </w:tblGrid>
      <w:t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c>
          <w:tcPr>
            <w:tcW w:w="39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5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3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r>
      <w:t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r>
      <w:t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w:t>
            </w:r>
          </w:p>
        </w:tc>
      </w:tr>
      <w:t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r>
      <w:t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w:t>
            </w:r>
          </w:p>
        </w:tc>
      </w:tr>
      <w:t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2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0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r>
      <w:t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(168)</w:t>
            </w:r>
          </w:p>
        </w:tc>
        <w:tc>
          <w:tcPr>
            <w:tcW w:w="2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r>
    </w:tbl>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Details of income taxes (paid) received are as follows:</w:t>
      </w:r>
    </w:p>
    <w:p>
      <w:pPr>
        <w:pStyle w:val="TextBody"/>
        <w:bidi w:val="0"/>
        <w:jc w:val="left"/>
      </w:pPr>
      <w:r>
        <w:t> </w:t>
      </w:r>
    </w:p>
    <w:tbl>
      <w:tblPr>
        <w:tblW w:w="9062" w:type="dxa"/>
        <w:jc w:val="left"/>
        <w:tblInd w:w="0" w:type="dxa"/>
        <w:tblLayout w:type="fixed"/>
        <w:tblCellMar>
          <w:top w:w="28" w:type="dxa"/>
          <w:left w:w="28" w:type="dxa"/>
          <w:bottom w:w="28" w:type="dxa"/>
          <w:right w:w="28" w:type="dxa"/>
        </w:tblCellMar>
      </w:tblPr>
      <w:tblGrid>
        <w:gridCol w:w="4231"/>
        <w:gridCol w:w="146"/>
        <w:gridCol w:w="146"/>
        <w:gridCol w:w="222"/>
        <w:gridCol w:w="895"/>
        <w:gridCol w:w="222"/>
        <w:gridCol w:w="895"/>
        <w:gridCol w:w="146"/>
        <w:gridCol w:w="935"/>
        <w:gridCol w:w="221"/>
        <w:gridCol w:w="1003"/>
      </w:tblGrid>
      <w:t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34"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159"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4231"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2"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935"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21"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pPr>
            <w:r>
              <w:t> </w:t>
            </w:r>
          </w:p>
        </w:tc>
        <w:tc>
          <w:tcPr>
            <w:tcW w:w="100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activities -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(166)</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activities -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r>
      <w:t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Investing activities -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10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income taxes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w:t>
            </w:r>
          </w:p>
        </w:tc>
        <w:tc>
          <w:tcPr>
            <w:tcW w:w="2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8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93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(203)</w:t>
            </w:r>
          </w:p>
        </w:tc>
        <w:tc>
          <w:tcPr>
            <w:tcW w:w="2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(198)</w:t>
            </w:r>
          </w:p>
        </w:tc>
      </w:tr>
    </w:tbl>
    <w:p>
      <w:pPr>
        <w:pStyle w:val="TextBody"/>
        <w:bidi w:val="0"/>
        <w:jc w:val="left"/>
      </w:pPr>
      <w: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63</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b/>
          <w:i/>
          <w:color w:val="404040"/>
          <w:sz w:val="18"/>
        </w:rPr>
      </w:pPr>
      <w:r>
        <w:rPr>
          <w:rFonts w:ascii="Clario;sans-serif" w:hAnsi="Clario;sans-serif"/>
          <w:b/>
          <w:i/>
          <w:color w:val="404040"/>
          <w:sz w:val="18"/>
        </w:rPr>
        <w:t>Note 17: Acquisitions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Acquisitions include the purchase of a controlling or a non-controlling interest in a business. Acquisitions also include asset acquisitions for the purchase of other identifiable intangible assets. Acquisitions where control is acquired are integrated into existing operations of the Company to broaden its offerings to customers as well as its presence in global markets. The results of acquired businesses are included in the consolidated financial statements from the date of acquisition.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Acquisition activity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Acquisition consideration is as follows:</w:t>
      </w:r>
    </w:p>
    <w:p>
      <w:pPr>
        <w:pStyle w:val="TextBody"/>
        <w:bidi w:val="0"/>
        <w:jc w:val="left"/>
      </w:pPr>
      <w:r>
        <w:t> </w:t>
      </w:r>
    </w:p>
    <w:tbl>
      <w:tblPr>
        <w:tblW w:w="8378" w:type="dxa"/>
        <w:jc w:val="left"/>
        <w:tblInd w:w="0" w:type="dxa"/>
        <w:tblLayout w:type="fixed"/>
        <w:tblCellMar>
          <w:top w:w="28" w:type="dxa"/>
          <w:left w:w="28" w:type="dxa"/>
          <w:bottom w:w="28" w:type="dxa"/>
          <w:right w:w="28" w:type="dxa"/>
        </w:tblCellMar>
      </w:tblPr>
      <w:tblGrid>
        <w:gridCol w:w="3691"/>
        <w:gridCol w:w="146"/>
        <w:gridCol w:w="994"/>
        <w:gridCol w:w="247"/>
        <w:gridCol w:w="994"/>
        <w:gridCol w:w="146"/>
        <w:gridCol w:w="929"/>
        <w:gridCol w:w="231"/>
        <w:gridCol w:w="1000"/>
      </w:tblGrid>
      <w:t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5"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pPr>
            <w:r>
              <w:t> </w:t>
            </w:r>
          </w:p>
        </w:tc>
        <w:tc>
          <w:tcPr>
            <w:tcW w:w="2160" w:type="dxa"/>
            <w:gridSpan w:val="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Nine months ended</w:t>
              <w:br/>
              <w:t>September 30,</w:t>
            </w:r>
          </w:p>
        </w:tc>
      </w:tr>
      <w:tr>
        <w:tc>
          <w:tcPr>
            <w:tcW w:w="36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47"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9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9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31" w:type="dxa"/>
            <w:tcBorders/>
            <w:shd w:fill="666666" w:val="clear"/>
            <w:tcMar>
              <w:top w:w="0" w:type="dxa"/>
              <w:left w:w="0" w:type="dxa"/>
              <w:bottom w:w="0" w:type="dxa"/>
              <w:right w:w="0" w:type="dxa"/>
            </w:tcMar>
            <w:vAlign w:val="center"/>
          </w:tcPr>
          <w:p>
            <w:pPr>
              <w:pStyle w:val="TableContents"/>
              <w:bidi w:val="0"/>
              <w:spacing w:before="0" w:after="283"/>
              <w:jc w:val="right"/>
            </w:pPr>
            <w:r>
              <w:t> </w:t>
            </w:r>
          </w:p>
        </w:tc>
        <w:tc>
          <w:tcPr>
            <w:tcW w:w="10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741</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3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Deferred and contingent consideration </w:t>
              <w:br/>
              <w:t>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r>
      <w:tr>
        <w:tc>
          <w:tcPr>
            <w:tcW w:w="3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261</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823</w:t>
            </w:r>
          </w:p>
        </w:tc>
      </w:tr>
    </w:tbl>
    <w:p>
      <w:pPr>
        <w:pStyle w:val="TextBody"/>
        <w:bidi w:val="0"/>
        <w:jc w:val="left"/>
      </w:pPr>
      <w:r>
        <w:t> </w:t>
      </w:r>
    </w:p>
    <w:p>
      <w:pPr>
        <w:pStyle w:val="TextBody"/>
        <w:pBdr/>
        <w:bidi w:val="0"/>
        <w:ind w:left="0" w:right="0" w:hanging="36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following provides a brief description of the most significant acquisitions completed in the nine months ended September 30, 2026 and 2025:</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238"/>
        <w:gridCol w:w="1462"/>
        <w:gridCol w:w="1787"/>
        <w:gridCol w:w="5718"/>
      </w:tblGrid>
      <w:tr>
        <w:tc>
          <w:tcPr>
            <w:tcW w:w="123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718" w:type="dxa"/>
            <w:tcBorders/>
            <w:vAlign w:val="center"/>
          </w:tcPr>
          <w:p>
            <w:pPr>
              <w:pStyle w:val="TableContents"/>
              <w:bidi w:val="0"/>
              <w:spacing w:before="0" w:after="283"/>
              <w:jc w:val="left"/>
              <w:rPr>
                <w:sz w:val="4"/>
                <w:szCs w:val="4"/>
              </w:rPr>
            </w:pPr>
            <w:r>
              <w:rPr>
                <w:sz w:val="4"/>
                <w:szCs w:val="4"/>
              </w:rPr>
            </w:r>
          </w:p>
        </w:tc>
      </w:tr>
      <w:tr>
        <w:tc>
          <w:tcPr>
            <w:tcW w:w="1238"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sz w:val="18"/>
              </w:rPr>
            </w:pPr>
            <w:r>
              <w:rPr>
                <w:rFonts w:ascii="Clario;sans-serif" w:hAnsi="Clario;sans-serif"/>
                <w:b/>
                <w:color w:val="404040"/>
                <w:sz w:val="18"/>
              </w:rPr>
              <w:t>Date</w:t>
            </w:r>
            <w:r>
              <w:rPr>
                <w:rFonts w:ascii="Clario;sans-serif" w:hAnsi="Clario;sans-serif"/>
                <w:color w:val="404040"/>
                <w:sz w:val="18"/>
              </w:rPr>
              <w:t xml:space="preserve"> </w:t>
            </w:r>
          </w:p>
        </w:tc>
        <w:tc>
          <w:tcPr>
            <w:tcW w:w="1462"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Company</w:t>
            </w:r>
          </w:p>
        </w:tc>
        <w:tc>
          <w:tcPr>
            <w:tcW w:w="1787"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Acquiring Segments</w:t>
            </w:r>
          </w:p>
        </w:tc>
        <w:tc>
          <w:tcPr>
            <w:tcW w:w="5718"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Description</w:t>
            </w:r>
          </w:p>
        </w:tc>
      </w:tr>
      <w:tr>
        <w:tc>
          <w:tcPr>
            <w:tcW w:w="123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February 2026</w:t>
            </w:r>
          </w:p>
        </w:tc>
        <w:tc>
          <w:tcPr>
            <w:tcW w:w="1462"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Noetica, Inc.</w:t>
            </w:r>
          </w:p>
        </w:tc>
        <w:tc>
          <w:tcPr>
            <w:tcW w:w="1787"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Legal Professionals</w:t>
            </w:r>
          </w:p>
        </w:tc>
        <w:tc>
          <w:tcPr>
            <w:tcW w:w="571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 New York-based AI-native start-up that transforms transaction-deal data into structured market intelligence for deal professionals. </w:t>
            </w:r>
          </w:p>
        </w:tc>
      </w:tr>
      <w:tr>
        <w:tc>
          <w:tcPr>
            <w:tcW w:w="123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January 2025</w:t>
            </w:r>
          </w:p>
        </w:tc>
        <w:tc>
          <w:tcPr>
            <w:tcW w:w="1462"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cPaperless, LLC ("SafeSend")</w:t>
            </w:r>
          </w:p>
        </w:tc>
        <w:tc>
          <w:tcPr>
            <w:tcW w:w="1787"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Audit &amp; Accounting Professionals</w:t>
            </w:r>
          </w:p>
        </w:tc>
        <w:tc>
          <w:tcPr>
            <w:tcW w:w="571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A U.S. based cloud-native provider of technology for tax and accounting professionals. SafeSend automates the “last-mile” of the tax return, including assembly, review, taxpayer e-signature, and delivery. </w:t>
            </w:r>
          </w:p>
        </w:tc>
      </w:tr>
      <w:tr>
        <w:tc>
          <w:tcPr>
            <w:tcW w:w="123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September 2025</w:t>
            </w:r>
          </w:p>
        </w:tc>
        <w:tc>
          <w:tcPr>
            <w:tcW w:w="1462"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Additive AI, Inc. ("Additive")</w:t>
            </w:r>
          </w:p>
        </w:tc>
        <w:tc>
          <w:tcPr>
            <w:tcW w:w="1787"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Audit &amp; Accounting Professionals</w:t>
            </w:r>
          </w:p>
        </w:tc>
        <w:tc>
          <w:tcPr>
            <w:tcW w:w="5718"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Uses artificial intelligence to automate tax document processing for tax and accounting professionals. Additive's GenAI-native platform ingests and parses complex U.S. federal tax forms, including schedule K-1, during tax preparation.</w:t>
            </w:r>
          </w:p>
        </w:tc>
      </w:tr>
    </w:tbl>
    <w:p>
      <w:pPr>
        <w:pStyle w:val="TextBody"/>
        <w:bidi w:val="0"/>
        <w:jc w:val="left"/>
      </w:pPr>
      <w: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64</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The details of net assets acquired, including purchase price adjustments, are as follows:</w:t>
      </w:r>
    </w:p>
    <w:p>
      <w:pPr>
        <w:pStyle w:val="TextBody"/>
        <w:bidi w:val="0"/>
        <w:jc w:val="left"/>
      </w:pPr>
      <w:r>
        <w:t> </w:t>
      </w:r>
    </w:p>
    <w:tbl>
      <w:tblPr>
        <w:tblW w:w="9362" w:type="dxa"/>
        <w:jc w:val="left"/>
        <w:tblInd w:w="0" w:type="dxa"/>
        <w:tblLayout w:type="fixed"/>
        <w:tblCellMar>
          <w:top w:w="28" w:type="dxa"/>
          <w:left w:w="28" w:type="dxa"/>
          <w:bottom w:w="28" w:type="dxa"/>
          <w:right w:w="28" w:type="dxa"/>
        </w:tblCellMar>
      </w:tblPr>
      <w:tblGrid>
        <w:gridCol w:w="4231"/>
        <w:gridCol w:w="146"/>
        <w:gridCol w:w="256"/>
        <w:gridCol w:w="256"/>
        <w:gridCol w:w="256"/>
        <w:gridCol w:w="256"/>
        <w:gridCol w:w="1090"/>
        <w:gridCol w:w="146"/>
        <w:gridCol w:w="1081"/>
        <w:gridCol w:w="146"/>
        <w:gridCol w:w="691"/>
        <w:gridCol w:w="146"/>
        <w:gridCol w:w="661"/>
      </w:tblGrid>
      <w:t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14"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Nine months ended</w:t>
              <w:br/>
              <w:t>September 30,</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center"/>
            </w:pPr>
            <w:r>
              <w:t> </w:t>
            </w:r>
          </w:p>
        </w:tc>
        <w:tc>
          <w:tcPr>
            <w:tcW w:w="2725"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Nine months ended</w:t>
              <w:br/>
              <w:t>September 30,</w:t>
            </w:r>
          </w:p>
        </w:tc>
      </w:tr>
      <w:tr>
        <w:tc>
          <w:tcPr>
            <w:tcW w:w="423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114" w:type="dxa"/>
            <w:gridSpan w:val="5"/>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pPr>
            <w:r>
              <w:t> </w:t>
            </w:r>
          </w:p>
        </w:tc>
        <w:tc>
          <w:tcPr>
            <w:tcW w:w="2725" w:type="dxa"/>
            <w:gridSpan w:val="5"/>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2025</w:t>
            </w:r>
          </w:p>
        </w:tc>
      </w:tr>
      <w:tr>
        <w:tc>
          <w:tcPr>
            <w:tcW w:w="4633" w:type="dxa"/>
            <w:gridSpan w:val="3"/>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SafeSend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Total</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369</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231" w:type="dxa"/>
            <w:tcBorders>
              <w:bottom w:val="single" w:sz="4" w:space="0" w:color="666666"/>
            </w:tcBorders>
            <w:shd w:fill="CFF0FC" w:val="clear"/>
            <w:tcMar>
              <w:top w:w="0" w:type="dxa"/>
              <w:left w:w="0" w:type="dxa"/>
              <w:right w:w="0" w:type="dxa"/>
            </w:tcMar>
            <w:vAlign w:val="center"/>
          </w:tcPr>
          <w:p>
            <w:pPr>
              <w:pStyle w:val="TableContents"/>
              <w:bidi w:val="0"/>
              <w:spacing w:lineRule="auto" w:line="360" w:before="0" w:after="283"/>
              <w:jc w:val="left"/>
              <w:rPr>
                <w:rFonts w:ascii="Clario;sans-serif" w:hAnsi="Clario;sans-serif"/>
                <w:sz w:val="18"/>
              </w:rPr>
            </w:pPr>
            <w:r>
              <w:rPr>
                <w:rFonts w:ascii="Clario;sans-serif" w:hAnsi="Clario;sans-serif"/>
                <w:color w:val="404040"/>
                <w:sz w:val="18"/>
              </w:rPr>
              <w:t>Deferred revenue</w:t>
            </w:r>
            <w:r>
              <w:rPr>
                <w:rFonts w:ascii="Clario;sans-serif" w:hAnsi="Clario;sans-serif"/>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w:t>
            </w:r>
          </w:p>
        </w:tc>
      </w:tr>
      <w:t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(86)</w:t>
            </w:r>
          </w:p>
        </w:tc>
      </w:tr>
      <w:t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283</w:t>
            </w:r>
          </w:p>
        </w:tc>
      </w:tr>
      <w:t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478</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Fair value of previously held investment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c>
          <w:tcPr>
            <w:tcW w:w="42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761</w:t>
            </w:r>
          </w:p>
        </w:tc>
      </w:tr>
      <w:tr>
        <w:tc>
          <w:tcPr>
            <w:tcW w:w="42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2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pPr>
            <w:r>
              <w:t> </w:t>
            </w:r>
          </w:p>
        </w:tc>
        <w:tc>
          <w:tcPr>
            <w:tcW w:w="10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pPr>
            <w: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741</w:t>
            </w:r>
          </w:p>
        </w:tc>
      </w:tr>
    </w:tbl>
    <w:p>
      <w:pPr>
        <w:pStyle w:val="TextBody"/>
        <w:bidi w:val="0"/>
        <w:jc w:val="left"/>
      </w:pPr>
      <w:r>
        <w:t> </w:t>
      </w:r>
    </w:p>
    <w:p>
      <w:pPr>
        <w:pStyle w:val="TextBody"/>
        <w:bidi w:val="0"/>
        <w:spacing w:before="0" w:after="0"/>
        <w:ind w:left="489" w:right="0" w:hanging="0"/>
        <w:jc w:val="left"/>
        <w:rPr>
          <w:rFonts w:ascii="Clario;sans-serif" w:hAnsi="Clario;sans-serif"/>
          <w:color w:val="404040"/>
          <w:sz w:val="16"/>
        </w:rPr>
      </w:pPr>
      <w:r>
        <w:rPr>
          <w:rFonts w:ascii="Clario;sans-serif" w:hAnsi="Clario;sans-serif"/>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Represents the fair value of deferred revenue, which is computed as the cost of providing services to customers in the post-acquisition period plus a reasonable profit margin. Under IFRS, the acquired deferred revenue is typically lower than the amount the seller recognized.</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 xml:space="preserve">The excess of the purchase price over the net assets acquired was recorded as goodwill and reflects synergies and the value of the acquired workforce. Relative to the acquisitions completed in the nine months ended September 30, 2026 and 2025, the majority of goodwill is not expected to be deductible for tax purposes.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Purchase price allocation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Purchase price allocations related to certain acquisitions may be subject to adjustment pending completion of final valuations.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Other</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revenues and operating profit of acquired businesses were not material to the Company’s results of operations. </w:t>
      </w:r>
    </w:p>
    <w:p>
      <w:pPr>
        <w:pStyle w:val="TextBody"/>
        <w:bidi w:val="0"/>
        <w:spacing w:before="100" w:after="283"/>
        <w:jc w:val="left"/>
        <w:rPr>
          <w:rFonts w:ascii="Clario;sans-serif" w:hAnsi="Clario;sans-serif"/>
          <w:sz w:val="18"/>
        </w:rPr>
      </w:pPr>
      <w:r>
        <w:rPr>
          <w:rFonts w:ascii="Clario;sans-serif" w:hAnsi="Clario;sans-serif"/>
          <w:b/>
          <w:i/>
          <w:color w:val="404040"/>
          <w:sz w:val="18"/>
        </w:rPr>
        <w:t>Note 18: Contingencies</w:t>
      </w:r>
      <w:r>
        <w:rPr>
          <w:rFonts w:ascii="Clario;sans-serif" w:hAnsi="Clario;sans-serif"/>
          <w:color w:val="404040"/>
          <w:sz w:val="18"/>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Lawsuits and legal claims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Company is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the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Uncertain tax positions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65</w:t>
      </w:r>
    </w:p>
    <w:p>
      <w:pPr>
        <w:pStyle w:val="HorizontalLine"/>
        <w:pBdr>
          <w:bottom w:val="double" w:sz="2" w:space="0" w:color="808080"/>
        </w:pBdr>
        <w:bidi w:val="0"/>
        <w:spacing w:before="0" w:after="283"/>
        <w:jc w:val="left"/>
      </w:pPr>
      <w:r/>
    </w:p>
    <w:p>
      <w:pPr>
        <w:pStyle w:val="TextBody"/>
        <w:bidi w:val="0"/>
        <w:ind w:left="0" w:right="0" w:hanging="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Prior to December 31, 2023, the Company paid $430 million of tax as required under notices of assessment issued by the U.K. tax authority, HM Revenue &amp; Customs (“HMRC”), under the Diverted Profits Tax (“DPT”) regime that collectively related to the 2015, 2016, 2017 and 2018 taxation years of certain of its current and former U.K. affiliates. The Company does not believe these current and former U.K. affiliates fall within the scope of the DPT regime. Because the Company believes its position is supported by the weight of law, it intends to vigorously defend its position and will continue contesting these assessments through all available administrative and judicial remedies. As the assessments largely relate to businesses that the Company has sold, the majority are subject to indemnity arrangements under which the Company has been required to pay additional taxes to HMRC or the indemnity counterparty. Payments made by the Company are not a reflection of its view on the merits of the case. As the Company expects to receive refunds of substantially all of the amounts paid pursuant to these notices of assessment, it has recorded substantially all of these payments as non-current receivables from HMRC or the indemnity counterparty, in its financial statements.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pStyle w:val="TextBody"/>
        <w:bidi w:val="0"/>
        <w:jc w:val="left"/>
      </w:pPr>
      <w:r>
        <w:t> </w:t>
      </w:r>
    </w:p>
    <w:p>
      <w:pPr>
        <w:pStyle w:val="TextBody"/>
        <w:bidi w:val="0"/>
        <w:jc w:val="left"/>
        <w:rPr>
          <w:rFonts w:ascii="Clario;sans-serif" w:hAnsi="Clario;sans-serif"/>
          <w:b/>
          <w:color w:val="404040"/>
          <w:sz w:val="18"/>
        </w:rPr>
      </w:pPr>
      <w:r>
        <w:rPr>
          <w:rFonts w:ascii="Clario;sans-serif" w:hAnsi="Clario;sans-serif"/>
          <w:b/>
          <w:color w:val="404040"/>
          <w:sz w:val="18"/>
        </w:rPr>
        <w:t>Guarantees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has an investment in 3 Times Square Associates LLC (“3XSQ Associates”), an entity jointly owned by a subsidiary of the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 and reduced the facility to $385 million from $415 million. The facility was obtained in 2022 to refinance existing debt, fund the building’s redevelopment, and cover interest and operating costs during the redevelopment period. The building is pledged as loan collateral. Thomson Reuters and Rudin each guarantee 50% of (i) certain principal loan amounts and (ii) interest and operating costs. Thomson Reuters and Rudin also jointly and severally guarantee (i) 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 billion syndicated credit facility or the related covenant calculation.</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19: Related Party Transactions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As of September 30, 2026, the Company’s principal shareholder, Woodbridge (together with its affiliates), beneficially owned approximately 71% of the Company’s common shares.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nine months ended September 30, 2026, the Company contributed $7 million in cash to 3XSQ Associates pursuant to a capital call.</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Except for the above transaction, there were no new significant related party transactions during the first nine months of 2026. Refer to “Related Party Transactions” disclosed in note 32 of the Company’s consolidated financial statements for the year ended December 31, 2025, which are included in the Company’s 2025 annual report, for information regarding related party transactions.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20: Subsequent Events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Global Print Transaction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On October 1, 2026, the Company closed the sale of a 51% stake in its Global Print business to capital accounts advised by KKR and retained a 49% equity interest. The Company received approximately $500 million in gross proceeds at closing and expects to record a pre-tax gain on the transaction in the fourth quarter of 2026. In connection with this transaction, the Company entered into a joint venture with KKR to operate the Global Print business, now operating as Westbridge Print (see note 9).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maintains intellectual property rights and full editorial control over its content portfolio. This joint venture holds an exclusive license to distribute the content in print and on ProView, the e-book platform, and will pay the Company a royalty equal to 20% of its Professional revenues (approximately 85% – 90% of Westbridge Print’s total revenues) for an initial period of 10 years. Westbridge Print has also entered into a multi-year agreement with the Company under which it will reimburse the Company for certain services including technology, operations and administrative services provided during its transition to standalone operations.</w:t>
      </w:r>
    </w:p>
    <w:p>
      <w:pPr>
        <w:pStyle w:val="TextBody"/>
        <w:bidi w:val="0"/>
        <w:jc w:val="left"/>
      </w:pPr>
      <w:r>
        <w:t> </w:t>
      </w:r>
    </w:p>
    <w:p>
      <w:pPr>
        <w:pStyle w:val="TextBody"/>
        <w:bidi w:val="0"/>
        <w:jc w:val="left"/>
        <w:rPr>
          <w:rFonts w:ascii="Clario;sans-serif" w:hAnsi="Clario;sans-serif"/>
          <w:color w:val="404040"/>
          <w:sz w:val="18"/>
        </w:rPr>
      </w:pPr>
      <w:r>
        <w:rPr>
          <w:rFonts w:ascii="Clario;sans-serif" w:hAnsi="Clario;sans-serif"/>
          <w:color w:val="404040"/>
          <w:sz w:val="18"/>
        </w:rPr>
        <w:t>As part of the transaction, the Company has agreed to provide certain financial support designed to give KKR a minimum</w:t>
      </w:r>
    </w:p>
    <w:p>
      <w:pPr>
        <w:pStyle w:val="TextBody"/>
        <w:bidi w:val="0"/>
        <w:jc w:val="left"/>
        <w:rPr>
          <w:rFonts w:ascii="Clario;sans-serif" w:hAnsi="Clario;sans-serif"/>
          <w:color w:val="404040"/>
          <w:sz w:val="18"/>
        </w:rPr>
      </w:pPr>
      <w:r>
        <w:rPr>
          <w:rFonts w:ascii="Clario;sans-serif" w:hAnsi="Clario;sans-serif"/>
          <w:color w:val="404040"/>
          <w:sz w:val="18"/>
        </w:rPr>
        <w:t>return on its equity investment in the joint venture under certain circumstances.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66</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7" w:name="tri-ex99_3.htm"/>
      <w:bookmarkStart w:id="8" w:name="kstriex99_3"/>
      <w:bookmarkEnd w:id="7"/>
      <w:bookmarkEnd w:id="8"/>
      <w:r>
        <w:rPr>
          <w:rFonts w:ascii="Times New Roman" w:hAnsi="Times New Roman"/>
          <w:b/>
          <w:color w:val="000000"/>
          <w:sz w:val="20"/>
        </w:rPr>
        <w:t>EXHIBIT 99.3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 Hasker,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2026</w:t>
      </w:r>
    </w:p>
    <w:p>
      <w:pPr>
        <w:pStyle w:val="TextBody"/>
        <w:bidi w:val="0"/>
        <w:jc w:val="left"/>
      </w:pPr>
      <w:r>
        <w:t> </w:t>
      </w:r>
    </w:p>
    <w:tbl>
      <w:tblPr>
        <w:tblW w:w="3518" w:type="dxa"/>
        <w:jc w:val="left"/>
        <w:tblInd w:w="0" w:type="dxa"/>
        <w:tblLayout w:type="fixed"/>
        <w:tblCellMar>
          <w:top w:w="28" w:type="dxa"/>
          <w:left w:w="28" w:type="dxa"/>
          <w:bottom w:w="28" w:type="dxa"/>
          <w:right w:w="28" w:type="dxa"/>
        </w:tblCellMar>
      </w:tblPr>
      <w:tblGrid>
        <w:gridCol w:w="161"/>
        <w:gridCol w:w="146"/>
        <w:gridCol w:w="3211"/>
      </w:tblGrid>
      <w:t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Steve Hasker </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20"/>
        </w:rPr>
      </w:pPr>
      <w:bookmarkStart w:id="9" w:name="tri-ex99_4.htm"/>
      <w:bookmarkStart w:id="10" w:name="kstriex99_4"/>
      <w:bookmarkEnd w:id="9"/>
      <w:bookmarkEnd w:id="10"/>
      <w:r>
        <w:rPr>
          <w:rFonts w:ascii="Times New Roman" w:hAnsi="Times New Roman"/>
          <w:b/>
          <w:color w:val="000000"/>
          <w:sz w:val="20"/>
        </w:rPr>
        <w:t>EXHIBIT 99.4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Gary E. Bischoping, Jr.,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2026</w:t>
      </w:r>
    </w:p>
    <w:p>
      <w:pPr>
        <w:pStyle w:val="TextBody"/>
        <w:bidi w:val="0"/>
        <w:jc w:val="left"/>
      </w:pPr>
      <w:r>
        <w:t> </w:t>
      </w:r>
    </w:p>
    <w:tbl>
      <w:tblPr>
        <w:tblW w:w="2558" w:type="dxa"/>
        <w:jc w:val="left"/>
        <w:tblInd w:w="0" w:type="dxa"/>
        <w:tblLayout w:type="fixed"/>
        <w:tblCellMar>
          <w:top w:w="28" w:type="dxa"/>
          <w:left w:w="28" w:type="dxa"/>
          <w:bottom w:w="28" w:type="dxa"/>
          <w:right w:w="28" w:type="dxa"/>
        </w:tblCellMar>
      </w:tblPr>
      <w:tblGrid>
        <w:gridCol w:w="161"/>
        <w:gridCol w:w="146"/>
        <w:gridCol w:w="2251"/>
      </w:tblGrid>
      <w:t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E. Bischoping, Jr.</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E. Bischoping, Jr.</w:t>
            </w:r>
          </w:p>
        </w:tc>
      </w:tr>
      <w:tr>
        <w:tc>
          <w:tcPr>
            <w:tcW w:w="161" w:type="dxa"/>
            <w:tcBorders/>
            <w:tcMar>
              <w:top w:w="0" w:type="dxa"/>
              <w:left w:w="0" w:type="dxa"/>
              <w:bottom w:w="0" w:type="dxa"/>
              <w:right w:w="0" w:type="dxa"/>
            </w:tcMar>
            <w:vAlign w:val="center"/>
          </w:tcPr>
          <w:p>
            <w:pPr>
              <w:pStyle w:val="TableContents"/>
              <w:bidi w:val="0"/>
              <w:spacing w:before="0" w:after="283"/>
              <w:jc w:val="left"/>
            </w:pPr>
            <w:r>
              <w:t> </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22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18"/>
        </w:rPr>
      </w:pPr>
      <w:bookmarkStart w:id="11" w:name="tri-ex99_5.htm"/>
      <w:bookmarkStart w:id="12" w:name="kstriex99_5"/>
      <w:bookmarkEnd w:id="11"/>
      <w:bookmarkEnd w:id="12"/>
      <w:r>
        <w:rPr>
          <w:rFonts w:ascii="Times New Roman" w:hAnsi="Times New Roman"/>
          <w:b/>
          <w:color w:val="000000"/>
          <w:sz w:val="18"/>
        </w:rPr>
        <w:t>EXHIBIT 99.5</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September 30, 2026, as furnished to the Securities and Exchange Commission on the date hereof (the “Report”), I, Steve Hasker, President and Chief Executive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November 4, 2026</w:t>
      </w:r>
    </w:p>
    <w:p>
      <w:pPr>
        <w:pStyle w:val="TextBody"/>
        <w:bidi w:val="0"/>
        <w:jc w:val="left"/>
      </w:pPr>
      <w:r>
        <w:t> </w:t>
      </w:r>
    </w:p>
    <w:tbl>
      <w:tblPr>
        <w:tblW w:w="3372" w:type="dxa"/>
        <w:jc w:val="left"/>
        <w:tblInd w:w="0" w:type="dxa"/>
        <w:tblLayout w:type="fixed"/>
        <w:tblCellMar>
          <w:top w:w="28" w:type="dxa"/>
          <w:left w:w="28" w:type="dxa"/>
          <w:bottom w:w="28" w:type="dxa"/>
          <w:right w:w="28" w:type="dxa"/>
        </w:tblCellMar>
      </w:tblPr>
      <w:tblGrid>
        <w:gridCol w:w="3181"/>
        <w:gridCol w:w="191"/>
      </w:tblGrid>
      <w:tr>
        <w:tc>
          <w:tcPr>
            <w:tcW w:w="3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 Hasker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r>
      <w:t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b/>
          <w:color w:val="000000"/>
          <w:sz w:val="18"/>
        </w:rPr>
      </w:pPr>
      <w:bookmarkStart w:id="13" w:name="tri-ex99_6.htm"/>
      <w:bookmarkStart w:id="14" w:name="kstriex99_6"/>
      <w:bookmarkEnd w:id="13"/>
      <w:bookmarkEnd w:id="14"/>
      <w:r>
        <w:rPr>
          <w:rFonts w:ascii="Times New Roman" w:hAnsi="Times New Roman"/>
          <w:b/>
          <w:color w:val="000000"/>
          <w:sz w:val="18"/>
        </w:rPr>
        <w:t>EXHIBIT 99.6</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September 30, 2026, as furnished to the Securities and Exchange Commission on the date hereof (the “Report”), I, Gary E. Bischoping, Jr., Chief Financial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November 4, 2026</w:t>
      </w:r>
    </w:p>
    <w:p>
      <w:pPr>
        <w:pStyle w:val="TextBody"/>
        <w:bidi w:val="0"/>
        <w:jc w:val="left"/>
      </w:pPr>
      <w:r>
        <w:t> </w:t>
      </w:r>
    </w:p>
    <w:tbl>
      <w:tblPr>
        <w:tblW w:w="2412" w:type="dxa"/>
        <w:jc w:val="left"/>
        <w:tblInd w:w="0" w:type="dxa"/>
        <w:tblLayout w:type="fixed"/>
        <w:tblCellMar>
          <w:top w:w="28" w:type="dxa"/>
          <w:left w:w="28" w:type="dxa"/>
          <w:bottom w:w="28" w:type="dxa"/>
          <w:right w:w="28" w:type="dxa"/>
        </w:tblCellMar>
      </w:tblPr>
      <w:tblGrid>
        <w:gridCol w:w="2221"/>
        <w:gridCol w:w="191"/>
      </w:tblGrid>
      <w:tr>
        <w:tc>
          <w:tcPr>
            <w:tcW w:w="22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2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E. Bischoping, Jr.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pPr>
            <w:r>
              <w:t> </w:t>
            </w:r>
          </w:p>
        </w:tc>
      </w:tr>
      <w:t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Gary E. Bischoping, Jr. </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lario">
    <w:altName w:val="sans-serif"/>
    <w:charset w:val="01"/>
    <w:family w:val="auto"/>
    <w:pitch w:val="default"/>
  </w:font>
  <w:font w:name="Times New Roman">
    <w:charset w:val="01"/>
    <w:family w:val="auto"/>
    <w:pitch w:val="default"/>
  </w:font>
  <w:font w:name="Symbol">
    <w:altName w:val="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2.jpeg"/><Relationship Id="rId135" Type="http://schemas.openxmlformats.org/officeDocument/2006/relationships/image" Target="media/image3.jpeg"/><Relationship Id="rId136" Type="http://schemas.openxmlformats.org/officeDocument/2006/relationships/image" Target="media/image4.jpeg"/><Relationship Id="rId137" Type="http://schemas.openxmlformats.org/officeDocument/2006/relationships/image" Target="media/image5.jpeg"/><Relationship Id="rId138" Type="http://schemas.openxmlformats.org/officeDocument/2006/relationships/image" Target="media/image6.jpeg"/><Relationship Id="rId139" Type="http://schemas.openxmlformats.org/officeDocument/2006/relationships/image" Target="media/image7.jpeg"/><Relationship Id="rId140" Type="http://schemas.openxmlformats.org/officeDocument/2006/relationships/fontTable" Target="fontTable.xml"/><Relationship Id="rId1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35660</Words>
  <Characters>194492</Characters>
  <CharactersWithSpaces>230766</CharactersWithSpaces>
  <Paragraphs>13975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