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249555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For the month of April 2026</w:t>
      </w:r>
    </w:p>
    <w:p>
      <w:pPr>
        <w:spacing w:after="0" w:line="23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Commission File Number: 001-31349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5"/>
          <w:szCs w:val="35"/>
          <w:b w:val="1"/>
          <w:bCs w:val="1"/>
          <w:color w:val="auto"/>
        </w:rPr>
        <w:t>THOMSON REUTERS CORPORATION</w:t>
      </w:r>
    </w:p>
    <w:p>
      <w:pPr>
        <w:spacing w:after="0" w:line="6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19 Duncan Street</w:t>
      </w:r>
    </w:p>
    <w:p>
      <w:pPr>
        <w:spacing w:after="0" w:line="2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Toronto, Ontario M5H 3H1, Canada</w:t>
      </w:r>
    </w:p>
    <w:p>
      <w:pPr>
        <w:spacing w:after="0" w:line="1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99" w:lineRule="exact"/>
        <w:rPr>
          <w:sz w:val="24"/>
          <w:szCs w:val="24"/>
          <w:color w:val="auto"/>
        </w:rPr>
      </w:pPr>
    </w:p>
    <w:p>
      <w:pPr>
        <w:ind w:left="442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ectPr>
          <w:pgSz w:w="11900" w:h="16838" w:orient="portrait"/>
          <w:cols w:equalWidth="0" w:num="1">
            <w:col w:w="10019"/>
          </w:cols>
          <w:pgMar w:left="440" w:top="394"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31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20"/>
          <w:szCs w:val="20"/>
          <w:color w:val="auto"/>
        </w:rPr>
        <w:t>By: </w:t>
        <w:tab/>
        <w:t xml:space="preserve">/s/ Jennifer Ruddick 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-10795</wp:posOffset>
            </wp:positionV>
            <wp:extent cx="1703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0"/>
          <w:szCs w:val="20"/>
          <w:color w:val="auto"/>
        </w:rPr>
        <w:t>Name:  Jennifer Ruddick</w:t>
      </w:r>
    </w:p>
    <w:p>
      <w:pPr>
        <w:ind w:left="7200"/>
        <w:spacing w:after="0"/>
        <w:tabs>
          <w:tab w:leader="none" w:pos="7840" w:val="left"/>
        </w:tabs>
        <w:rPr>
          <w:sz w:val="20"/>
          <w:szCs w:val="20"/>
          <w:color w:val="auto"/>
        </w:rPr>
      </w:pPr>
      <w:r>
        <w:rPr>
          <w:rFonts w:ascii="Times New Roman" w:cs="Times New Roman" w:eastAsia="Times New Roman" w:hAnsi="Times New Roman"/>
          <w:sz w:val="20"/>
          <w:szCs w:val="20"/>
          <w:color w:val="auto"/>
        </w:rPr>
        <w:t>Title:</w:t>
        <w:tab/>
        <w:t>Deputy Company Secretary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ectPr>
          <w:pgSz w:w="11900" w:h="16838" w:orient="portrait"/>
          <w:cols w:equalWidth="0" w:num="1">
            <w:col w:w="10260"/>
          </w:cols>
          <w:pgMar w:left="440" w:top="266"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8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20" w:type="dxa"/>
            <w:vAlign w:val="bottom"/>
          </w:tcPr>
          <w:p>
            <w:pPr>
              <w:spacing w:after="0"/>
              <w:rPr>
                <w:sz w:val="24"/>
                <w:szCs w:val="24"/>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020" w:type="dxa"/>
            <w:vAlign w:val="bottom"/>
          </w:tcPr>
          <w:p>
            <w:pPr>
              <w:spacing w:after="0"/>
              <w:rPr>
                <w:sz w:val="22"/>
                <w:szCs w:val="22"/>
                <w:color w:val="auto"/>
              </w:rPr>
            </w:pPr>
          </w:p>
        </w:tc>
        <w:tc>
          <w:tcPr>
            <w:tcW w:w="8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News release dated April 28, 2026 – Thomson Reuters Announces Voting Results of Return of Capital and Share Consolidation</w:t>
            </w:r>
          </w:p>
        </w:tc>
      </w:tr>
      <w:tr>
        <w:trPr>
          <w:trHeight w:val="183"/>
        </w:trPr>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Transactions</w:t>
            </w: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1020" w:type="dxa"/>
            <w:vAlign w:val="bottom"/>
          </w:tcPr>
          <w:p>
            <w:pPr>
              <w:spacing w:after="0"/>
              <w:rPr>
                <w:sz w:val="24"/>
                <w:szCs w:val="24"/>
                <w:color w:val="auto"/>
              </w:rPr>
            </w:pPr>
          </w:p>
        </w:tc>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Report of Voting Results</w:t>
            </w: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300"/>
          </w:cols>
          <w:pgMar w:left="440" w:top="266" w:right="11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3157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1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Thomson Reuters Announces Voting Results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Return of Capital and Share Consolidation Transactions</w:t>
      </w:r>
    </w:p>
    <w:p>
      <w:pPr>
        <w:spacing w:after="0" w:line="20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April 28, 2026 – </w:t>
      </w:r>
      <w:r>
        <w:rPr>
          <w:rFonts w:ascii="Times New Roman" w:cs="Times New Roman" w:eastAsia="Times New Roman" w:hAnsi="Times New Roman"/>
          <w:sz w:val="18"/>
          <w:szCs w:val="18"/>
          <w:color w:val="auto"/>
        </w:rPr>
        <w:t>Thomson Reuters (TSX/Nasdaq: TRI) today announced the voting results for its proposed return of capital and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transactions at its special meeting of shareholders held in-person today.</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Shareholders approved a plan of arrangement to implement the company’s proposed return of capital and share consolidation transactions. A final report on voting results will be filed by the company with the Canadian securities regulatory authorities and furnished to the U.S. Securities and Exchange Commission. As described in the company’s management proxy circular dated March 13, 2026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the return of capital and share consolidation transactions consist of a special cash distribution of US$605 million in the aggregate, or approximately US$1.36 per common share (estimated based on the number of common shares issued and outstanding as of the record date for the special meeting and assuming no shareholders opt-out of the return of capital), and a consolidation of the company’s outstanding common shares (or “reverse stock split”) on a basis that is proportional to the special cash distribution.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Timeline/Next Steps</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plan of arrangement for the return of capital and share consolidation transactions is subject to final approval by the Ontario Superior Court of Justice as well as the Toronto Stock Exchange (TSX) and the Nasdaq. The Court hearing for a final order to approve the plan of arrangement is scheduled to take place on April 29,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those final approvals are received:</w:t>
      </w:r>
    </w:p>
    <w:p>
      <w:pPr>
        <w:spacing w:after="0" w:line="131" w:lineRule="exact"/>
        <w:rPr>
          <w:sz w:val="20"/>
          <w:szCs w:val="20"/>
          <w:color w:val="auto"/>
        </w:rPr>
      </w:pPr>
    </w:p>
    <w:p>
      <w:pPr>
        <w:ind w:left="960" w:right="3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will determine the actual cash distribution per share and the share consolidation ratio after 4:00pm (Toronto time) on May 1, 2026 based on the number of participating shares, and will issue a news release later that day with applicable information to shareholders;</w:t>
      </w:r>
    </w:p>
    <w:p>
      <w:pPr>
        <w:spacing w:after="0" w:line="81"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will become effective at 3:01 a.m. (Toronto time) on May 4, 2026, and the post-consolidation shares are expected to begin trading on the TSX and Nasdaq under a new CUSIP when markets open that day;</w:t>
      </w:r>
    </w:p>
    <w:p>
      <w:pPr>
        <w:spacing w:after="0" w:line="67" w:lineRule="exact"/>
        <w:rPr>
          <w:rFonts w:ascii="Times New Roman" w:cs="Times New Roman" w:eastAsia="Times New Roman" w:hAnsi="Times New Roman"/>
          <w:sz w:val="18"/>
          <w:szCs w:val="18"/>
          <w:color w:val="auto"/>
        </w:rPr>
      </w:pPr>
    </w:p>
    <w:p>
      <w:pPr>
        <w:ind w:left="960" w:right="400" w:hanging="424"/>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transactions are effective, the company’s depositary for the transactions (Computershare Investor Services Inc.) will deliver cash distribution amounts to registered participating shareholders, subject to the terms and conditions of the transactions. The effects of the share consolidation will be reflected in the company’s share register. Beneficial or non-registered shareholders participating in the return of capital will receive cash distributions from their intermediary and the effects of the share consolidation will be recorded in their accounts; and</w:t>
      </w:r>
    </w:p>
    <w:p>
      <w:pPr>
        <w:spacing w:after="0" w:line="88" w:lineRule="exact"/>
        <w:rPr>
          <w:rFonts w:ascii="Times New Roman" w:cs="Times New Roman" w:eastAsia="Times New Roman" w:hAnsi="Times New Roman"/>
          <w:sz w:val="18"/>
          <w:szCs w:val="18"/>
          <w:color w:val="auto"/>
        </w:rPr>
      </w:pPr>
    </w:p>
    <w:p>
      <w:pPr>
        <w:ind w:left="960" w:right="20" w:hanging="424"/>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shareholders who duly exercised their right to opt out of the return of capital will not receive the cash distribution. Each opting-out shareholder will still participate in the transactions through a share exchange and the share consolidation but will continue to hold the same number of shares that it currently holds. Such opting-out shareholders will realize a proportionate increase in their equity and voting interests in the company by virtue of the consolidation of the participating shares under the share consolidation. The opt-out deadline for registered shareholders passed yesterday.</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of 2</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details of the proposed return of capital and share consolidation transactions are described in the Circular and related materials, which are available on www.thomsonreuters.com/2026specialmeeting. The return of capital and share consolidation documents were previously filed with the Canadian securities regulatory authorities on SEDAR+ and are available at www.sedarplus.ca. The documents were also furnished to the U.S. Securities and Exchange Commission through EDGAR and are available at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Thomson Reuters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the world’s leading provider of trusted journalism and news. For more information, visit thomsonreuters.com.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Certain statements in this news release are forward-looking within the meaning of applicable Canadian and U.S. securities laws, including the Private Securities Litigation Reform Act of 1995, including statements relating to the completion of the return of capital and share consolidation transactions. These forward-looking statements are based on certain assumptions, including shareholder approval of the transactions, and reflect our company’s current expectations. As a result, forward-looking statements are subject to a number of risks and uncertainties that could cause actual results or events to differ materially from current expectations, including the risk factors discussed in materials that Thomson Reuters from time to time files with, or furnishes to, the Canadian securities regulatory authorities and the U.S. Securities and Exchange Commission. There is no assurance that the return of capital and share consolidation transactions will be completed or that other events described in any forward-looking statement will materialize. Except as may be required by applicable law, Thomson Reuters disclaims any obligation to update or revise any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Zoe Zanettos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+1 647 202 8948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zoe.zanettos@thomsonreuters.com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E. Bisbee,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+1 646 540 3249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gary.bisbee@thomsonreuters.com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6075045</wp:posOffset>
            </wp:positionH>
            <wp:positionV relativeFrom="paragraph">
              <wp:posOffset>177165</wp:posOffset>
            </wp:positionV>
            <wp:extent cx="91757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7575" cy="31686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315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1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Voting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Special Meeting of Shareholders</w:t>
      </w: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April 28, 2026 – </w:t>
      </w:r>
      <w:r>
        <w:rPr>
          <w:rFonts w:ascii="Times New Roman" w:cs="Times New Roman" w:eastAsia="Times New Roman" w:hAnsi="Times New Roman"/>
          <w:sz w:val="18"/>
          <w:szCs w:val="18"/>
          <w:color w:val="auto"/>
        </w:rPr>
        <w:t>Thomson Reuters Corporation (“</w:t>
      </w:r>
      <w:r>
        <w:rPr>
          <w:rFonts w:ascii="Times New Roman" w:cs="Times New Roman" w:eastAsia="Times New Roman" w:hAnsi="Times New Roman"/>
          <w:sz w:val="18"/>
          <w:szCs w:val="18"/>
          <w:b w:val="1"/>
          <w:bCs w:val="1"/>
          <w:i w:val="1"/>
          <w:iCs w:val="1"/>
          <w:color w:val="auto"/>
        </w:rPr>
        <w:t>Thomson Reuters</w:t>
      </w:r>
      <w:r>
        <w:rPr>
          <w:rFonts w:ascii="Times New Roman" w:cs="Times New Roman" w:eastAsia="Times New Roman" w:hAnsi="Times New Roman"/>
          <w:sz w:val="18"/>
          <w:szCs w:val="18"/>
          <w:color w:val="auto"/>
        </w:rPr>
        <w:t>”) today announced the voting results for a plan of arrangement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 the company’s proposed return of capital and share consolidation transactions at its special meeting of shareholders held in-person today. The return of capital and share consolidation transactions are described in greater detail in the management proxy circular dated March 13, 2026. The votes were conducted by ballot.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Plan of Arrangement</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 special resolution approving the plan of arrangement under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under which Thomson Reuters will (i) make a special cash distribution of US$605 million in the aggregate, and (ii) consolidate its outstanding common shares (or “reverse stock split”) on a basis that is proportional to the special cash distribution, all as more particularly described in the management proxy circular, was approved.</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184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840" w:type="dxa"/>
            <w:vAlign w:val="bottom"/>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 Votes For</w:t>
            </w:r>
          </w:p>
        </w:tc>
        <w:tc>
          <w:tcPr>
            <w:tcW w:w="2260" w:type="dxa"/>
            <w:vAlign w:val="bottom"/>
            <w:gridSpan w:val="2"/>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540" w:type="dxa"/>
            <w:vAlign w:val="bottom"/>
            <w:gridSpan w:val="2"/>
          </w:tcPr>
          <w:p>
            <w:pPr>
              <w:jc w:val="center"/>
              <w:ind w:left="1428"/>
              <w:spacing w:after="0"/>
              <w:rPr>
                <w:sz w:val="20"/>
                <w:szCs w:val="20"/>
                <w:color w:val="auto"/>
              </w:rPr>
            </w:pPr>
            <w:r>
              <w:rPr>
                <w:rFonts w:ascii="Times New Roman" w:cs="Times New Roman" w:eastAsia="Times New Roman" w:hAnsi="Times New Roman"/>
                <w:sz w:val="14"/>
                <w:szCs w:val="14"/>
                <w:b w:val="1"/>
                <w:bCs w:val="1"/>
                <w:color w:val="auto"/>
                <w:w w:val="99"/>
              </w:rPr>
              <w:t>% Votes Against</w:t>
            </w:r>
          </w:p>
        </w:tc>
      </w:tr>
      <w:tr>
        <w:trPr>
          <w:trHeight w:val="20"/>
        </w:trPr>
        <w:tc>
          <w:tcPr>
            <w:tcW w:w="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2620" w:type="dxa"/>
            <w:vAlign w:val="bottom"/>
            <w:gridSpan w:val="3"/>
            <w:shd w:val="clear" w:color="auto" w:fill="CCEEFF"/>
          </w:tcPr>
          <w:p>
            <w:pPr>
              <w:jc w:val="right"/>
              <w:ind w:right="1080"/>
              <w:spacing w:after="0" w:line="203" w:lineRule="exact"/>
              <w:rPr>
                <w:sz w:val="20"/>
                <w:szCs w:val="20"/>
                <w:color w:val="auto"/>
              </w:rPr>
            </w:pPr>
            <w:r>
              <w:rPr>
                <w:rFonts w:ascii="Times New Roman" w:cs="Times New Roman" w:eastAsia="Times New Roman" w:hAnsi="Times New Roman"/>
                <w:sz w:val="18"/>
                <w:szCs w:val="18"/>
                <w:color w:val="auto"/>
              </w:rPr>
              <w:t>406,640,818</w:t>
            </w:r>
          </w:p>
        </w:tc>
        <w:tc>
          <w:tcPr>
            <w:tcW w:w="10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99.91%</w:t>
            </w:r>
          </w:p>
        </w:tc>
        <w:tc>
          <w:tcPr>
            <w:tcW w:w="1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355,631</w:t>
            </w: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0.09%</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2026-04-29T05:19:27Z</dcterms:created>
  <dcterms:modified xsi:type="dcterms:W3CDTF">2026-04-29T05:19:27Z</dcterms:modified>
</cp:coreProperties>
</file>