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080" w:right="12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2"/>
          <w:szCs w:val="42"/>
          <w:b w:val="1"/>
          <w:bCs w:val="1"/>
          <w:color w:val="auto"/>
        </w:rPr>
        <w:t>THOMSON REUTERS CORPORATION</w:t>
      </w:r>
    </w:p>
    <w:p>
      <w:pPr>
        <w:spacing w:after="0" w:line="7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19 Duncan Street</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Toronto, Ontario M5H 3H1, Canada</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Jennifer Ruddick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60" w:val="left"/>
        </w:tabs>
        <w:rPr>
          <w:sz w:val="20"/>
          <w:szCs w:val="20"/>
          <w:color w:val="auto"/>
        </w:rPr>
      </w:pPr>
      <w:r>
        <w:rPr>
          <w:rFonts w:ascii="Times New Roman" w:cs="Times New Roman" w:eastAsia="Times New Roman" w:hAnsi="Times New Roman"/>
          <w:sz w:val="18"/>
          <w:szCs w:val="18"/>
          <w:color w:val="auto"/>
        </w:rPr>
        <w:t>Name: </w:t>
        <w:tab/>
        <w:t>Jennifer Ruddick</w:t>
      </w:r>
    </w:p>
    <w:p>
      <w:pPr>
        <w:spacing w:after="0" w:line="27" w:lineRule="exact"/>
        <w:rPr>
          <w:sz w:val="20"/>
          <w:szCs w:val="20"/>
          <w:color w:val="auto"/>
        </w:rPr>
      </w:pPr>
    </w:p>
    <w:p>
      <w:pPr>
        <w:ind w:left="6980"/>
        <w:spacing w:after="0"/>
        <w:tabs>
          <w:tab w:leader="none" w:pos="7520"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7"/>
          <w:szCs w:val="17"/>
          <w:color w:val="auto"/>
        </w:rPr>
        <w:t>   Deputy Company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ectPr>
          <w:pgSz w:w="11900" w:h="16838" w:orient="portrait"/>
          <w:cols w:equalWidth="0" w:num="1">
            <w:col w:w="10260"/>
          </w:cols>
          <w:pgMar w:left="440" w:top="266" w:right="1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86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3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76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News release dated June 11, 2026 – Thomson Reuters Announces Voting Results for Election of Directors</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spacing w:after="0"/>
              <w:rPr>
                <w:sz w:val="24"/>
                <w:szCs w:val="24"/>
                <w:color w:val="auto"/>
              </w:rPr>
            </w:pPr>
          </w:p>
        </w:tc>
        <w:tc>
          <w:tcPr>
            <w:tcW w:w="1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Report of Voting Results</w:t>
            </w:r>
          </w:p>
        </w:tc>
        <w:tc>
          <w:tcPr>
            <w:tcW w:w="58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ind w:left="1002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92583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83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Announces Voting Results for Election of Directors</w:t>
      </w:r>
    </w:p>
    <w:p>
      <w:pPr>
        <w:spacing w:after="0" w:line="21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 xml:space="preserve">Toronto, June 11, 2026 </w:t>
      </w:r>
      <w:r>
        <w:rPr>
          <w:rFonts w:ascii="Arial" w:cs="Arial" w:eastAsia="Arial" w:hAnsi="Arial"/>
          <w:sz w:val="18"/>
          <w:szCs w:val="18"/>
          <w:color w:val="auto"/>
        </w:rPr>
        <w:t>– Thomson Reuters (TSX/Nasdaq: TRI) today announced the voting results for the election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at its annual meeting of shareholders held in-person yesterday.</w:t>
      </w:r>
    </w:p>
    <w:p>
      <w:pPr>
        <w:spacing w:after="0" w:line="154" w:lineRule="exact"/>
        <w:rPr>
          <w:sz w:val="20"/>
          <w:szCs w:val="20"/>
          <w:color w:val="auto"/>
        </w:rPr>
      </w:pPr>
    </w:p>
    <w:p>
      <w:pPr>
        <w:jc w:val="both"/>
        <w:ind w:right="640"/>
        <w:spacing w:after="0" w:line="253" w:lineRule="auto"/>
        <w:rPr>
          <w:sz w:val="20"/>
          <w:szCs w:val="20"/>
          <w:color w:val="auto"/>
        </w:rPr>
      </w:pPr>
      <w:r>
        <w:rPr>
          <w:rFonts w:ascii="Arial" w:cs="Arial" w:eastAsia="Arial" w:hAnsi="Arial"/>
          <w:sz w:val="18"/>
          <w:szCs w:val="18"/>
          <w:color w:val="auto"/>
        </w:rPr>
        <w:t>All 14 nominees were elected to the Thomson Reuters Board of Directors. Michael Medline and Liz Hilton Segel are newly elected directors. Each director elected will continue to hold office until Thomson Reuters’ next annual meeting of shareholders, or until the director resigns or a successor is elected or appointed. The voting results for directors were as follows:</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980" w:type="dxa"/>
            <w:vAlign w:val="bottom"/>
            <w:tcBorders>
              <w:top w:val="single" w:sz="8" w:color="auto"/>
              <w:left w:val="single" w:sz="8" w:color="auto"/>
              <w:bottom w:val="single" w:sz="8" w:color="auto"/>
              <w:right w:val="single" w:sz="8" w:color="auto"/>
            </w:tcBorders>
          </w:tcPr>
          <w:p>
            <w:pPr>
              <w:ind w:left="1740"/>
              <w:spacing w:after="0"/>
              <w:rPr>
                <w:sz w:val="20"/>
                <w:szCs w:val="20"/>
                <w:color w:val="auto"/>
              </w:rPr>
            </w:pPr>
            <w:r>
              <w:rPr>
                <w:rFonts w:ascii="Arial" w:cs="Arial" w:eastAsia="Arial" w:hAnsi="Arial"/>
                <w:sz w:val="14"/>
                <w:szCs w:val="14"/>
                <w:b w:val="1"/>
                <w:bCs w:val="1"/>
                <w:color w:val="auto"/>
              </w:rPr>
              <w:t>Nominee</w:t>
            </w:r>
          </w:p>
        </w:tc>
        <w:tc>
          <w:tcPr>
            <w:tcW w:w="1820" w:type="dxa"/>
            <w:vAlign w:val="bottom"/>
            <w:tcBorders>
              <w:top w:val="single" w:sz="8" w:color="auto"/>
              <w:bottom w:val="single" w:sz="8" w:color="auto"/>
              <w:right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Votes For</w:t>
            </w:r>
          </w:p>
        </w:tc>
        <w:tc>
          <w:tcPr>
            <w:tcW w:w="1340" w:type="dxa"/>
            <w:vAlign w:val="bottom"/>
            <w:tcBorders>
              <w:top w:val="single" w:sz="8" w:color="auto"/>
              <w:bottom w:val="single" w:sz="8" w:color="auto"/>
              <w:right w:val="single" w:sz="8" w:color="auto"/>
            </w:tcBorders>
          </w:tcPr>
          <w:p>
            <w:pPr>
              <w:jc w:val="center"/>
              <w:ind w:left="191"/>
              <w:spacing w:after="0"/>
              <w:rPr>
                <w:sz w:val="20"/>
                <w:szCs w:val="20"/>
                <w:color w:val="auto"/>
              </w:rPr>
            </w:pPr>
            <w:r>
              <w:rPr>
                <w:rFonts w:ascii="Arial" w:cs="Arial" w:eastAsia="Arial" w:hAnsi="Arial"/>
                <w:sz w:val="14"/>
                <w:szCs w:val="14"/>
                <w:b w:val="1"/>
                <w:bCs w:val="1"/>
                <w:color w:val="auto"/>
              </w:rPr>
              <w:t>% Votes For</w:t>
            </w:r>
          </w:p>
        </w:tc>
        <w:tc>
          <w:tcPr>
            <w:tcW w:w="2020" w:type="dxa"/>
            <w:vAlign w:val="bottom"/>
            <w:tcBorders>
              <w:top w:val="single" w:sz="8" w:color="auto"/>
              <w:bottom w:val="single" w:sz="8" w:color="auto"/>
              <w:right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Votes Withheld</w:t>
            </w:r>
          </w:p>
        </w:tc>
        <w:tc>
          <w:tcPr>
            <w:tcW w:w="1880" w:type="dxa"/>
            <w:vAlign w:val="bottom"/>
            <w:tcBorders>
              <w:top w:val="single" w:sz="8" w:color="auto"/>
              <w:bottom w:val="single" w:sz="8" w:color="auto"/>
              <w:right w:val="single" w:sz="8" w:color="auto"/>
            </w:tcBorders>
          </w:tcPr>
          <w:p>
            <w:pPr>
              <w:jc w:val="center"/>
              <w:ind w:left="151"/>
              <w:spacing w:after="0"/>
              <w:rPr>
                <w:sz w:val="20"/>
                <w:szCs w:val="20"/>
                <w:color w:val="auto"/>
              </w:rPr>
            </w:pPr>
            <w:r>
              <w:rPr>
                <w:rFonts w:ascii="Arial" w:cs="Arial" w:eastAsia="Arial" w:hAnsi="Arial"/>
                <w:sz w:val="14"/>
                <w:szCs w:val="14"/>
                <w:b w:val="1"/>
                <w:bCs w:val="1"/>
                <w:color w:val="auto"/>
              </w:rPr>
              <w:t>% Votes Withheld</w:t>
            </w:r>
          </w:p>
        </w:tc>
      </w:tr>
      <w:tr>
        <w:trPr>
          <w:trHeight w:val="229"/>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David Thomson</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397,345,940</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98.20%</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7,289,603</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1.80%</w:t>
            </w:r>
          </w:p>
        </w:tc>
      </w:tr>
      <w:tr>
        <w:trPr>
          <w:trHeight w:val="244"/>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Steve Hasker</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404,039,870</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99.85%</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595,673</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0.15%</w:t>
            </w:r>
          </w:p>
        </w:tc>
      </w:tr>
      <w:tr>
        <w:trPr>
          <w:trHeight w:val="229"/>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Kirk E. Arnold</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403,174,049</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99.64%</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1,461,494</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0.36%</w:t>
            </w:r>
          </w:p>
        </w:tc>
      </w:tr>
      <w:tr>
        <w:trPr>
          <w:trHeight w:val="244"/>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LaVerne Council</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404,255,658</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99.91%</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379,885</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0.09%</w:t>
            </w:r>
          </w:p>
        </w:tc>
      </w:tr>
      <w:tr>
        <w:trPr>
          <w:trHeight w:val="229"/>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Michael Friisdahl</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393,303,972</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97.20%</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11,331,571</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2.80%</w:t>
            </w:r>
          </w:p>
        </w:tc>
      </w:tr>
      <w:tr>
        <w:trPr>
          <w:trHeight w:val="243"/>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Michael Medline</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399,517,591</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98.74%</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5,118,249</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1.26%</w:t>
            </w:r>
          </w:p>
        </w:tc>
      </w:tr>
      <w:tr>
        <w:trPr>
          <w:trHeight w:val="230"/>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Deanna Oppenheimer</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402,411,341</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99.45%</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2,224,202</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0.55%</w:t>
            </w:r>
          </w:p>
        </w:tc>
      </w:tr>
      <w:tr>
        <w:trPr>
          <w:trHeight w:val="243"/>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Simon Paris</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402,937,759</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99.58%</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1,697,784</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0.42%</w:t>
            </w:r>
          </w:p>
        </w:tc>
      </w:tr>
      <w:tr>
        <w:trPr>
          <w:trHeight w:val="229"/>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Kim M. Rivera</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404,307,846</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99.92%</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327,697</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0.08%</w:t>
            </w:r>
          </w:p>
        </w:tc>
      </w:tr>
      <w:tr>
        <w:trPr>
          <w:trHeight w:val="244"/>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Paul Sagan</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399,560,798</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98.75%</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5,074,745</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1.25%</w:t>
            </w:r>
          </w:p>
        </w:tc>
      </w:tr>
      <w:tr>
        <w:trPr>
          <w:trHeight w:val="229"/>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Barry Salzberg</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402,427,247</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99.45%</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2,208,296</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0.55%</w:t>
            </w:r>
          </w:p>
        </w:tc>
      </w:tr>
      <w:tr>
        <w:trPr>
          <w:trHeight w:val="244"/>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Liz Hilton Segel</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404,492,523</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99.96%</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143,020</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0.04%</w:t>
            </w:r>
          </w:p>
        </w:tc>
      </w:tr>
      <w:tr>
        <w:trPr>
          <w:trHeight w:val="229"/>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Peter J. Thomson</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393,189,122</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97.17%</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11,446,421</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2.83%</w:t>
            </w:r>
          </w:p>
        </w:tc>
      </w:tr>
      <w:tr>
        <w:trPr>
          <w:trHeight w:val="234"/>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Beth Wilson</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404,293,387</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99.92%</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342,156</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0.08%</w:t>
            </w:r>
          </w:p>
        </w:tc>
      </w:tr>
    </w:tbl>
    <w:p>
      <w:pPr>
        <w:spacing w:after="0" w:line="19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For the other items of business at the annual meeting, shareholders re-appointed PricewaterhouseCoopers LLP as the company’s auditor, approved an advisory resolution on executive compensation and did not approve the shareholder proposal set out in the management proxy circular. A final report on voting results will be filed with the Canadian securities regulatory authorities and furnished to the U.S. Securities and Exchange Commission.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w:t>
      </w:r>
    </w:p>
    <w:p>
      <w:pPr>
        <w:spacing w:after="0" w:line="104"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Thomson Reuters (TSX/Nasdaq: TRI) informs the way forward by bringing together the trusted content and technology that people and organizations need to make the right decisions. The company serves professionals across legal, tax, audit,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a world-leading provider of trusted journalism and news. For more information, visit thomsonreuters.com.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020"/>
          </w:cols>
          <w:pgMar w:left="440" w:top="122" w:right="4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Zoe Zanettos</w:t>
      </w:r>
    </w:p>
    <w:p>
      <w:pPr>
        <w:spacing w:after="0" w:line="234" w:lineRule="auto"/>
        <w:rPr>
          <w:sz w:val="20"/>
          <w:szCs w:val="20"/>
          <w:color w:val="auto"/>
        </w:rPr>
      </w:pPr>
      <w:r>
        <w:rPr>
          <w:rFonts w:ascii="Arial" w:cs="Arial" w:eastAsia="Arial" w:hAnsi="Arial"/>
          <w:sz w:val="18"/>
          <w:szCs w:val="18"/>
          <w:color w:val="auto"/>
        </w:rPr>
        <w:t>Corporate Affairs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zoe.zanettos@thomsonreuters.com</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E. Bisbee, CFA</w:t>
      </w:r>
    </w:p>
    <w:p>
      <w:pPr>
        <w:spacing w:after="0" w:line="234" w:lineRule="auto"/>
        <w:rPr>
          <w:sz w:val="20"/>
          <w:szCs w:val="20"/>
          <w:color w:val="auto"/>
        </w:rPr>
      </w:pPr>
      <w:r>
        <w:rPr>
          <w:rFonts w:ascii="Arial" w:cs="Arial" w:eastAsia="Arial" w:hAnsi="Arial"/>
          <w:sz w:val="18"/>
          <w:szCs w:val="18"/>
          <w:color w:val="auto"/>
        </w:rPr>
        <w:t>Head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gary.bisbee@thomsonreuters.com</w:t>
      </w:r>
    </w:p>
    <w:p>
      <w:pPr>
        <w:sectPr>
          <w:pgSz w:w="11900" w:h="16838" w:orient="portrait"/>
          <w:cols w:equalWidth="0" w:num="2">
            <w:col w:w="5120" w:space="720"/>
            <w:col w:w="5180"/>
          </w:cols>
          <w:pgMar w:left="440" w:top="122" w:right="439" w:bottom="1440" w:gutter="0" w:footer="0" w:header="0"/>
          <w:type w:val="continuous"/>
        </w:sectPr>
      </w:pPr>
    </w:p>
    <w:bookmarkStart w:id="4" w:name="page5"/>
    <w:bookmarkEnd w:id="4"/>
    <w:p>
      <w:pPr>
        <w:ind w:left="10024"/>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92583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583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Report of Voting Results for 2026 Annual Meeting of Shareholders</w:t>
      </w:r>
    </w:p>
    <w:p>
      <w:pPr>
        <w:spacing w:after="0" w:line="212" w:lineRule="exact"/>
        <w:rPr>
          <w:sz w:val="20"/>
          <w:szCs w:val="20"/>
          <w:color w:val="auto"/>
        </w:rPr>
      </w:pPr>
    </w:p>
    <w:p>
      <w:pPr>
        <w:ind w:left="4" w:right="120"/>
        <w:spacing w:after="0" w:line="253" w:lineRule="auto"/>
        <w:rPr>
          <w:sz w:val="20"/>
          <w:szCs w:val="20"/>
          <w:color w:val="auto"/>
        </w:rPr>
      </w:pPr>
      <w:r>
        <w:rPr>
          <w:rFonts w:ascii="Arial" w:cs="Arial" w:eastAsia="Arial" w:hAnsi="Arial"/>
          <w:sz w:val="18"/>
          <w:szCs w:val="18"/>
          <w:b w:val="1"/>
          <w:bCs w:val="1"/>
          <w:color w:val="auto"/>
        </w:rPr>
        <w:t xml:space="preserve">TORONTO, June 11, 2026 – </w:t>
      </w:r>
      <w:r>
        <w:rPr>
          <w:rFonts w:ascii="Arial" w:cs="Arial" w:eastAsia="Arial" w:hAnsi="Arial"/>
          <w:sz w:val="18"/>
          <w:szCs w:val="18"/>
          <w:color w:val="auto"/>
        </w:rPr>
        <w:t>Thomson Reuters Corporation (“</w:t>
      </w:r>
      <w:r>
        <w:rPr>
          <w:rFonts w:ascii="Arial" w:cs="Arial" w:eastAsia="Arial" w:hAnsi="Arial"/>
          <w:sz w:val="18"/>
          <w:szCs w:val="18"/>
          <w:b w:val="1"/>
          <w:bCs w:val="1"/>
          <w:i w:val="1"/>
          <w:iCs w:val="1"/>
          <w:color w:val="auto"/>
        </w:rPr>
        <w:t>Thomson Reuters</w:t>
      </w:r>
      <w:r>
        <w:rPr>
          <w:rFonts w:ascii="Arial" w:cs="Arial" w:eastAsia="Arial" w:hAnsi="Arial"/>
          <w:sz w:val="18"/>
          <w:szCs w:val="18"/>
          <w:color w:val="auto"/>
        </w:rPr>
        <w:t>”) today announced voting results for its 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shareholders held in-person on June 10, 2026. The matters set out below are described in greater detail in the management proxy circular dated April 15, 2026. The votes were conducted by ballot.</w:t>
      </w:r>
    </w:p>
    <w:p>
      <w:pPr>
        <w:spacing w:after="0" w:line="317"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Election of Directors</w:t>
      </w:r>
    </w:p>
    <w:p>
      <w:pPr>
        <w:spacing w:after="0" w:line="104" w:lineRule="exact"/>
        <w:rPr>
          <w:sz w:val="20"/>
          <w:szCs w:val="20"/>
          <w:color w:val="auto"/>
        </w:rPr>
      </w:pPr>
    </w:p>
    <w:p>
      <w:pPr>
        <w:ind w:left="4" w:right="180"/>
        <w:spacing w:after="0" w:line="271" w:lineRule="auto"/>
        <w:rPr>
          <w:sz w:val="20"/>
          <w:szCs w:val="20"/>
          <w:color w:val="auto"/>
        </w:rPr>
      </w:pPr>
      <w:r>
        <w:rPr>
          <w:rFonts w:ascii="Arial" w:cs="Arial" w:eastAsia="Arial" w:hAnsi="Arial"/>
          <w:sz w:val="18"/>
          <w:szCs w:val="18"/>
          <w:color w:val="auto"/>
        </w:rPr>
        <w:t>14 nominees were elected to the Thomson Reuters Board. Each director elected will continue to hold office until the next annual meeting of shareholders of Thomson Reuters or until the director resigns or a successor is elected or appointed.</w:t>
      </w:r>
    </w:p>
    <w:p>
      <w:pPr>
        <w:spacing w:after="0" w:line="179" w:lineRule="exact"/>
        <w:rPr>
          <w:sz w:val="20"/>
          <w:szCs w:val="20"/>
          <w:color w:val="auto"/>
        </w:rPr>
      </w:pPr>
    </w:p>
    <w:tbl>
      <w:tblPr>
        <w:tblLayout w:type="fixed"/>
        <w:tblInd w:w="14" w:type="dxa"/>
        <w:tblCellMar>
          <w:top w:w="0" w:type="dxa"/>
          <w:left w:w="0" w:type="dxa"/>
          <w:bottom w:w="0" w:type="dxa"/>
          <w:right w:w="0" w:type="dxa"/>
        </w:tblCellMar>
      </w:tblPr>
      <w:tr>
        <w:trPr>
          <w:trHeight w:val="223"/>
        </w:trPr>
        <w:tc>
          <w:tcPr>
            <w:tcW w:w="3980" w:type="dxa"/>
            <w:vAlign w:val="bottom"/>
            <w:tcBorders>
              <w:top w:val="single" w:sz="8" w:color="auto"/>
              <w:left w:val="single" w:sz="8" w:color="auto"/>
              <w:bottom w:val="single" w:sz="8" w:color="auto"/>
              <w:right w:val="single" w:sz="8" w:color="auto"/>
            </w:tcBorders>
          </w:tcPr>
          <w:p>
            <w:pPr>
              <w:ind w:left="1740"/>
              <w:spacing w:after="0"/>
              <w:rPr>
                <w:sz w:val="20"/>
                <w:szCs w:val="20"/>
                <w:color w:val="auto"/>
              </w:rPr>
            </w:pPr>
            <w:r>
              <w:rPr>
                <w:rFonts w:ascii="Arial" w:cs="Arial" w:eastAsia="Arial" w:hAnsi="Arial"/>
                <w:sz w:val="14"/>
                <w:szCs w:val="14"/>
                <w:b w:val="1"/>
                <w:bCs w:val="1"/>
                <w:color w:val="auto"/>
              </w:rPr>
              <w:t>Nominee</w:t>
            </w:r>
          </w:p>
        </w:tc>
        <w:tc>
          <w:tcPr>
            <w:tcW w:w="1820" w:type="dxa"/>
            <w:vAlign w:val="bottom"/>
            <w:tcBorders>
              <w:top w:val="single" w:sz="8" w:color="auto"/>
              <w:bottom w:val="single" w:sz="8" w:color="auto"/>
              <w:right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Votes For</w:t>
            </w:r>
          </w:p>
        </w:tc>
        <w:tc>
          <w:tcPr>
            <w:tcW w:w="1340" w:type="dxa"/>
            <w:vAlign w:val="bottom"/>
            <w:tcBorders>
              <w:top w:val="single" w:sz="8" w:color="auto"/>
              <w:bottom w:val="single" w:sz="8" w:color="auto"/>
              <w:right w:val="single" w:sz="8" w:color="auto"/>
            </w:tcBorders>
          </w:tcPr>
          <w:p>
            <w:pPr>
              <w:jc w:val="center"/>
              <w:ind w:left="191"/>
              <w:spacing w:after="0"/>
              <w:rPr>
                <w:sz w:val="20"/>
                <w:szCs w:val="20"/>
                <w:color w:val="auto"/>
              </w:rPr>
            </w:pPr>
            <w:r>
              <w:rPr>
                <w:rFonts w:ascii="Arial" w:cs="Arial" w:eastAsia="Arial" w:hAnsi="Arial"/>
                <w:sz w:val="14"/>
                <w:szCs w:val="14"/>
                <w:b w:val="1"/>
                <w:bCs w:val="1"/>
                <w:color w:val="auto"/>
              </w:rPr>
              <w:t>% Votes For</w:t>
            </w:r>
          </w:p>
        </w:tc>
        <w:tc>
          <w:tcPr>
            <w:tcW w:w="2020" w:type="dxa"/>
            <w:vAlign w:val="bottom"/>
            <w:tcBorders>
              <w:top w:val="single" w:sz="8" w:color="auto"/>
              <w:bottom w:val="single" w:sz="8" w:color="auto"/>
              <w:right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Votes Withheld</w:t>
            </w:r>
          </w:p>
        </w:tc>
        <w:tc>
          <w:tcPr>
            <w:tcW w:w="1880" w:type="dxa"/>
            <w:vAlign w:val="bottom"/>
            <w:tcBorders>
              <w:top w:val="single" w:sz="8" w:color="auto"/>
              <w:bottom w:val="single" w:sz="8" w:color="auto"/>
              <w:right w:val="single" w:sz="8" w:color="auto"/>
            </w:tcBorders>
          </w:tcPr>
          <w:p>
            <w:pPr>
              <w:jc w:val="center"/>
              <w:ind w:left="151"/>
              <w:spacing w:after="0"/>
              <w:rPr>
                <w:sz w:val="20"/>
                <w:szCs w:val="20"/>
                <w:color w:val="auto"/>
              </w:rPr>
            </w:pPr>
            <w:r>
              <w:rPr>
                <w:rFonts w:ascii="Arial" w:cs="Arial" w:eastAsia="Arial" w:hAnsi="Arial"/>
                <w:sz w:val="14"/>
                <w:szCs w:val="14"/>
                <w:b w:val="1"/>
                <w:bCs w:val="1"/>
                <w:color w:val="auto"/>
              </w:rPr>
              <w:t>% Votes Withheld</w:t>
            </w:r>
          </w:p>
        </w:tc>
      </w:tr>
      <w:tr>
        <w:trPr>
          <w:trHeight w:val="229"/>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David Thomson</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397,345,940</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98.20%</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7,289,603</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1.80%</w:t>
            </w:r>
          </w:p>
        </w:tc>
      </w:tr>
      <w:tr>
        <w:trPr>
          <w:trHeight w:val="244"/>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Steve Hasker</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404,039,870</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99.85%</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595,673</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0.15%</w:t>
            </w:r>
          </w:p>
        </w:tc>
      </w:tr>
      <w:tr>
        <w:trPr>
          <w:trHeight w:val="229"/>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Kirk E. Arnold</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403,174,049</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99.64%</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1,461,494</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0.36%</w:t>
            </w:r>
          </w:p>
        </w:tc>
      </w:tr>
      <w:tr>
        <w:trPr>
          <w:trHeight w:val="244"/>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LaVerne Council</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404,255,658</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99.91%</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379,885</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0.09%</w:t>
            </w:r>
          </w:p>
        </w:tc>
      </w:tr>
      <w:tr>
        <w:trPr>
          <w:trHeight w:val="229"/>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Michael Friisdahl</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393,303,972</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97.20%</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11,331,571</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2.80%</w:t>
            </w:r>
          </w:p>
        </w:tc>
      </w:tr>
      <w:tr>
        <w:trPr>
          <w:trHeight w:val="243"/>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Michael Medline</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399,517,591</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98.74%</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5,118,249</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1.26%</w:t>
            </w:r>
          </w:p>
        </w:tc>
      </w:tr>
      <w:tr>
        <w:trPr>
          <w:trHeight w:val="230"/>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Deanna Oppenheimer</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402,411,341</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99.45%</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2,224,202</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0.55%</w:t>
            </w:r>
          </w:p>
        </w:tc>
      </w:tr>
      <w:tr>
        <w:trPr>
          <w:trHeight w:val="243"/>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Simon Paris</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402,937,759</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99.58%</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1,697,784</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0.42%</w:t>
            </w:r>
          </w:p>
        </w:tc>
      </w:tr>
      <w:tr>
        <w:trPr>
          <w:trHeight w:val="229"/>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Kim M. Rivera</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404,307,846</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99.92%</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327,697</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0.08%</w:t>
            </w:r>
          </w:p>
        </w:tc>
      </w:tr>
      <w:tr>
        <w:trPr>
          <w:trHeight w:val="244"/>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Paul Sagan</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399,560,798</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98.75%</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5,074,745</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1.25%</w:t>
            </w:r>
          </w:p>
        </w:tc>
      </w:tr>
      <w:tr>
        <w:trPr>
          <w:trHeight w:val="229"/>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Barry Salzberg</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402,427,247</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99.45%</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2,208,296</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0.55%</w:t>
            </w:r>
          </w:p>
        </w:tc>
      </w:tr>
      <w:tr>
        <w:trPr>
          <w:trHeight w:val="244"/>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Liz Hilton Segel</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404,492,523</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99.96%</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143,020</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0.04%</w:t>
            </w:r>
          </w:p>
        </w:tc>
      </w:tr>
      <w:tr>
        <w:trPr>
          <w:trHeight w:val="229"/>
        </w:trPr>
        <w:tc>
          <w:tcPr>
            <w:tcW w:w="39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Peter J. Thomson</w:t>
            </w:r>
          </w:p>
        </w:tc>
        <w:tc>
          <w:tcPr>
            <w:tcW w:w="1820" w:type="dxa"/>
            <w:vAlign w:val="bottom"/>
            <w:tcBorders>
              <w:bottom w:val="single" w:sz="8" w:color="auto"/>
              <w:right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393,189,122</w:t>
            </w:r>
          </w:p>
        </w:tc>
        <w:tc>
          <w:tcPr>
            <w:tcW w:w="1340" w:type="dxa"/>
            <w:vAlign w:val="bottom"/>
            <w:tcBorders>
              <w:bottom w:val="single" w:sz="8" w:color="auto"/>
              <w:right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8"/>
              </w:rPr>
              <w:t>97.17%</w:t>
            </w:r>
          </w:p>
        </w:tc>
        <w:tc>
          <w:tcPr>
            <w:tcW w:w="2020" w:type="dxa"/>
            <w:vAlign w:val="bottom"/>
            <w:tcBorders>
              <w:bottom w:val="single" w:sz="8" w:color="auto"/>
              <w:right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11,446,421</w:t>
            </w:r>
          </w:p>
        </w:tc>
        <w:tc>
          <w:tcPr>
            <w:tcW w:w="1880" w:type="dxa"/>
            <w:vAlign w:val="bottom"/>
            <w:tcBorders>
              <w:bottom w:val="single" w:sz="8" w:color="auto"/>
              <w:right w:val="single" w:sz="8" w:color="auto"/>
            </w:tcBorders>
            <w:shd w:val="clear" w:color="auto" w:fill="CCEEFF"/>
          </w:tcPr>
          <w:p>
            <w:pPr>
              <w:jc w:val="center"/>
              <w:ind w:left="191"/>
              <w:spacing w:after="0"/>
              <w:rPr>
                <w:sz w:val="20"/>
                <w:szCs w:val="20"/>
                <w:color w:val="auto"/>
              </w:rPr>
            </w:pPr>
            <w:r>
              <w:rPr>
                <w:rFonts w:ascii="Arial" w:cs="Arial" w:eastAsia="Arial" w:hAnsi="Arial"/>
                <w:sz w:val="18"/>
                <w:szCs w:val="18"/>
                <w:color w:val="auto"/>
              </w:rPr>
              <w:t>2.83%</w:t>
            </w:r>
          </w:p>
        </w:tc>
      </w:tr>
      <w:tr>
        <w:trPr>
          <w:trHeight w:val="234"/>
        </w:trPr>
        <w:tc>
          <w:tcPr>
            <w:tcW w:w="39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Beth Wilson</w:t>
            </w:r>
          </w:p>
        </w:tc>
        <w:tc>
          <w:tcPr>
            <w:tcW w:w="182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404,293,387</w:t>
            </w:r>
          </w:p>
        </w:tc>
        <w:tc>
          <w:tcPr>
            <w:tcW w:w="134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8"/>
              </w:rPr>
              <w:t>99.92%</w:t>
            </w:r>
          </w:p>
        </w:tc>
        <w:tc>
          <w:tcPr>
            <w:tcW w:w="20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rPr>
              <w:t>342,156</w:t>
            </w:r>
          </w:p>
        </w:tc>
        <w:tc>
          <w:tcPr>
            <w:tcW w:w="188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rPr>
              <w:t>0.08%</w:t>
            </w:r>
          </w:p>
        </w:tc>
      </w:tr>
    </w:tbl>
    <w:p>
      <w:pPr>
        <w:spacing w:after="0" w:line="346"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 of Auditor</w:t>
      </w:r>
    </w:p>
    <w:p>
      <w:pPr>
        <w:spacing w:after="0" w:line="104" w:lineRule="exact"/>
        <w:rPr>
          <w:sz w:val="20"/>
          <w:szCs w:val="20"/>
          <w:color w:val="auto"/>
        </w:rPr>
      </w:pPr>
    </w:p>
    <w:p>
      <w:pPr>
        <w:ind w:left="4" w:right="200"/>
        <w:spacing w:after="0" w:line="271" w:lineRule="auto"/>
        <w:rPr>
          <w:sz w:val="20"/>
          <w:szCs w:val="20"/>
          <w:color w:val="auto"/>
        </w:rPr>
      </w:pPr>
      <w:r>
        <w:rPr>
          <w:rFonts w:ascii="Arial" w:cs="Arial" w:eastAsia="Arial" w:hAnsi="Arial"/>
          <w:sz w:val="18"/>
          <w:szCs w:val="18"/>
          <w:color w:val="auto"/>
        </w:rPr>
        <w:t>PricewaterhouseCoopers LLP was appointed as auditor of Thomson Reuters to hold office until the next annual meeting of shareholders and the directors were authorized to fix their remuneration.</w:t>
      </w:r>
    </w:p>
    <w:p>
      <w:pPr>
        <w:spacing w:after="0" w:line="179" w:lineRule="exact"/>
        <w:rPr>
          <w:sz w:val="20"/>
          <w:szCs w:val="20"/>
          <w:color w:val="auto"/>
        </w:rPr>
      </w:pPr>
    </w:p>
    <w:tbl>
      <w:tblPr>
        <w:tblLayout w:type="fixed"/>
        <w:tblInd w:w="894" w:type="dxa"/>
        <w:tblCellMar>
          <w:top w:w="0" w:type="dxa"/>
          <w:left w:w="0" w:type="dxa"/>
          <w:bottom w:w="0" w:type="dxa"/>
          <w:right w:w="0" w:type="dxa"/>
        </w:tblCellMar>
      </w:tblPr>
      <w:tr>
        <w:trPr>
          <w:trHeight w:val="223"/>
        </w:trPr>
        <w:tc>
          <w:tcPr>
            <w:tcW w:w="3440" w:type="dxa"/>
            <w:vAlign w:val="bottom"/>
            <w:tcBorders>
              <w:top w:val="single" w:sz="8" w:color="auto"/>
              <w:left w:val="single" w:sz="8" w:color="auto"/>
              <w:bottom w:val="single" w:sz="8" w:color="auto"/>
              <w:right w:val="single" w:sz="8" w:color="auto"/>
            </w:tcBorders>
          </w:tcPr>
          <w:p>
            <w:pPr>
              <w:jc w:val="center"/>
              <w:ind w:left="59"/>
              <w:spacing w:after="0"/>
              <w:rPr>
                <w:sz w:val="20"/>
                <w:szCs w:val="20"/>
                <w:color w:val="auto"/>
              </w:rPr>
            </w:pPr>
            <w:r>
              <w:rPr>
                <w:rFonts w:ascii="Arial" w:cs="Arial" w:eastAsia="Arial" w:hAnsi="Arial"/>
                <w:sz w:val="14"/>
                <w:szCs w:val="14"/>
                <w:b w:val="1"/>
                <w:bCs w:val="1"/>
                <w:color w:val="auto"/>
              </w:rPr>
              <w:t>Votes For</w:t>
            </w:r>
          </w:p>
        </w:tc>
        <w:tc>
          <w:tcPr>
            <w:tcW w:w="1480" w:type="dxa"/>
            <w:vAlign w:val="bottom"/>
            <w:tcBorders>
              <w:top w:val="single" w:sz="8" w:color="auto"/>
              <w:bottom w:val="single" w:sz="8" w:color="auto"/>
              <w:right w:val="single" w:sz="8" w:color="auto"/>
            </w:tcBorders>
          </w:tcPr>
          <w:p>
            <w:pPr>
              <w:jc w:val="center"/>
              <w:ind w:left="419"/>
              <w:spacing w:after="0"/>
              <w:rPr>
                <w:sz w:val="20"/>
                <w:szCs w:val="20"/>
                <w:color w:val="auto"/>
              </w:rPr>
            </w:pPr>
            <w:r>
              <w:rPr>
                <w:rFonts w:ascii="Arial" w:cs="Arial" w:eastAsia="Arial" w:hAnsi="Arial"/>
                <w:sz w:val="14"/>
                <w:szCs w:val="14"/>
                <w:b w:val="1"/>
                <w:bCs w:val="1"/>
                <w:color w:val="auto"/>
              </w:rPr>
              <w:t>% Votes For</w:t>
            </w:r>
          </w:p>
        </w:tc>
        <w:tc>
          <w:tcPr>
            <w:tcW w:w="2280" w:type="dxa"/>
            <w:vAlign w:val="bottom"/>
            <w:tcBorders>
              <w:top w:val="single" w:sz="8" w:color="auto"/>
              <w:bottom w:val="single" w:sz="8" w:color="auto"/>
              <w:right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Votes Withheld</w:t>
            </w:r>
          </w:p>
        </w:tc>
        <w:tc>
          <w:tcPr>
            <w:tcW w:w="2080" w:type="dxa"/>
            <w:vAlign w:val="bottom"/>
            <w:tcBorders>
              <w:top w:val="single" w:sz="8" w:color="auto"/>
              <w:bottom w:val="single" w:sz="8" w:color="auto"/>
              <w:right w:val="single" w:sz="8" w:color="auto"/>
            </w:tcBorders>
          </w:tcPr>
          <w:p>
            <w:pPr>
              <w:jc w:val="center"/>
              <w:ind w:left="479"/>
              <w:spacing w:after="0"/>
              <w:rPr>
                <w:sz w:val="20"/>
                <w:szCs w:val="20"/>
                <w:color w:val="auto"/>
              </w:rPr>
            </w:pPr>
            <w:r>
              <w:rPr>
                <w:rFonts w:ascii="Arial" w:cs="Arial" w:eastAsia="Arial" w:hAnsi="Arial"/>
                <w:sz w:val="14"/>
                <w:szCs w:val="14"/>
                <w:b w:val="1"/>
                <w:bCs w:val="1"/>
                <w:color w:val="auto"/>
              </w:rPr>
              <w:t>% Votes Withheld</w:t>
            </w:r>
          </w:p>
        </w:tc>
      </w:tr>
      <w:tr>
        <w:trPr>
          <w:trHeight w:val="230"/>
        </w:trPr>
        <w:tc>
          <w:tcPr>
            <w:tcW w:w="3440" w:type="dxa"/>
            <w:vAlign w:val="bottom"/>
            <w:tcBorders>
              <w:left w:val="single" w:sz="8" w:color="auto"/>
              <w:bottom w:val="single" w:sz="8" w:color="auto"/>
              <w:right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rPr>
              <w:t>409,791,120</w:t>
            </w:r>
          </w:p>
        </w:tc>
        <w:tc>
          <w:tcPr>
            <w:tcW w:w="1480" w:type="dxa"/>
            <w:vAlign w:val="bottom"/>
            <w:tcBorders>
              <w:bottom w:val="single" w:sz="8" w:color="auto"/>
              <w:right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99.68%</w:t>
            </w:r>
          </w:p>
        </w:tc>
        <w:tc>
          <w:tcPr>
            <w:tcW w:w="2280" w:type="dxa"/>
            <w:vAlign w:val="bottom"/>
            <w:tcBorders>
              <w:bottom w:val="single" w:sz="8" w:color="auto"/>
              <w:right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1,310,480</w:t>
            </w:r>
          </w:p>
        </w:tc>
        <w:tc>
          <w:tcPr>
            <w:tcW w:w="2080" w:type="dxa"/>
            <w:vAlign w:val="bottom"/>
            <w:tcBorders>
              <w:bottom w:val="single" w:sz="8" w:color="auto"/>
              <w:right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rPr>
              <w:t>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4" w:hanging="144"/>
        <w:spacing w:after="0"/>
        <w:tabs>
          <w:tab w:leader="none" w:pos="144"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2026 Thomson Reuters</w:t>
      </w:r>
    </w:p>
    <w:p>
      <w:pPr>
        <w:sectPr>
          <w:pgSz w:w="11900" w:h="16838" w:orient="portrait"/>
          <w:cols w:equalWidth="0" w:num="1">
            <w:col w:w="11024"/>
          </w:cols>
          <w:pgMar w:left="436" w:top="122" w:right="4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 of 2</w:t>
      </w:r>
    </w:p>
    <w:p>
      <w:pPr>
        <w:spacing w:after="0" w:line="239"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Advisory Resolution on Executive Compensation</w:t>
      </w:r>
    </w:p>
    <w:p>
      <w:pPr>
        <w:spacing w:after="0" w:line="104" w:lineRule="exact"/>
        <w:rPr>
          <w:sz w:val="20"/>
          <w:szCs w:val="20"/>
          <w:color w:val="auto"/>
        </w:rPr>
      </w:pPr>
    </w:p>
    <w:p>
      <w:pPr>
        <w:ind w:left="4" w:right="280"/>
        <w:spacing w:after="0" w:line="271" w:lineRule="auto"/>
        <w:rPr>
          <w:sz w:val="20"/>
          <w:szCs w:val="20"/>
          <w:color w:val="auto"/>
        </w:rPr>
      </w:pPr>
      <w:r>
        <w:rPr>
          <w:rFonts w:ascii="Arial" w:cs="Arial" w:eastAsia="Arial" w:hAnsi="Arial"/>
          <w:sz w:val="18"/>
          <w:szCs w:val="18"/>
          <w:color w:val="auto"/>
        </w:rPr>
        <w:t>The advisory resolution accepting Thomson Reuters’ approach to executive compensation described in the management proxy circular was approved.</w:t>
      </w:r>
    </w:p>
    <w:p>
      <w:pPr>
        <w:spacing w:after="0" w:line="179" w:lineRule="exact"/>
        <w:rPr>
          <w:sz w:val="20"/>
          <w:szCs w:val="20"/>
          <w:color w:val="auto"/>
        </w:rPr>
      </w:pPr>
    </w:p>
    <w:tbl>
      <w:tblPr>
        <w:tblLayout w:type="fixed"/>
        <w:tblInd w:w="894" w:type="dxa"/>
        <w:tblCellMar>
          <w:top w:w="0" w:type="dxa"/>
          <w:left w:w="0" w:type="dxa"/>
          <w:bottom w:w="0" w:type="dxa"/>
          <w:right w:w="0" w:type="dxa"/>
        </w:tblCellMar>
      </w:tblPr>
      <w:tr>
        <w:trPr>
          <w:trHeight w:val="223"/>
        </w:trPr>
        <w:tc>
          <w:tcPr>
            <w:tcW w:w="3720" w:type="dxa"/>
            <w:vAlign w:val="bottom"/>
            <w:tcBorders>
              <w:top w:val="single" w:sz="8" w:color="auto"/>
              <w:left w:val="single" w:sz="8" w:color="auto"/>
              <w:bottom w:val="single" w:sz="8" w:color="auto"/>
              <w:right w:val="single" w:sz="8" w:color="auto"/>
            </w:tcBorders>
          </w:tcPr>
          <w:p>
            <w:pPr>
              <w:jc w:val="center"/>
              <w:ind w:left="59"/>
              <w:spacing w:after="0"/>
              <w:rPr>
                <w:sz w:val="20"/>
                <w:szCs w:val="20"/>
                <w:color w:val="auto"/>
              </w:rPr>
            </w:pPr>
            <w:r>
              <w:rPr>
                <w:rFonts w:ascii="Arial" w:cs="Arial" w:eastAsia="Arial" w:hAnsi="Arial"/>
                <w:sz w:val="14"/>
                <w:szCs w:val="14"/>
                <w:b w:val="1"/>
                <w:bCs w:val="1"/>
                <w:color w:val="auto"/>
              </w:rPr>
              <w:t>Votes For</w:t>
            </w:r>
          </w:p>
        </w:tc>
        <w:tc>
          <w:tcPr>
            <w:tcW w:w="1460" w:type="dxa"/>
            <w:vAlign w:val="bottom"/>
            <w:tcBorders>
              <w:top w:val="single" w:sz="8" w:color="auto"/>
              <w:bottom w:val="single" w:sz="8" w:color="auto"/>
              <w:right w:val="single" w:sz="8" w:color="auto"/>
            </w:tcBorders>
          </w:tcPr>
          <w:p>
            <w:pPr>
              <w:jc w:val="center"/>
              <w:ind w:left="319"/>
              <w:spacing w:after="0"/>
              <w:rPr>
                <w:sz w:val="20"/>
                <w:szCs w:val="20"/>
                <w:color w:val="auto"/>
              </w:rPr>
            </w:pPr>
            <w:r>
              <w:rPr>
                <w:rFonts w:ascii="Arial" w:cs="Arial" w:eastAsia="Arial" w:hAnsi="Arial"/>
                <w:sz w:val="14"/>
                <w:szCs w:val="14"/>
                <w:b w:val="1"/>
                <w:bCs w:val="1"/>
                <w:color w:val="auto"/>
              </w:rPr>
              <w:t>% Votes For</w:t>
            </w:r>
          </w:p>
        </w:tc>
        <w:tc>
          <w:tcPr>
            <w:tcW w:w="2140" w:type="dxa"/>
            <w:vAlign w:val="bottom"/>
            <w:tcBorders>
              <w:top w:val="single" w:sz="8" w:color="auto"/>
              <w:bottom w:val="single" w:sz="8" w:color="auto"/>
              <w:right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Votes Against</w:t>
            </w:r>
          </w:p>
        </w:tc>
        <w:tc>
          <w:tcPr>
            <w:tcW w:w="1960" w:type="dxa"/>
            <w:vAlign w:val="bottom"/>
            <w:tcBorders>
              <w:top w:val="single" w:sz="8" w:color="auto"/>
              <w:bottom w:val="single" w:sz="8" w:color="auto"/>
              <w:right w:val="single" w:sz="8" w:color="auto"/>
            </w:tcBorders>
          </w:tcPr>
          <w:p>
            <w:pPr>
              <w:jc w:val="center"/>
              <w:ind w:left="379"/>
              <w:spacing w:after="0"/>
              <w:rPr>
                <w:sz w:val="20"/>
                <w:szCs w:val="20"/>
                <w:color w:val="auto"/>
              </w:rPr>
            </w:pPr>
            <w:r>
              <w:rPr>
                <w:rFonts w:ascii="Arial" w:cs="Arial" w:eastAsia="Arial" w:hAnsi="Arial"/>
                <w:sz w:val="14"/>
                <w:szCs w:val="14"/>
                <w:b w:val="1"/>
                <w:bCs w:val="1"/>
                <w:color w:val="auto"/>
              </w:rPr>
              <w:t>% Votes Against</w:t>
            </w:r>
          </w:p>
        </w:tc>
      </w:tr>
      <w:tr>
        <w:trPr>
          <w:trHeight w:val="229"/>
        </w:trPr>
        <w:tc>
          <w:tcPr>
            <w:tcW w:w="3720" w:type="dxa"/>
            <w:vAlign w:val="bottom"/>
            <w:tcBorders>
              <w:left w:val="single" w:sz="8" w:color="auto"/>
              <w:bottom w:val="single" w:sz="8" w:color="auto"/>
              <w:right w:val="single" w:sz="8" w:color="auto"/>
            </w:tcBorders>
            <w:shd w:val="clear" w:color="auto" w:fill="CCEEFF"/>
          </w:tcPr>
          <w:p>
            <w:pPr>
              <w:jc w:val="right"/>
              <w:ind w:right="1219"/>
              <w:spacing w:after="0"/>
              <w:rPr>
                <w:sz w:val="20"/>
                <w:szCs w:val="20"/>
                <w:color w:val="auto"/>
              </w:rPr>
            </w:pPr>
            <w:r>
              <w:rPr>
                <w:rFonts w:ascii="Arial" w:cs="Arial" w:eastAsia="Arial" w:hAnsi="Arial"/>
                <w:sz w:val="18"/>
                <w:szCs w:val="18"/>
                <w:color w:val="auto"/>
              </w:rPr>
              <w:t>400,669,517</w:t>
            </w:r>
          </w:p>
        </w:tc>
        <w:tc>
          <w:tcPr>
            <w:tcW w:w="146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99.02%</w:t>
            </w:r>
          </w:p>
        </w:tc>
        <w:tc>
          <w:tcPr>
            <w:tcW w:w="2140" w:type="dxa"/>
            <w:vAlign w:val="bottom"/>
            <w:tcBorders>
              <w:bottom w:val="single" w:sz="8" w:color="auto"/>
              <w:right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3,966,022</w:t>
            </w:r>
          </w:p>
        </w:tc>
        <w:tc>
          <w:tcPr>
            <w:tcW w:w="1960" w:type="dxa"/>
            <w:vAlign w:val="bottom"/>
            <w:tcBorders>
              <w:bottom w:val="single" w:sz="8" w:color="auto"/>
              <w:right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0.98%</w:t>
            </w:r>
          </w:p>
        </w:tc>
      </w:tr>
    </w:tbl>
    <w:p>
      <w:pPr>
        <w:spacing w:after="0" w:line="346"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 Proposal</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shareholder proposal set out in Appendix B of the management proxy circular was not approved.</w:t>
      </w:r>
    </w:p>
    <w:p>
      <w:pPr>
        <w:spacing w:after="0" w:line="237" w:lineRule="exact"/>
        <w:rPr>
          <w:sz w:val="20"/>
          <w:szCs w:val="20"/>
          <w:color w:val="auto"/>
        </w:rPr>
      </w:pPr>
    </w:p>
    <w:tbl>
      <w:tblPr>
        <w:tblLayout w:type="fixed"/>
        <w:tblInd w:w="894" w:type="dxa"/>
        <w:tblCellMar>
          <w:top w:w="0" w:type="dxa"/>
          <w:left w:w="0" w:type="dxa"/>
          <w:bottom w:w="0" w:type="dxa"/>
          <w:right w:w="0" w:type="dxa"/>
        </w:tblCellMar>
      </w:tblPr>
      <w:tr>
        <w:trPr>
          <w:trHeight w:val="223"/>
        </w:trPr>
        <w:tc>
          <w:tcPr>
            <w:tcW w:w="2840" w:type="dxa"/>
            <w:vAlign w:val="bottom"/>
            <w:tcBorders>
              <w:top w:val="single" w:sz="8" w:color="auto"/>
              <w:left w:val="single" w:sz="8" w:color="auto"/>
              <w:bottom w:val="single" w:sz="8" w:color="auto"/>
              <w:right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99"/>
              </w:rPr>
              <w:t>Votes For</w:t>
            </w:r>
          </w:p>
        </w:tc>
        <w:tc>
          <w:tcPr>
            <w:tcW w:w="1160" w:type="dxa"/>
            <w:vAlign w:val="bottom"/>
            <w:tcBorders>
              <w:top w:val="single" w:sz="8" w:color="auto"/>
              <w:bottom w:val="single" w:sz="8" w:color="auto"/>
              <w:right w:val="single" w:sz="8" w:color="auto"/>
            </w:tcBorders>
          </w:tcPr>
          <w:p>
            <w:pPr>
              <w:jc w:val="center"/>
              <w:ind w:left="179"/>
              <w:spacing w:after="0"/>
              <w:rPr>
                <w:sz w:val="20"/>
                <w:szCs w:val="20"/>
                <w:color w:val="auto"/>
              </w:rPr>
            </w:pPr>
            <w:r>
              <w:rPr>
                <w:rFonts w:ascii="Arial" w:cs="Arial" w:eastAsia="Arial" w:hAnsi="Arial"/>
                <w:sz w:val="14"/>
                <w:szCs w:val="14"/>
                <w:b w:val="1"/>
                <w:bCs w:val="1"/>
                <w:color w:val="auto"/>
              </w:rPr>
              <w:t>% Votes For</w:t>
            </w:r>
          </w:p>
        </w:tc>
        <w:tc>
          <w:tcPr>
            <w:tcW w:w="182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Votes Against</w:t>
            </w:r>
          </w:p>
        </w:tc>
        <w:tc>
          <w:tcPr>
            <w:tcW w:w="1900" w:type="dxa"/>
            <w:vAlign w:val="bottom"/>
            <w:tcBorders>
              <w:top w:val="single" w:sz="8" w:color="auto"/>
              <w:bottom w:val="single" w:sz="8" w:color="auto"/>
              <w:right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Votes Against</w:t>
            </w:r>
          </w:p>
        </w:tc>
        <w:tc>
          <w:tcPr>
            <w:tcW w:w="1560" w:type="dxa"/>
            <w:vAlign w:val="bottom"/>
            <w:tcBorders>
              <w:top w:val="single" w:sz="8" w:color="auto"/>
              <w:bottom w:val="single" w:sz="8" w:color="auto"/>
              <w:right w:val="single" w:sz="8" w:color="auto"/>
            </w:tcBorders>
          </w:tcPr>
          <w:p>
            <w:pPr>
              <w:jc w:val="center"/>
              <w:ind w:left="159"/>
              <w:spacing w:after="0"/>
              <w:rPr>
                <w:sz w:val="20"/>
                <w:szCs w:val="20"/>
                <w:color w:val="auto"/>
              </w:rPr>
            </w:pPr>
            <w:r>
              <w:rPr>
                <w:rFonts w:ascii="Arial" w:cs="Arial" w:eastAsia="Arial" w:hAnsi="Arial"/>
                <w:sz w:val="14"/>
                <w:szCs w:val="14"/>
                <w:b w:val="1"/>
                <w:bCs w:val="1"/>
                <w:color w:val="auto"/>
              </w:rPr>
              <w:t>Votes Abstained*</w:t>
            </w:r>
          </w:p>
        </w:tc>
      </w:tr>
      <w:tr>
        <w:trPr>
          <w:trHeight w:val="229"/>
        </w:trPr>
        <w:tc>
          <w:tcPr>
            <w:tcW w:w="2840" w:type="dxa"/>
            <w:vAlign w:val="bottom"/>
            <w:tcBorders>
              <w:left w:val="single" w:sz="8" w:color="auto"/>
              <w:bottom w:val="single" w:sz="8" w:color="auto"/>
              <w:right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14,872,838</w:t>
            </w:r>
          </w:p>
        </w:tc>
        <w:tc>
          <w:tcPr>
            <w:tcW w:w="1160" w:type="dxa"/>
            <w:vAlign w:val="bottom"/>
            <w:tcBorders>
              <w:bottom w:val="single" w:sz="8" w:color="auto"/>
              <w:right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3.68%</w:t>
            </w:r>
          </w:p>
        </w:tc>
        <w:tc>
          <w:tcPr>
            <w:tcW w:w="182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386,045,665</w:t>
            </w:r>
          </w:p>
        </w:tc>
        <w:tc>
          <w:tcPr>
            <w:tcW w:w="190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95.41%</w:t>
            </w:r>
          </w:p>
        </w:tc>
        <w:tc>
          <w:tcPr>
            <w:tcW w:w="1560" w:type="dxa"/>
            <w:vAlign w:val="bottom"/>
            <w:tcBorders>
              <w:bottom w:val="single" w:sz="8" w:color="auto"/>
              <w:right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3,717,028</w:t>
            </w:r>
          </w:p>
        </w:tc>
      </w:tr>
    </w:tbl>
    <w:p>
      <w:pPr>
        <w:spacing w:after="0" w:line="224" w:lineRule="exact"/>
        <w:rPr>
          <w:sz w:val="20"/>
          <w:szCs w:val="20"/>
          <w:color w:val="auto"/>
        </w:rPr>
      </w:pPr>
    </w:p>
    <w:p>
      <w:pPr>
        <w:ind w:left="224" w:hanging="224"/>
        <w:spacing w:after="0" w:line="271"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abstention is counted as present for quorum purposes but is not counted as a vote cast in determining whether the requisite majority of votes cast has approved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4798695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4" w:hanging="144"/>
        <w:spacing w:after="0"/>
        <w:tabs>
          <w:tab w:leader="none" w:pos="144"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2026 Thomson Reuters</w:t>
      </w:r>
    </w:p>
    <w:sectPr>
      <w:pgSz w:w="11900" w:h="16838" w:orient="portrait"/>
      <w:cols w:equalWidth="0" w:num="1">
        <w:col w:w="11004"/>
      </w:cols>
      <w:pgMar w:left="436"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2026-06-11T06:40:05Z</dcterms:created>
  <dcterms:modified xsi:type="dcterms:W3CDTF">2026-06-11T06:40:05Z</dcterms:modified>
</cp:coreProperties>
</file>